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 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3"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 w:lineRule="exact"/>
        <w:rPr>
          <w:sz w:val="24"/>
          <w:szCs w:val="24"/>
          <w:color w:val="auto"/>
        </w:rPr>
      </w:pPr>
    </w:p>
    <w:p>
      <w:pPr>
        <w:ind w:left="1220" w:hanging="68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5" w:lineRule="exact"/>
        <w:rPr>
          <w:rFonts w:ascii="MS PGothic" w:cs="MS PGothic" w:eastAsia="MS PGothic" w:hAnsi="MS PGothic"/>
          <w:sz w:val="18"/>
          <w:szCs w:val="18"/>
          <w:color w:val="auto"/>
        </w:rPr>
      </w:pPr>
    </w:p>
    <w:p>
      <w:pPr>
        <w:ind w:left="39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fiscal year ended December 31, 2024</w:t>
      </w:r>
    </w:p>
    <w:p>
      <w:pPr>
        <w:spacing w:after="0" w:line="7" w:lineRule="exact"/>
        <w:rPr>
          <w:rFonts w:ascii="MS PGothic" w:cs="MS PGothic" w:eastAsia="MS PGothic" w:hAnsi="MS PGothic"/>
          <w:sz w:val="18"/>
          <w:szCs w:val="18"/>
          <w:color w:val="auto"/>
        </w:rPr>
      </w:pPr>
    </w:p>
    <w:p>
      <w:pPr>
        <w:ind w:left="55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4" w:lineRule="exact"/>
        <w:rPr>
          <w:sz w:val="24"/>
          <w:szCs w:val="24"/>
          <w:color w:val="auto"/>
        </w:rPr>
      </w:pPr>
    </w:p>
    <w:p>
      <w:pPr>
        <w:ind w:left="1220" w:hanging="686"/>
        <w:spacing w:after="0"/>
        <w:tabs>
          <w:tab w:leader="none" w:pos="1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6"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7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452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408"/>
        </w:trPr>
        <w:tc>
          <w:tcPr>
            <w:tcW w:w="3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20" w:type="dxa"/>
            <w:vAlign w:val="bottom"/>
            <w:gridSpan w:val="4"/>
          </w:tcPr>
          <w:p>
            <w:pPr>
              <w:jc w:val="center"/>
              <w:ind w:right="4130"/>
              <w:spacing w:after="0"/>
              <w:rPr>
                <w:sz w:val="20"/>
                <w:szCs w:val="20"/>
                <w:color w:val="auto"/>
              </w:rPr>
            </w:pPr>
            <w:r>
              <w:rPr>
                <w:rFonts w:ascii="Times New Roman" w:cs="Times New Roman" w:eastAsia="Times New Roman" w:hAnsi="Times New Roman"/>
                <w:sz w:val="18"/>
                <w:szCs w:val="18"/>
                <w:b w:val="1"/>
                <w:bCs w:val="1"/>
                <w:color w:val="auto"/>
              </w:rPr>
              <w:t>Commission File Number 001-34627</w:t>
            </w:r>
          </w:p>
        </w:tc>
      </w:tr>
      <w:tr>
        <w:trPr>
          <w:trHeight w:val="54"/>
        </w:trPr>
        <w:tc>
          <w:tcPr>
            <w:tcW w:w="35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0" w:type="dxa"/>
            <w:vAlign w:val="bottom"/>
            <w:tcBorders>
              <w:bottom w:val="single" w:sz="8" w:color="auto"/>
            </w:tcBorders>
            <w:gridSpan w:val="2"/>
          </w:tcPr>
          <w:p>
            <w:pPr>
              <w:spacing w:after="0"/>
              <w:rPr>
                <w:sz w:val="4"/>
                <w:szCs w:val="4"/>
                <w:color w:val="auto"/>
              </w:rPr>
            </w:pPr>
          </w:p>
        </w:tc>
        <w:tc>
          <w:tcPr>
            <w:tcW w:w="300" w:type="dxa"/>
            <w:vAlign w:val="bottom"/>
          </w:tcPr>
          <w:p>
            <w:pPr>
              <w:spacing w:after="0"/>
              <w:rPr>
                <w:sz w:val="4"/>
                <w:szCs w:val="4"/>
                <w:color w:val="auto"/>
              </w:rPr>
            </w:pPr>
          </w:p>
        </w:tc>
        <w:tc>
          <w:tcPr>
            <w:tcW w:w="3920" w:type="dxa"/>
            <w:vAlign w:val="bottom"/>
          </w:tcPr>
          <w:p>
            <w:pPr>
              <w:spacing w:after="0"/>
              <w:rPr>
                <w:sz w:val="4"/>
                <w:szCs w:val="4"/>
                <w:color w:val="auto"/>
              </w:rPr>
            </w:pPr>
          </w:p>
        </w:tc>
      </w:tr>
      <w:tr>
        <w:trPr>
          <w:trHeight w:val="515"/>
        </w:trPr>
        <w:tc>
          <w:tcPr>
            <w:tcW w:w="3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20" w:type="dxa"/>
            <w:vAlign w:val="bottom"/>
            <w:gridSpan w:val="4"/>
          </w:tcPr>
          <w:p>
            <w:pPr>
              <w:jc w:val="center"/>
              <w:ind w:right="4130"/>
              <w:spacing w:after="0"/>
              <w:rPr>
                <w:sz w:val="20"/>
                <w:szCs w:val="20"/>
                <w:color w:val="auto"/>
              </w:rPr>
            </w:pPr>
            <w:r>
              <w:rPr>
                <w:rFonts w:ascii="Times New Roman" w:cs="Times New Roman" w:eastAsia="Times New Roman" w:hAnsi="Times New Roman"/>
                <w:sz w:val="22"/>
                <w:szCs w:val="22"/>
                <w:b w:val="1"/>
                <w:bCs w:val="1"/>
                <w:color w:val="auto"/>
                <w:w w:val="98"/>
              </w:rPr>
              <w:t>GENERAC HOLDINGS INC.</w:t>
            </w:r>
          </w:p>
        </w:tc>
      </w:tr>
      <w:tr>
        <w:trPr>
          <w:trHeight w:val="212"/>
        </w:trPr>
        <w:tc>
          <w:tcPr>
            <w:tcW w:w="3520" w:type="dxa"/>
            <w:vAlign w:val="bottom"/>
          </w:tcPr>
          <w:p>
            <w:pPr>
              <w:spacing w:after="0"/>
              <w:rPr>
                <w:sz w:val="18"/>
                <w:szCs w:val="18"/>
                <w:color w:val="auto"/>
              </w:rPr>
            </w:pPr>
          </w:p>
        </w:tc>
        <w:tc>
          <w:tcPr>
            <w:tcW w:w="7720" w:type="dxa"/>
            <w:vAlign w:val="bottom"/>
            <w:gridSpan w:val="6"/>
          </w:tcPr>
          <w:p>
            <w:pPr>
              <w:jc w:val="center"/>
              <w:ind w:right="343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220"/>
        </w:trPr>
        <w:tc>
          <w:tcPr>
            <w:tcW w:w="3520" w:type="dxa"/>
            <w:vAlign w:val="bottom"/>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520" w:type="dxa"/>
            <w:vAlign w:val="bottom"/>
            <w:gridSpan w:val="3"/>
          </w:tcPr>
          <w:p>
            <w:pPr>
              <w:jc w:val="right"/>
              <w:ind w:right="2290"/>
              <w:spacing w:after="0"/>
              <w:rPr>
                <w:sz w:val="20"/>
                <w:szCs w:val="20"/>
                <w:color w:val="auto"/>
              </w:rPr>
            </w:pPr>
            <w:r>
              <w:rPr>
                <w:rFonts w:ascii="Times New Roman" w:cs="Times New Roman" w:eastAsia="Times New Roman" w:hAnsi="Times New Roman"/>
                <w:sz w:val="18"/>
                <w:szCs w:val="18"/>
                <w:b w:val="1"/>
                <w:bCs w:val="1"/>
                <w:color w:val="auto"/>
              </w:rPr>
              <w:t>20-5654756</w:t>
            </w:r>
          </w:p>
        </w:tc>
      </w:tr>
      <w:tr>
        <w:trPr>
          <w:trHeight w:val="234"/>
        </w:trPr>
        <w:tc>
          <w:tcPr>
            <w:tcW w:w="6720" w:type="dxa"/>
            <w:vAlign w:val="bottom"/>
            <w:gridSpan w:val="4"/>
          </w:tcPr>
          <w:p>
            <w:pPr>
              <w:jc w:val="center"/>
              <w:ind w:right="806"/>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00" w:type="dxa"/>
            <w:vAlign w:val="bottom"/>
          </w:tcPr>
          <w:p>
            <w:pPr>
              <w:spacing w:after="0"/>
              <w:rPr>
                <w:sz w:val="20"/>
                <w:szCs w:val="20"/>
                <w:color w:val="auto"/>
              </w:rPr>
            </w:pPr>
          </w:p>
        </w:tc>
        <w:tc>
          <w:tcPr>
            <w:tcW w:w="4220" w:type="dxa"/>
            <w:vAlign w:val="bottom"/>
            <w:gridSpan w:val="2"/>
          </w:tcPr>
          <w:p>
            <w:pPr>
              <w:jc w:val="center"/>
              <w:ind w:right="129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6720" w:type="dxa"/>
            <w:vAlign w:val="bottom"/>
            <w:gridSpan w:val="4"/>
          </w:tcPr>
          <w:p>
            <w:pPr>
              <w:jc w:val="center"/>
              <w:ind w:right="806"/>
              <w:spacing w:after="0"/>
              <w:rPr>
                <w:sz w:val="20"/>
                <w:szCs w:val="20"/>
                <w:color w:val="auto"/>
              </w:rPr>
            </w:pPr>
            <w:r>
              <w:rPr>
                <w:rFonts w:ascii="Times New Roman" w:cs="Times New Roman" w:eastAsia="Times New Roman" w:hAnsi="Times New Roman"/>
                <w:sz w:val="18"/>
                <w:szCs w:val="18"/>
                <w:b w:val="1"/>
                <w:bCs w:val="1"/>
                <w:color w:val="auto"/>
                <w:w w:val="99"/>
              </w:rPr>
              <w:t>S45 W29290 Hwy 59, Waukesha, WI</w:t>
            </w:r>
          </w:p>
        </w:tc>
        <w:tc>
          <w:tcPr>
            <w:tcW w:w="4520" w:type="dxa"/>
            <w:vAlign w:val="bottom"/>
            <w:gridSpan w:val="3"/>
          </w:tcPr>
          <w:p>
            <w:pPr>
              <w:jc w:val="right"/>
              <w:ind w:right="2490"/>
              <w:spacing w:after="0"/>
              <w:rPr>
                <w:sz w:val="20"/>
                <w:szCs w:val="20"/>
                <w:color w:val="auto"/>
              </w:rPr>
            </w:pPr>
            <w:r>
              <w:rPr>
                <w:rFonts w:ascii="Times New Roman" w:cs="Times New Roman" w:eastAsia="Times New Roman" w:hAnsi="Times New Roman"/>
                <w:sz w:val="18"/>
                <w:szCs w:val="18"/>
                <w:b w:val="1"/>
                <w:bCs w:val="1"/>
                <w:color w:val="auto"/>
              </w:rPr>
              <w:t>53189</w:t>
            </w:r>
          </w:p>
        </w:tc>
      </w:tr>
      <w:tr>
        <w:trPr>
          <w:trHeight w:val="234"/>
        </w:trPr>
        <w:tc>
          <w:tcPr>
            <w:tcW w:w="6720" w:type="dxa"/>
            <w:vAlign w:val="bottom"/>
            <w:gridSpan w:val="4"/>
          </w:tcPr>
          <w:p>
            <w:pPr>
              <w:jc w:val="center"/>
              <w:ind w:right="806"/>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920" w:type="dxa"/>
            <w:vAlign w:val="bottom"/>
          </w:tcPr>
          <w:p>
            <w:pPr>
              <w:jc w:val="center"/>
              <w:ind w:right="161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14"/>
        </w:trPr>
        <w:tc>
          <w:tcPr>
            <w:tcW w:w="3520" w:type="dxa"/>
            <w:vAlign w:val="bottom"/>
          </w:tcPr>
          <w:p>
            <w:pPr>
              <w:spacing w:after="0"/>
              <w:rPr>
                <w:sz w:val="24"/>
                <w:szCs w:val="24"/>
                <w:color w:val="auto"/>
              </w:rPr>
            </w:pPr>
          </w:p>
        </w:tc>
        <w:tc>
          <w:tcPr>
            <w:tcW w:w="3200" w:type="dxa"/>
            <w:vAlign w:val="bottom"/>
            <w:gridSpan w:val="3"/>
          </w:tcPr>
          <w:p>
            <w:pPr>
              <w:jc w:val="right"/>
              <w:ind w:right="346"/>
              <w:spacing w:after="0"/>
              <w:rPr>
                <w:sz w:val="20"/>
                <w:szCs w:val="20"/>
                <w:color w:val="auto"/>
              </w:rPr>
            </w:pPr>
            <w:r>
              <w:rPr>
                <w:rFonts w:ascii="Times New Roman" w:cs="Times New Roman" w:eastAsia="Times New Roman" w:hAnsi="Times New Roman"/>
                <w:sz w:val="18"/>
                <w:szCs w:val="18"/>
                <w:b w:val="1"/>
                <w:bCs w:val="1"/>
                <w:color w:val="auto"/>
              </w:rPr>
              <w:t>(262) 544-4811</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34"/>
        </w:trPr>
        <w:tc>
          <w:tcPr>
            <w:tcW w:w="3520" w:type="dxa"/>
            <w:vAlign w:val="bottom"/>
          </w:tcPr>
          <w:p>
            <w:pPr>
              <w:spacing w:after="0"/>
              <w:rPr>
                <w:sz w:val="20"/>
                <w:szCs w:val="20"/>
                <w:color w:val="auto"/>
              </w:rPr>
            </w:pPr>
          </w:p>
        </w:tc>
        <w:tc>
          <w:tcPr>
            <w:tcW w:w="7720" w:type="dxa"/>
            <w:vAlign w:val="bottom"/>
            <w:gridSpan w:val="6"/>
          </w:tcPr>
          <w:p>
            <w:pPr>
              <w:jc w:val="center"/>
              <w:ind w:right="32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449"/>
        </w:trPr>
        <w:tc>
          <w:tcPr>
            <w:tcW w:w="1124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r>
      <w:tr>
        <w:trPr>
          <w:trHeight w:val="210"/>
        </w:trPr>
        <w:tc>
          <w:tcPr>
            <w:tcW w:w="3520" w:type="dxa"/>
            <w:vAlign w:val="bottom"/>
            <w:tcBorders>
              <w:left w:val="single" w:sz="8" w:color="auto"/>
              <w:bottom w:val="single" w:sz="8" w:color="auto"/>
            </w:tcBorders>
          </w:tcPr>
          <w:p>
            <w:pPr>
              <w:jc w:val="center"/>
              <w:ind w:left="350"/>
              <w:spacing w:after="0" w:line="189" w:lineRule="exact"/>
              <w:rPr>
                <w:sz w:val="20"/>
                <w:szCs w:val="20"/>
                <w:color w:val="auto"/>
              </w:rPr>
            </w:pPr>
            <w:r>
              <w:rPr>
                <w:rFonts w:ascii="Times New Roman" w:cs="Times New Roman" w:eastAsia="Times New Roman" w:hAnsi="Times New Roman"/>
                <w:sz w:val="18"/>
                <w:szCs w:val="18"/>
                <w:color w:val="auto"/>
                <w:w w:val="98"/>
              </w:rPr>
              <w:t>Title of each class</w:t>
            </w:r>
          </w:p>
        </w:tc>
        <w:tc>
          <w:tcPr>
            <w:tcW w:w="44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jc w:val="center"/>
              <w:ind w:left="226"/>
              <w:spacing w:after="0" w:line="189" w:lineRule="exact"/>
              <w:rPr>
                <w:sz w:val="20"/>
                <w:szCs w:val="20"/>
                <w:color w:val="auto"/>
              </w:rPr>
            </w:pPr>
            <w:r>
              <w:rPr>
                <w:rFonts w:ascii="Times New Roman" w:cs="Times New Roman" w:eastAsia="Times New Roman" w:hAnsi="Times New Roman"/>
                <w:sz w:val="18"/>
                <w:szCs w:val="18"/>
                <w:color w:val="auto"/>
                <w:w w:val="98"/>
              </w:rPr>
              <w:t>Trading Symbol(s)</w:t>
            </w:r>
          </w:p>
        </w:tc>
        <w:tc>
          <w:tcPr>
            <w:tcW w:w="30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392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3"/>
        </w:trPr>
        <w:tc>
          <w:tcPr>
            <w:tcW w:w="3520" w:type="dxa"/>
            <w:vAlign w:val="bottom"/>
            <w:tcBorders>
              <w:left w:val="single" w:sz="8" w:color="auto"/>
              <w:bottom w:val="single" w:sz="8" w:color="auto"/>
            </w:tcBorders>
          </w:tcPr>
          <w:p>
            <w:pPr>
              <w:jc w:val="center"/>
              <w:ind w:left="350"/>
              <w:spacing w:after="0" w:line="193" w:lineRule="exact"/>
              <w:rPr>
                <w:sz w:val="20"/>
                <w:szCs w:val="20"/>
                <w:color w:val="auto"/>
              </w:rPr>
            </w:pPr>
            <w:r>
              <w:rPr>
                <w:rFonts w:ascii="Times New Roman" w:cs="Times New Roman" w:eastAsia="Times New Roman" w:hAnsi="Times New Roman"/>
                <w:sz w:val="18"/>
                <w:szCs w:val="18"/>
                <w:b w:val="1"/>
                <w:bCs w:val="1"/>
                <w:color w:val="auto"/>
                <w:w w:val="99"/>
              </w:rPr>
              <w:t>Common Stock, $0.01 par value</w:t>
            </w:r>
          </w:p>
        </w:tc>
        <w:tc>
          <w:tcPr>
            <w:tcW w:w="440" w:type="dxa"/>
            <w:vAlign w:val="bottom"/>
            <w:tcBorders>
              <w:bottom w:val="single" w:sz="8" w:color="auto"/>
              <w:right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tcPr>
          <w:p>
            <w:pPr>
              <w:jc w:val="center"/>
              <w:ind w:left="226"/>
              <w:spacing w:after="0" w:line="193" w:lineRule="exact"/>
              <w:rPr>
                <w:sz w:val="20"/>
                <w:szCs w:val="20"/>
                <w:color w:val="auto"/>
              </w:rPr>
            </w:pPr>
            <w:r>
              <w:rPr>
                <w:rFonts w:ascii="Times New Roman" w:cs="Times New Roman" w:eastAsia="Times New Roman" w:hAnsi="Times New Roman"/>
                <w:sz w:val="18"/>
                <w:szCs w:val="18"/>
                <w:b w:val="1"/>
                <w:bCs w:val="1"/>
                <w:color w:val="auto"/>
              </w:rPr>
              <w:t>GNRC</w:t>
            </w:r>
          </w:p>
        </w:tc>
        <w:tc>
          <w:tcPr>
            <w:tcW w:w="300" w:type="dxa"/>
            <w:vAlign w:val="bottom"/>
            <w:tcBorders>
              <w:bottom w:val="single" w:sz="8" w:color="auto"/>
            </w:tcBorders>
          </w:tcPr>
          <w:p>
            <w:pPr>
              <w:spacing w:after="0"/>
              <w:rPr>
                <w:sz w:val="16"/>
                <w:szCs w:val="16"/>
                <w:color w:val="auto"/>
              </w:rPr>
            </w:pPr>
          </w:p>
        </w:tc>
        <w:tc>
          <w:tcPr>
            <w:tcW w:w="300" w:type="dxa"/>
            <w:vAlign w:val="bottom"/>
            <w:tcBorders>
              <w:bottom w:val="single" w:sz="8" w:color="auto"/>
              <w:right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19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90"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91" w:orient="portrait"/>
          <w:cols w:equalWidth="0" w:num="1">
            <w:col w:w="11240"/>
          </w:cols>
          <w:pgMar w:left="320" w:top="540" w:right="339" w:bottom="0" w:gutter="0" w:footer="0" w:header="0"/>
        </w:sectPr>
      </w:pPr>
    </w:p>
    <w:p>
      <w:pPr>
        <w:spacing w:after="0" w:line="1"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1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7" w:lineRule="exact"/>
        <w:rPr>
          <w:sz w:val="24"/>
          <w:szCs w:val="24"/>
          <w:color w:val="auto"/>
        </w:rPr>
      </w:pPr>
    </w:p>
    <w:p>
      <w:pPr>
        <w:ind w:left="3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88"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402" w:lineRule="exact"/>
        <w:rPr>
          <w:sz w:val="24"/>
          <w:szCs w:val="24"/>
          <w:color w:val="auto"/>
        </w:rPr>
      </w:pPr>
    </w:p>
    <w:p>
      <w:pPr>
        <w:sectPr>
          <w:pgSz w:w="11900" w:h="16891" w:orient="portrait"/>
          <w:cols w:equalWidth="0" w:num="2">
            <w:col w:w="4900" w:space="720"/>
            <w:col w:w="5620"/>
          </w:cols>
          <w:pgMar w:left="320" w:top="540" w:right="339" w:bottom="0" w:gutter="0" w:footer="0" w:header="0"/>
          <w:type w:val="continuous"/>
        </w:sectPr>
      </w:pPr>
    </w:p>
    <w:p>
      <w:pPr>
        <w:spacing w:after="0" w:line="18"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voting common equity held by non-affiliates of the registrant on June 28, 2024, the last business day of the registrant’s most recently completed second fiscal quarter, was approximately $8 billion based on the closing price reported for such date on the New York Stock Exchange.</w:t>
      </w:r>
    </w:p>
    <w:p>
      <w:pPr>
        <w:spacing w:after="0" w:line="176"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February 14, 2025, 59,614,025 shares of the registrant's common stock were outstanding.</w:t>
      </w:r>
    </w:p>
    <w:p>
      <w:pPr>
        <w:sectPr>
          <w:pgSz w:w="11900" w:h="16891" w:orient="portrait"/>
          <w:cols w:equalWidth="0" w:num="1">
            <w:col w:w="11240"/>
          </w:cols>
          <w:pgMar w:left="320" w:top="540" w:right="339" w:bottom="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Portions of the registrant’s Annual Report to Stockholders for the year ended December 31, 2024 furnished to the Securities and Exchange Commission are incorporated by reference into Part II of this Form 10-K. Portions of the registrant’s Proxy Statement for the 2025 Annual Meeting of Stockholders (the “2025 Proxy Statement”), which will be filed by the registrant on or prior to 120 days following the end of the registrant’s fiscal year ended December 31, 2024,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1323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622935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58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3"/>
        </w:trPr>
        <w:tc>
          <w:tcPr>
            <w:tcW w:w="1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20" w:type="dxa"/>
            <w:vAlign w:val="bottom"/>
            <w:gridSpan w:val="19"/>
          </w:tcPr>
          <w:p>
            <w:pPr>
              <w:jc w:val="center"/>
              <w:ind w:right="2280"/>
              <w:spacing w:after="0"/>
              <w:rPr>
                <w:sz w:val="20"/>
                <w:szCs w:val="20"/>
                <w:color w:val="auto"/>
              </w:rPr>
            </w:pPr>
            <w:r>
              <w:rPr>
                <w:rFonts w:ascii="Times New Roman" w:cs="Times New Roman" w:eastAsia="Times New Roman" w:hAnsi="Times New Roman"/>
                <w:sz w:val="18"/>
                <w:szCs w:val="18"/>
                <w:b w:val="1"/>
                <w:bCs w:val="1"/>
                <w:color w:val="auto"/>
                <w:w w:val="99"/>
              </w:rPr>
              <w:t>2024 FORM 10-K ANNUAL REPORT</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160" w:type="dxa"/>
            <w:vAlign w:val="bottom"/>
            <w:gridSpan w:val="17"/>
          </w:tcPr>
          <w:p>
            <w:pPr>
              <w:jc w:val="center"/>
              <w:ind w:right="27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80" w:type="dxa"/>
            <w:vAlign w:val="bottom"/>
            <w:gridSpan w:val="13"/>
            <w:vMerge w:val="restart"/>
          </w:tcPr>
          <w:p>
            <w:pPr>
              <w:jc w:val="center"/>
              <w:ind w:right="3620"/>
              <w:spacing w:after="0"/>
              <w:rPr>
                <w:sz w:val="20"/>
                <w:szCs w:val="20"/>
                <w:color w:val="auto"/>
              </w:rPr>
            </w:pPr>
            <w:r>
              <w:rPr>
                <w:rFonts w:ascii="Times New Roman" w:cs="Times New Roman" w:eastAsia="Times New Roman" w:hAnsi="Times New Roman"/>
                <w:sz w:val="18"/>
                <w:szCs w:val="18"/>
                <w:b w:val="1"/>
                <w:bCs w:val="1"/>
                <w:color w:val="0000EE"/>
                <w:w w:val="95"/>
              </w:rPr>
              <w:t>PART I</w:t>
            </w:r>
          </w:p>
        </w:tc>
        <w:tc>
          <w:tcPr>
            <w:tcW w:w="166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80" w:type="dxa"/>
            <w:vAlign w:val="bottom"/>
            <w:gridSpan w:val="13"/>
            <w:vMerge w:val="continue"/>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42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Business</w:t>
            </w:r>
          </w:p>
        </w:tc>
        <w:tc>
          <w:tcPr>
            <w:tcW w:w="580" w:type="dxa"/>
            <w:vAlign w:val="bottom"/>
            <w:tcBorders>
              <w:top w:val="single" w:sz="8" w:color="0000EE"/>
            </w:tcBorders>
            <w:gridSpan w:val="2"/>
          </w:tcPr>
          <w:p>
            <w:pPr>
              <w:spacing w:after="0"/>
              <w:rPr>
                <w:sz w:val="24"/>
                <w:szCs w:val="24"/>
                <w:color w:val="auto"/>
              </w:rPr>
            </w:pPr>
          </w:p>
        </w:tc>
        <w:tc>
          <w:tcPr>
            <w:tcW w:w="3660" w:type="dxa"/>
            <w:vAlign w:val="bottom"/>
            <w:gridSpan w:val="10"/>
          </w:tcPr>
          <w:p>
            <w:pPr>
              <w:spacing w:after="0"/>
              <w:rPr>
                <w:sz w:val="24"/>
                <w:szCs w:val="24"/>
                <w:color w:val="auto"/>
              </w:rPr>
            </w:pPr>
          </w:p>
        </w:tc>
        <w:tc>
          <w:tcPr>
            <w:tcW w:w="920" w:type="dxa"/>
            <w:vAlign w:val="bottom"/>
            <w:gridSpan w:val="4"/>
          </w:tcPr>
          <w:p>
            <w:pPr>
              <w:jc w:val="center"/>
              <w:ind w:left="650"/>
              <w:spacing w:after="0"/>
              <w:rPr>
                <w:sz w:val="20"/>
                <w:szCs w:val="20"/>
                <w:color w:val="auto"/>
              </w:rPr>
            </w:pPr>
            <w:r>
              <w:rPr>
                <w:rFonts w:ascii="Times New Roman" w:cs="Times New Roman" w:eastAsia="Times New Roman" w:hAnsi="Times New Roman"/>
                <w:sz w:val="18"/>
                <w:szCs w:val="18"/>
                <w:color w:val="0000EE"/>
              </w:rPr>
              <w:t>2</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848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920" w:type="dxa"/>
            <w:vAlign w:val="bottom"/>
            <w:gridSpan w:val="4"/>
          </w:tcPr>
          <w:p>
            <w:pPr>
              <w:jc w:val="center"/>
              <w:ind w:left="650"/>
              <w:spacing w:after="0" w:line="196" w:lineRule="exact"/>
              <w:rPr>
                <w:sz w:val="20"/>
                <w:szCs w:val="20"/>
                <w:color w:val="auto"/>
              </w:rPr>
            </w:pPr>
            <w:r>
              <w:rPr>
                <w:rFonts w:ascii="Times New Roman" w:cs="Times New Roman" w:eastAsia="Times New Roman" w:hAnsi="Times New Roman"/>
                <w:sz w:val="18"/>
                <w:szCs w:val="18"/>
                <w:color w:val="0000EE"/>
                <w:w w:val="99"/>
              </w:rPr>
              <w:t>14</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848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920" w:type="dxa"/>
            <w:vAlign w:val="bottom"/>
            <w:gridSpan w:val="4"/>
          </w:tcPr>
          <w:p>
            <w:pPr>
              <w:jc w:val="center"/>
              <w:ind w:left="650"/>
              <w:spacing w:after="0" w:line="196" w:lineRule="exact"/>
              <w:rPr>
                <w:sz w:val="20"/>
                <w:szCs w:val="20"/>
                <w:color w:val="auto"/>
              </w:rPr>
            </w:pPr>
            <w:r>
              <w:rPr>
                <w:rFonts w:ascii="Times New Roman" w:cs="Times New Roman" w:eastAsia="Times New Roman" w:hAnsi="Times New Roman"/>
                <w:sz w:val="18"/>
                <w:szCs w:val="18"/>
                <w:color w:val="0000EE"/>
                <w:w w:val="99"/>
              </w:rPr>
              <w:t>20</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Cybersecurity</w:t>
            </w:r>
          </w:p>
        </w:tc>
        <w:tc>
          <w:tcPr>
            <w:tcW w:w="1020" w:type="dxa"/>
            <w:vAlign w:val="bottom"/>
            <w:gridSpan w:val="5"/>
          </w:tcPr>
          <w:p>
            <w:pPr>
              <w:spacing w:after="0"/>
              <w:rPr>
                <w:sz w:val="17"/>
                <w:szCs w:val="17"/>
                <w:color w:val="auto"/>
              </w:rPr>
            </w:pPr>
          </w:p>
        </w:tc>
        <w:tc>
          <w:tcPr>
            <w:tcW w:w="6440" w:type="dxa"/>
            <w:vAlign w:val="bottom"/>
            <w:gridSpan w:val="20"/>
          </w:tcPr>
          <w:p>
            <w:pPr>
              <w:spacing w:after="0"/>
              <w:rPr>
                <w:sz w:val="17"/>
                <w:szCs w:val="17"/>
                <w:color w:val="auto"/>
              </w:rPr>
            </w:pPr>
          </w:p>
        </w:tc>
        <w:tc>
          <w:tcPr>
            <w:tcW w:w="920" w:type="dxa"/>
            <w:vAlign w:val="bottom"/>
            <w:gridSpan w:val="4"/>
          </w:tcPr>
          <w:p>
            <w:pPr>
              <w:jc w:val="center"/>
              <w:ind w:left="650"/>
              <w:spacing w:after="0" w:line="196" w:lineRule="exact"/>
              <w:rPr>
                <w:sz w:val="20"/>
                <w:szCs w:val="20"/>
                <w:color w:val="auto"/>
              </w:rPr>
            </w:pPr>
            <w:r>
              <w:rPr>
                <w:rFonts w:ascii="Times New Roman" w:cs="Times New Roman" w:eastAsia="Times New Roman" w:hAnsi="Times New Roman"/>
                <w:sz w:val="18"/>
                <w:szCs w:val="18"/>
                <w:color w:val="0000EE"/>
                <w:w w:val="99"/>
              </w:rPr>
              <w:t>20</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Properties</w:t>
            </w:r>
          </w:p>
        </w:tc>
        <w:tc>
          <w:tcPr>
            <w:tcW w:w="280" w:type="dxa"/>
            <w:vAlign w:val="bottom"/>
            <w:gridSpan w:val="3"/>
          </w:tcPr>
          <w:p>
            <w:pPr>
              <w:spacing w:after="0"/>
              <w:rPr>
                <w:sz w:val="17"/>
                <w:szCs w:val="17"/>
                <w:color w:val="auto"/>
              </w:rPr>
            </w:pPr>
          </w:p>
        </w:tc>
        <w:tc>
          <w:tcPr>
            <w:tcW w:w="7460" w:type="dxa"/>
            <w:vAlign w:val="bottom"/>
            <w:gridSpan w:val="25"/>
          </w:tcPr>
          <w:p>
            <w:pPr>
              <w:spacing w:after="0"/>
              <w:rPr>
                <w:sz w:val="17"/>
                <w:szCs w:val="17"/>
                <w:color w:val="auto"/>
              </w:rPr>
            </w:pPr>
          </w:p>
        </w:tc>
        <w:tc>
          <w:tcPr>
            <w:tcW w:w="920" w:type="dxa"/>
            <w:vAlign w:val="bottom"/>
            <w:gridSpan w:val="4"/>
          </w:tcPr>
          <w:p>
            <w:pPr>
              <w:jc w:val="center"/>
              <w:ind w:left="650"/>
              <w:spacing w:after="0" w:line="196" w:lineRule="exact"/>
              <w:rPr>
                <w:sz w:val="20"/>
                <w:szCs w:val="20"/>
                <w:color w:val="auto"/>
              </w:rPr>
            </w:pPr>
            <w:r>
              <w:rPr>
                <w:rFonts w:ascii="Times New Roman" w:cs="Times New Roman" w:eastAsia="Times New Roman" w:hAnsi="Times New Roman"/>
                <w:sz w:val="18"/>
                <w:szCs w:val="18"/>
                <w:color w:val="0000EE"/>
                <w:w w:val="99"/>
              </w:rPr>
              <w:t>20</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3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5"/>
              </w:rPr>
              <w:t>Legal Proceedings</w:t>
            </w:r>
          </w:p>
        </w:tc>
        <w:tc>
          <w:tcPr>
            <w:tcW w:w="7160" w:type="dxa"/>
            <w:vAlign w:val="bottom"/>
            <w:gridSpan w:val="24"/>
          </w:tcPr>
          <w:p>
            <w:pPr>
              <w:spacing w:after="0"/>
              <w:rPr>
                <w:sz w:val="17"/>
                <w:szCs w:val="17"/>
                <w:color w:val="auto"/>
              </w:rPr>
            </w:pPr>
          </w:p>
        </w:tc>
        <w:tc>
          <w:tcPr>
            <w:tcW w:w="920" w:type="dxa"/>
            <w:vAlign w:val="bottom"/>
            <w:gridSpan w:val="4"/>
          </w:tcPr>
          <w:p>
            <w:pPr>
              <w:jc w:val="center"/>
              <w:ind w:left="650"/>
              <w:spacing w:after="0" w:line="196" w:lineRule="exact"/>
              <w:rPr>
                <w:sz w:val="20"/>
                <w:szCs w:val="20"/>
                <w:color w:val="auto"/>
              </w:rPr>
            </w:pPr>
            <w:r>
              <w:rPr>
                <w:rFonts w:ascii="Times New Roman" w:cs="Times New Roman" w:eastAsia="Times New Roman" w:hAnsi="Times New Roman"/>
                <w:sz w:val="18"/>
                <w:szCs w:val="18"/>
                <w:color w:val="0000EE"/>
                <w:w w:val="99"/>
              </w:rPr>
              <w:t>21</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848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920" w:type="dxa"/>
            <w:vAlign w:val="bottom"/>
            <w:gridSpan w:val="4"/>
          </w:tcPr>
          <w:p>
            <w:pPr>
              <w:jc w:val="center"/>
              <w:ind w:left="650"/>
              <w:spacing w:after="0" w:line="196" w:lineRule="exact"/>
              <w:rPr>
                <w:sz w:val="20"/>
                <w:szCs w:val="20"/>
                <w:color w:val="auto"/>
              </w:rPr>
            </w:pPr>
            <w:r>
              <w:rPr>
                <w:rFonts w:ascii="Times New Roman" w:cs="Times New Roman" w:eastAsia="Times New Roman" w:hAnsi="Times New Roman"/>
                <w:sz w:val="18"/>
                <w:szCs w:val="18"/>
                <w:color w:val="0000EE"/>
                <w:w w:val="99"/>
              </w:rPr>
              <w:t>21</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EE"/>
                <w:w w:val="97"/>
              </w:rPr>
              <w:t>PART II</w:t>
            </w:r>
          </w:p>
        </w:tc>
        <w:tc>
          <w:tcPr>
            <w:tcW w:w="3620" w:type="dxa"/>
            <w:vAlign w:val="bottom"/>
            <w:gridSpan w:val="9"/>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08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 of Equity Securities</w:t>
            </w:r>
          </w:p>
        </w:tc>
        <w:tc>
          <w:tcPr>
            <w:tcW w:w="400" w:type="dxa"/>
            <w:vAlign w:val="bottom"/>
          </w:tcPr>
          <w:p>
            <w:pPr>
              <w:spacing w:after="0"/>
              <w:rPr>
                <w:sz w:val="24"/>
                <w:szCs w:val="24"/>
                <w:color w:val="auto"/>
              </w:rPr>
            </w:pPr>
          </w:p>
        </w:tc>
        <w:tc>
          <w:tcPr>
            <w:tcW w:w="920" w:type="dxa"/>
            <w:vAlign w:val="bottom"/>
            <w:gridSpan w:val="4"/>
          </w:tcPr>
          <w:p>
            <w:pPr>
              <w:jc w:val="center"/>
              <w:ind w:left="650"/>
              <w:spacing w:after="0"/>
              <w:rPr>
                <w:sz w:val="20"/>
                <w:szCs w:val="20"/>
                <w:color w:val="auto"/>
              </w:rPr>
            </w:pPr>
            <w:r>
              <w:rPr>
                <w:rFonts w:ascii="Times New Roman" w:cs="Times New Roman" w:eastAsia="Times New Roman" w:hAnsi="Times New Roman"/>
                <w:sz w:val="18"/>
                <w:szCs w:val="18"/>
                <w:color w:val="0000EE"/>
                <w:w w:val="99"/>
              </w:rPr>
              <w:t>21</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[Reserved]</w:t>
            </w:r>
          </w:p>
        </w:tc>
        <w:tc>
          <w:tcPr>
            <w:tcW w:w="7280" w:type="dxa"/>
            <w:vAlign w:val="bottom"/>
            <w:gridSpan w:val="26"/>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gridSpan w:val="4"/>
          </w:tcPr>
          <w:p>
            <w:pPr>
              <w:jc w:val="center"/>
              <w:ind w:left="650"/>
              <w:spacing w:after="0" w:line="196" w:lineRule="exact"/>
              <w:rPr>
                <w:sz w:val="20"/>
                <w:szCs w:val="20"/>
                <w:color w:val="auto"/>
              </w:rPr>
            </w:pPr>
            <w:r>
              <w:rPr>
                <w:rFonts w:ascii="Times New Roman" w:cs="Times New Roman" w:eastAsia="Times New Roman" w:hAnsi="Times New Roman"/>
                <w:sz w:val="18"/>
                <w:szCs w:val="18"/>
                <w:color w:val="0000EE"/>
                <w:w w:val="99"/>
              </w:rPr>
              <w:t>23</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020" w:type="dxa"/>
            <w:vAlign w:val="bottom"/>
            <w:gridSpan w:val="4"/>
          </w:tcPr>
          <w:p>
            <w:pPr>
              <w:spacing w:after="0"/>
              <w:rPr>
                <w:sz w:val="17"/>
                <w:szCs w:val="17"/>
                <w:color w:val="auto"/>
              </w:rPr>
            </w:pPr>
          </w:p>
        </w:tc>
        <w:tc>
          <w:tcPr>
            <w:tcW w:w="920" w:type="dxa"/>
            <w:vAlign w:val="bottom"/>
            <w:gridSpan w:val="4"/>
          </w:tcPr>
          <w:p>
            <w:pPr>
              <w:jc w:val="center"/>
              <w:ind w:left="650"/>
              <w:spacing w:after="0" w:line="196" w:lineRule="exact"/>
              <w:rPr>
                <w:sz w:val="20"/>
                <w:szCs w:val="20"/>
                <w:color w:val="auto"/>
              </w:rPr>
            </w:pPr>
            <w:r>
              <w:rPr>
                <w:rFonts w:ascii="Times New Roman" w:cs="Times New Roman" w:eastAsia="Times New Roman" w:hAnsi="Times New Roman"/>
                <w:sz w:val="18"/>
                <w:szCs w:val="18"/>
                <w:color w:val="0000EE"/>
                <w:w w:val="99"/>
              </w:rPr>
              <w:t>23</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320" w:type="dxa"/>
            <w:vAlign w:val="bottom"/>
            <w:gridSpan w:val="7"/>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3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100" w:type="dxa"/>
            <w:vAlign w:val="bottom"/>
            <w:gridSpan w:val="7"/>
          </w:tcPr>
          <w:p>
            <w:pPr>
              <w:spacing w:after="0"/>
              <w:rPr>
                <w:sz w:val="17"/>
                <w:szCs w:val="17"/>
                <w:color w:val="auto"/>
              </w:rPr>
            </w:pPr>
          </w:p>
        </w:tc>
        <w:tc>
          <w:tcPr>
            <w:tcW w:w="2020" w:type="dxa"/>
            <w:vAlign w:val="bottom"/>
            <w:gridSpan w:val="4"/>
          </w:tcPr>
          <w:p>
            <w:pPr>
              <w:spacing w:after="0"/>
              <w:rPr>
                <w:sz w:val="17"/>
                <w:szCs w:val="17"/>
                <w:color w:val="auto"/>
              </w:rPr>
            </w:pPr>
          </w:p>
        </w:tc>
        <w:tc>
          <w:tcPr>
            <w:tcW w:w="920" w:type="dxa"/>
            <w:vAlign w:val="bottom"/>
            <w:gridSpan w:val="4"/>
          </w:tcPr>
          <w:p>
            <w:pPr>
              <w:jc w:val="center"/>
              <w:ind w:left="650"/>
              <w:spacing w:after="0" w:line="196" w:lineRule="exact"/>
              <w:rPr>
                <w:sz w:val="20"/>
                <w:szCs w:val="20"/>
                <w:color w:val="auto"/>
              </w:rPr>
            </w:pPr>
            <w:r>
              <w:rPr>
                <w:rFonts w:ascii="Times New Roman" w:cs="Times New Roman" w:eastAsia="Times New Roman" w:hAnsi="Times New Roman"/>
                <w:sz w:val="18"/>
                <w:szCs w:val="18"/>
                <w:color w:val="0000EE"/>
                <w:w w:val="99"/>
              </w:rPr>
              <w:t>33</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320" w:type="dxa"/>
            <w:vAlign w:val="bottom"/>
            <w:gridSpan w:val="7"/>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43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4120" w:type="dxa"/>
            <w:vAlign w:val="bottom"/>
            <w:gridSpan w:val="11"/>
          </w:tcPr>
          <w:p>
            <w:pPr>
              <w:spacing w:after="0"/>
              <w:rPr>
                <w:sz w:val="17"/>
                <w:szCs w:val="17"/>
                <w:color w:val="auto"/>
              </w:rPr>
            </w:pPr>
          </w:p>
        </w:tc>
        <w:tc>
          <w:tcPr>
            <w:tcW w:w="920" w:type="dxa"/>
            <w:vAlign w:val="bottom"/>
            <w:gridSpan w:val="4"/>
          </w:tcPr>
          <w:p>
            <w:pPr>
              <w:jc w:val="center"/>
              <w:ind w:left="650"/>
              <w:spacing w:after="0" w:line="196" w:lineRule="exact"/>
              <w:rPr>
                <w:sz w:val="20"/>
                <w:szCs w:val="20"/>
                <w:color w:val="auto"/>
              </w:rPr>
            </w:pPr>
            <w:r>
              <w:rPr>
                <w:rFonts w:ascii="Times New Roman" w:cs="Times New Roman" w:eastAsia="Times New Roman" w:hAnsi="Times New Roman"/>
                <w:sz w:val="18"/>
                <w:szCs w:val="18"/>
                <w:color w:val="0000EE"/>
                <w:w w:val="99"/>
              </w:rPr>
              <w:t>34</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320" w:type="dxa"/>
            <w:vAlign w:val="bottom"/>
            <w:gridSpan w:val="7"/>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64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 Disclosure</w:t>
            </w:r>
          </w:p>
        </w:tc>
        <w:tc>
          <w:tcPr>
            <w:tcW w:w="2000" w:type="dxa"/>
            <w:vAlign w:val="bottom"/>
            <w:gridSpan w:val="3"/>
          </w:tcPr>
          <w:p>
            <w:pPr>
              <w:spacing w:after="0"/>
              <w:rPr>
                <w:sz w:val="17"/>
                <w:szCs w:val="17"/>
                <w:color w:val="auto"/>
              </w:rPr>
            </w:pPr>
          </w:p>
        </w:tc>
        <w:tc>
          <w:tcPr>
            <w:tcW w:w="920" w:type="dxa"/>
            <w:vAlign w:val="bottom"/>
            <w:gridSpan w:val="4"/>
          </w:tcPr>
          <w:p>
            <w:pPr>
              <w:jc w:val="center"/>
              <w:ind w:left="650"/>
              <w:spacing w:after="0" w:line="196" w:lineRule="exact"/>
              <w:rPr>
                <w:sz w:val="20"/>
                <w:szCs w:val="20"/>
                <w:color w:val="auto"/>
              </w:rPr>
            </w:pPr>
            <w:r>
              <w:rPr>
                <w:rFonts w:ascii="Times New Roman" w:cs="Times New Roman" w:eastAsia="Times New Roman" w:hAnsi="Times New Roman"/>
                <w:sz w:val="18"/>
                <w:szCs w:val="18"/>
                <w:color w:val="0000EE"/>
                <w:w w:val="99"/>
              </w:rPr>
              <w:t>69</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320" w:type="dxa"/>
            <w:vAlign w:val="bottom"/>
            <w:gridSpan w:val="7"/>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4700" w:type="dxa"/>
            <w:vAlign w:val="bottom"/>
            <w:gridSpan w:val="19"/>
          </w:tcPr>
          <w:p>
            <w:pPr>
              <w:spacing w:after="0"/>
              <w:rPr>
                <w:sz w:val="17"/>
                <w:szCs w:val="17"/>
                <w:color w:val="auto"/>
              </w:rPr>
            </w:pPr>
          </w:p>
        </w:tc>
        <w:tc>
          <w:tcPr>
            <w:tcW w:w="2000" w:type="dxa"/>
            <w:vAlign w:val="bottom"/>
            <w:gridSpan w:val="3"/>
          </w:tcPr>
          <w:p>
            <w:pPr>
              <w:spacing w:after="0"/>
              <w:rPr>
                <w:sz w:val="17"/>
                <w:szCs w:val="17"/>
                <w:color w:val="auto"/>
              </w:rPr>
            </w:pPr>
          </w:p>
        </w:tc>
        <w:tc>
          <w:tcPr>
            <w:tcW w:w="920" w:type="dxa"/>
            <w:vAlign w:val="bottom"/>
            <w:gridSpan w:val="4"/>
          </w:tcPr>
          <w:p>
            <w:pPr>
              <w:jc w:val="center"/>
              <w:ind w:left="650"/>
              <w:spacing w:after="0" w:line="196" w:lineRule="exact"/>
              <w:rPr>
                <w:sz w:val="20"/>
                <w:szCs w:val="20"/>
                <w:color w:val="auto"/>
              </w:rPr>
            </w:pPr>
            <w:r>
              <w:rPr>
                <w:rFonts w:ascii="Times New Roman" w:cs="Times New Roman" w:eastAsia="Times New Roman" w:hAnsi="Times New Roman"/>
                <w:sz w:val="18"/>
                <w:szCs w:val="18"/>
                <w:color w:val="0000EE"/>
                <w:w w:val="99"/>
              </w:rPr>
              <w:t>69</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320" w:type="dxa"/>
            <w:vAlign w:val="bottom"/>
            <w:gridSpan w:val="7"/>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3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7"/>
              </w:rPr>
              <w:t>Other Information</w:t>
            </w:r>
          </w:p>
        </w:tc>
        <w:tc>
          <w:tcPr>
            <w:tcW w:w="460" w:type="dxa"/>
            <w:vAlign w:val="bottom"/>
            <w:gridSpan w:val="2"/>
          </w:tcPr>
          <w:p>
            <w:pPr>
              <w:spacing w:after="0"/>
              <w:rPr>
                <w:sz w:val="17"/>
                <w:szCs w:val="17"/>
                <w:color w:val="auto"/>
              </w:rPr>
            </w:pPr>
          </w:p>
        </w:tc>
        <w:tc>
          <w:tcPr>
            <w:tcW w:w="6700" w:type="dxa"/>
            <w:vAlign w:val="bottom"/>
            <w:gridSpan w:val="22"/>
          </w:tcPr>
          <w:p>
            <w:pPr>
              <w:spacing w:after="0"/>
              <w:rPr>
                <w:sz w:val="17"/>
                <w:szCs w:val="17"/>
                <w:color w:val="auto"/>
              </w:rPr>
            </w:pPr>
          </w:p>
        </w:tc>
        <w:tc>
          <w:tcPr>
            <w:tcW w:w="920" w:type="dxa"/>
            <w:vAlign w:val="bottom"/>
            <w:gridSpan w:val="4"/>
          </w:tcPr>
          <w:p>
            <w:pPr>
              <w:jc w:val="center"/>
              <w:ind w:left="650"/>
              <w:spacing w:after="0" w:line="196" w:lineRule="exact"/>
              <w:rPr>
                <w:sz w:val="20"/>
                <w:szCs w:val="20"/>
                <w:color w:val="auto"/>
              </w:rPr>
            </w:pPr>
            <w:r>
              <w:rPr>
                <w:rFonts w:ascii="Times New Roman" w:cs="Times New Roman" w:eastAsia="Times New Roman" w:hAnsi="Times New Roman"/>
                <w:sz w:val="18"/>
                <w:szCs w:val="18"/>
                <w:color w:val="0000EE"/>
                <w:w w:val="99"/>
              </w:rPr>
              <w:t>70</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320" w:type="dxa"/>
            <w:vAlign w:val="bottom"/>
            <w:gridSpan w:val="7"/>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49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Disclosure Regarding Foreign Jurisdictions that Prevent Inspections</w:t>
            </w:r>
          </w:p>
        </w:tc>
        <w:tc>
          <w:tcPr>
            <w:tcW w:w="3560" w:type="dxa"/>
            <w:vAlign w:val="bottom"/>
            <w:gridSpan w:val="6"/>
          </w:tcPr>
          <w:p>
            <w:pPr>
              <w:spacing w:after="0"/>
              <w:rPr>
                <w:sz w:val="17"/>
                <w:szCs w:val="17"/>
                <w:color w:val="auto"/>
              </w:rPr>
            </w:pPr>
          </w:p>
        </w:tc>
        <w:tc>
          <w:tcPr>
            <w:tcW w:w="920" w:type="dxa"/>
            <w:vAlign w:val="bottom"/>
            <w:gridSpan w:val="4"/>
          </w:tcPr>
          <w:p>
            <w:pPr>
              <w:jc w:val="center"/>
              <w:ind w:left="650"/>
              <w:spacing w:after="0" w:line="196" w:lineRule="exact"/>
              <w:rPr>
                <w:sz w:val="20"/>
                <w:szCs w:val="20"/>
                <w:color w:val="auto"/>
              </w:rPr>
            </w:pPr>
            <w:r>
              <w:rPr>
                <w:rFonts w:ascii="Times New Roman" w:cs="Times New Roman" w:eastAsia="Times New Roman" w:hAnsi="Times New Roman"/>
                <w:sz w:val="18"/>
                <w:szCs w:val="18"/>
                <w:color w:val="0000EE"/>
                <w:w w:val="99"/>
              </w:rPr>
              <w:t>70</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740" w:type="dxa"/>
            <w:vAlign w:val="bottom"/>
            <w:tcBorders>
              <w:top w:val="single" w:sz="8" w:color="0000EE"/>
              <w:bottom w:val="single" w:sz="8" w:color="0000EE"/>
            </w:tcBorders>
            <w:gridSpan w:val="8"/>
          </w:tcPr>
          <w:p>
            <w:pPr>
              <w:jc w:val="center"/>
              <w:ind w:right="20"/>
              <w:spacing w:after="0"/>
              <w:rPr>
                <w:sz w:val="20"/>
                <w:szCs w:val="20"/>
                <w:color w:val="auto"/>
              </w:rPr>
            </w:pPr>
            <w:r>
              <w:rPr>
                <w:rFonts w:ascii="Times New Roman" w:cs="Times New Roman" w:eastAsia="Times New Roman" w:hAnsi="Times New Roman"/>
                <w:sz w:val="18"/>
                <w:szCs w:val="18"/>
                <w:b w:val="1"/>
                <w:bCs w:val="1"/>
                <w:color w:val="0000EE"/>
                <w:w w:val="96"/>
              </w:rPr>
              <w:t>PART III</w:t>
            </w:r>
          </w:p>
        </w:tc>
        <w:tc>
          <w:tcPr>
            <w:tcW w:w="20" w:type="dxa"/>
            <w:vAlign w:val="bottom"/>
            <w:tcBorders>
              <w:top w:val="single" w:sz="8" w:color="0000EE"/>
            </w:tcBorders>
          </w:tcPr>
          <w:p>
            <w:pPr>
              <w:spacing w:after="0"/>
              <w:rPr>
                <w:sz w:val="24"/>
                <w:szCs w:val="24"/>
                <w:color w:val="auto"/>
              </w:rPr>
            </w:pPr>
          </w:p>
        </w:tc>
        <w:tc>
          <w:tcPr>
            <w:tcW w:w="3560" w:type="dxa"/>
            <w:vAlign w:val="bottom"/>
            <w:gridSpan w:val="6"/>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4380" w:type="dxa"/>
            <w:vAlign w:val="bottom"/>
            <w:gridSpan w:val="16"/>
          </w:tcPr>
          <w:p>
            <w:pPr>
              <w:spacing w:after="0"/>
              <w:rPr>
                <w:sz w:val="24"/>
                <w:szCs w:val="24"/>
                <w:color w:val="auto"/>
              </w:rPr>
            </w:pPr>
          </w:p>
        </w:tc>
        <w:tc>
          <w:tcPr>
            <w:tcW w:w="920" w:type="dxa"/>
            <w:vAlign w:val="bottom"/>
            <w:gridSpan w:val="4"/>
          </w:tcPr>
          <w:p>
            <w:pPr>
              <w:jc w:val="center"/>
              <w:ind w:left="650"/>
              <w:spacing w:after="0"/>
              <w:rPr>
                <w:sz w:val="20"/>
                <w:szCs w:val="20"/>
                <w:color w:val="auto"/>
              </w:rPr>
            </w:pPr>
            <w:r>
              <w:rPr>
                <w:rFonts w:ascii="Times New Roman" w:cs="Times New Roman" w:eastAsia="Times New Roman" w:hAnsi="Times New Roman"/>
                <w:sz w:val="18"/>
                <w:szCs w:val="18"/>
                <w:color w:val="0000EE"/>
                <w:w w:val="99"/>
              </w:rPr>
              <w:t>70</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560" w:type="dxa"/>
            <w:vAlign w:val="bottom"/>
            <w:gridSpan w:val="8"/>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41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4380" w:type="dxa"/>
            <w:vAlign w:val="bottom"/>
            <w:gridSpan w:val="16"/>
          </w:tcPr>
          <w:p>
            <w:pPr>
              <w:spacing w:after="0"/>
              <w:rPr>
                <w:sz w:val="17"/>
                <w:szCs w:val="17"/>
                <w:color w:val="auto"/>
              </w:rPr>
            </w:pPr>
          </w:p>
        </w:tc>
        <w:tc>
          <w:tcPr>
            <w:tcW w:w="920" w:type="dxa"/>
            <w:vAlign w:val="bottom"/>
            <w:gridSpan w:val="4"/>
          </w:tcPr>
          <w:p>
            <w:pPr>
              <w:jc w:val="center"/>
              <w:ind w:left="650"/>
              <w:spacing w:after="0" w:line="196" w:lineRule="exact"/>
              <w:rPr>
                <w:sz w:val="20"/>
                <w:szCs w:val="20"/>
                <w:color w:val="auto"/>
              </w:rPr>
            </w:pPr>
            <w:r>
              <w:rPr>
                <w:rFonts w:ascii="Times New Roman" w:cs="Times New Roman" w:eastAsia="Times New Roman" w:hAnsi="Times New Roman"/>
                <w:sz w:val="18"/>
                <w:szCs w:val="18"/>
                <w:color w:val="0000EE"/>
                <w:w w:val="99"/>
              </w:rPr>
              <w:t>70</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560" w:type="dxa"/>
            <w:vAlign w:val="bottom"/>
            <w:gridSpan w:val="8"/>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 Stockholder Matters</w:t>
            </w:r>
          </w:p>
        </w:tc>
        <w:tc>
          <w:tcPr>
            <w:tcW w:w="1180" w:type="dxa"/>
            <w:vAlign w:val="bottom"/>
            <w:gridSpan w:val="2"/>
          </w:tcPr>
          <w:p>
            <w:pPr>
              <w:spacing w:after="0"/>
              <w:rPr>
                <w:sz w:val="17"/>
                <w:szCs w:val="17"/>
                <w:color w:val="auto"/>
              </w:rPr>
            </w:pPr>
          </w:p>
        </w:tc>
        <w:tc>
          <w:tcPr>
            <w:tcW w:w="920" w:type="dxa"/>
            <w:vAlign w:val="bottom"/>
            <w:gridSpan w:val="4"/>
          </w:tcPr>
          <w:p>
            <w:pPr>
              <w:jc w:val="center"/>
              <w:ind w:left="650"/>
              <w:spacing w:after="0" w:line="196" w:lineRule="exact"/>
              <w:rPr>
                <w:sz w:val="20"/>
                <w:szCs w:val="20"/>
                <w:color w:val="auto"/>
              </w:rPr>
            </w:pPr>
            <w:r>
              <w:rPr>
                <w:rFonts w:ascii="Times New Roman" w:cs="Times New Roman" w:eastAsia="Times New Roman" w:hAnsi="Times New Roman"/>
                <w:sz w:val="18"/>
                <w:szCs w:val="18"/>
                <w:color w:val="0000EE"/>
                <w:w w:val="99"/>
              </w:rPr>
              <w:t>70</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560" w:type="dxa"/>
            <w:vAlign w:val="bottom"/>
            <w:gridSpan w:val="8"/>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54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Relationships and Related Transactions, and Director Independence</w:t>
            </w:r>
          </w:p>
        </w:tc>
        <w:tc>
          <w:tcPr>
            <w:tcW w:w="1840" w:type="dxa"/>
            <w:vAlign w:val="bottom"/>
            <w:gridSpan w:val="3"/>
          </w:tcPr>
          <w:p>
            <w:pPr>
              <w:spacing w:after="0"/>
              <w:rPr>
                <w:sz w:val="17"/>
                <w:szCs w:val="17"/>
                <w:color w:val="auto"/>
              </w:rPr>
            </w:pPr>
          </w:p>
        </w:tc>
        <w:tc>
          <w:tcPr>
            <w:tcW w:w="1180" w:type="dxa"/>
            <w:vAlign w:val="bottom"/>
            <w:gridSpan w:val="2"/>
          </w:tcPr>
          <w:p>
            <w:pPr>
              <w:spacing w:after="0"/>
              <w:rPr>
                <w:sz w:val="17"/>
                <w:szCs w:val="17"/>
                <w:color w:val="auto"/>
              </w:rPr>
            </w:pPr>
          </w:p>
        </w:tc>
        <w:tc>
          <w:tcPr>
            <w:tcW w:w="920" w:type="dxa"/>
            <w:vAlign w:val="bottom"/>
            <w:gridSpan w:val="4"/>
          </w:tcPr>
          <w:p>
            <w:pPr>
              <w:jc w:val="center"/>
              <w:ind w:left="650"/>
              <w:spacing w:after="0" w:line="196" w:lineRule="exact"/>
              <w:rPr>
                <w:sz w:val="20"/>
                <w:szCs w:val="20"/>
                <w:color w:val="auto"/>
              </w:rPr>
            </w:pPr>
            <w:r>
              <w:rPr>
                <w:rFonts w:ascii="Times New Roman" w:cs="Times New Roman" w:eastAsia="Times New Roman" w:hAnsi="Times New Roman"/>
                <w:sz w:val="18"/>
                <w:szCs w:val="18"/>
                <w:color w:val="0000EE"/>
                <w:w w:val="99"/>
              </w:rPr>
              <w:t>70</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560" w:type="dxa"/>
            <w:vAlign w:val="bottom"/>
            <w:gridSpan w:val="8"/>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3020" w:type="dxa"/>
            <w:vAlign w:val="bottom"/>
            <w:gridSpan w:val="5"/>
          </w:tcPr>
          <w:p>
            <w:pPr>
              <w:spacing w:after="0"/>
              <w:rPr>
                <w:sz w:val="17"/>
                <w:szCs w:val="17"/>
                <w:color w:val="auto"/>
              </w:rPr>
            </w:pPr>
          </w:p>
        </w:tc>
        <w:tc>
          <w:tcPr>
            <w:tcW w:w="920" w:type="dxa"/>
            <w:vAlign w:val="bottom"/>
            <w:gridSpan w:val="4"/>
          </w:tcPr>
          <w:p>
            <w:pPr>
              <w:jc w:val="center"/>
              <w:ind w:left="650"/>
              <w:spacing w:after="0" w:line="196" w:lineRule="exact"/>
              <w:rPr>
                <w:sz w:val="20"/>
                <w:szCs w:val="20"/>
                <w:color w:val="auto"/>
              </w:rPr>
            </w:pPr>
            <w:r>
              <w:rPr>
                <w:rFonts w:ascii="Times New Roman" w:cs="Times New Roman" w:eastAsia="Times New Roman" w:hAnsi="Times New Roman"/>
                <w:sz w:val="18"/>
                <w:szCs w:val="18"/>
                <w:color w:val="0000EE"/>
                <w:w w:val="99"/>
              </w:rPr>
              <w:t>70</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20" w:type="dxa"/>
            <w:vAlign w:val="bottom"/>
            <w:gridSpan w:val="15"/>
          </w:tcPr>
          <w:p>
            <w:pPr>
              <w:jc w:val="center"/>
              <w:ind w:right="3600"/>
              <w:spacing w:after="0"/>
              <w:rPr>
                <w:sz w:val="20"/>
                <w:szCs w:val="20"/>
                <w:color w:val="auto"/>
              </w:rPr>
            </w:pPr>
            <w:r>
              <w:rPr>
                <w:rFonts w:ascii="Times New Roman" w:cs="Times New Roman" w:eastAsia="Times New Roman" w:hAnsi="Times New Roman"/>
                <w:sz w:val="18"/>
                <w:szCs w:val="18"/>
                <w:b w:val="1"/>
                <w:bCs w:val="1"/>
                <w:color w:val="0000EE"/>
                <w:w w:val="97"/>
              </w:rPr>
              <w:t>PART IV</w:t>
            </w:r>
          </w:p>
        </w:tc>
        <w:tc>
          <w:tcPr>
            <w:tcW w:w="7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31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w w:val="99"/>
              </w:rPr>
              <w:t>Exhibits and Financial Statement Schedules</w:t>
            </w:r>
          </w:p>
        </w:tc>
        <w:tc>
          <w:tcPr>
            <w:tcW w:w="1020" w:type="dxa"/>
            <w:vAlign w:val="bottom"/>
            <w:gridSpan w:val="4"/>
          </w:tcPr>
          <w:p>
            <w:pPr>
              <w:spacing w:after="0"/>
              <w:rPr>
                <w:sz w:val="24"/>
                <w:szCs w:val="24"/>
                <w:color w:val="auto"/>
              </w:rPr>
            </w:pPr>
          </w:p>
        </w:tc>
        <w:tc>
          <w:tcPr>
            <w:tcW w:w="700" w:type="dxa"/>
            <w:vAlign w:val="bottom"/>
            <w:tcBorders>
              <w:top w:val="single" w:sz="8" w:color="0000EE"/>
            </w:tcBorders>
            <w:gridSpan w:val="6"/>
          </w:tcPr>
          <w:p>
            <w:pPr>
              <w:spacing w:after="0"/>
              <w:rPr>
                <w:sz w:val="24"/>
                <w:szCs w:val="24"/>
                <w:color w:val="auto"/>
              </w:rPr>
            </w:pPr>
          </w:p>
        </w:tc>
        <w:tc>
          <w:tcPr>
            <w:tcW w:w="3600" w:type="dxa"/>
            <w:vAlign w:val="bottom"/>
            <w:gridSpan w:val="8"/>
          </w:tcPr>
          <w:p>
            <w:pPr>
              <w:spacing w:after="0"/>
              <w:rPr>
                <w:sz w:val="24"/>
                <w:szCs w:val="24"/>
                <w:color w:val="auto"/>
              </w:rPr>
            </w:pPr>
          </w:p>
        </w:tc>
        <w:tc>
          <w:tcPr>
            <w:tcW w:w="920" w:type="dxa"/>
            <w:vAlign w:val="bottom"/>
            <w:gridSpan w:val="4"/>
          </w:tcPr>
          <w:p>
            <w:pPr>
              <w:jc w:val="center"/>
              <w:ind w:left="650"/>
              <w:spacing w:after="0"/>
              <w:rPr>
                <w:sz w:val="20"/>
                <w:szCs w:val="20"/>
                <w:color w:val="auto"/>
              </w:rPr>
            </w:pPr>
            <w:r>
              <w:rPr>
                <w:rFonts w:ascii="Times New Roman" w:cs="Times New Roman" w:eastAsia="Times New Roman" w:hAnsi="Times New Roman"/>
                <w:sz w:val="18"/>
                <w:szCs w:val="18"/>
                <w:color w:val="0000EE"/>
                <w:w w:val="99"/>
              </w:rPr>
              <w:t>70</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560" w:type="dxa"/>
            <w:vAlign w:val="bottom"/>
            <w:gridSpan w:val="8"/>
            <w:shd w:val="clear" w:color="auto" w:fill="0000EE"/>
          </w:tcPr>
          <w:p>
            <w:pPr>
              <w:spacing w:after="0" w:line="20" w:lineRule="exact"/>
              <w:rPr>
                <w:sz w:val="1"/>
                <w:szCs w:val="1"/>
                <w:color w:val="auto"/>
              </w:rPr>
            </w:pPr>
          </w:p>
        </w:tc>
        <w:tc>
          <w:tcPr>
            <w:tcW w:w="1600" w:type="dxa"/>
            <w:vAlign w:val="bottom"/>
            <w:gridSpan w:val="5"/>
            <w:shd w:val="clear" w:color="auto" w:fill="0000EE"/>
          </w:tcPr>
          <w:p>
            <w:pPr>
              <w:spacing w:after="0" w:line="20" w:lineRule="exact"/>
              <w:rPr>
                <w:sz w:val="1"/>
                <w:szCs w:val="1"/>
                <w:color w:val="auto"/>
              </w:rPr>
            </w:pPr>
          </w:p>
        </w:tc>
        <w:tc>
          <w:tcPr>
            <w:tcW w:w="5320" w:type="dxa"/>
            <w:vAlign w:val="bottom"/>
            <w:gridSpan w:val="18"/>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31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Form 10-K Summary</w:t>
            </w:r>
          </w:p>
        </w:tc>
        <w:tc>
          <w:tcPr>
            <w:tcW w:w="5320" w:type="dxa"/>
            <w:vAlign w:val="bottom"/>
            <w:gridSpan w:val="18"/>
          </w:tcPr>
          <w:p>
            <w:pPr>
              <w:spacing w:after="0"/>
              <w:rPr>
                <w:sz w:val="17"/>
                <w:szCs w:val="17"/>
                <w:color w:val="auto"/>
              </w:rPr>
            </w:pPr>
          </w:p>
        </w:tc>
        <w:tc>
          <w:tcPr>
            <w:tcW w:w="920" w:type="dxa"/>
            <w:vAlign w:val="bottom"/>
            <w:gridSpan w:val="4"/>
          </w:tcPr>
          <w:p>
            <w:pPr>
              <w:jc w:val="center"/>
              <w:ind w:left="650"/>
              <w:spacing w:after="0" w:line="196" w:lineRule="exact"/>
              <w:rPr>
                <w:sz w:val="20"/>
                <w:szCs w:val="20"/>
                <w:color w:val="auto"/>
              </w:rPr>
            </w:pPr>
            <w:r>
              <w:rPr>
                <w:rFonts w:ascii="Times New Roman" w:cs="Times New Roman" w:eastAsia="Times New Roman" w:hAnsi="Times New Roman"/>
                <w:sz w:val="18"/>
                <w:szCs w:val="18"/>
                <w:color w:val="0000EE"/>
                <w:w w:val="99"/>
              </w:rPr>
              <w:t>74</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4"/>
        </w:trPr>
        <w:tc>
          <w:tcPr>
            <w:tcW w:w="1100" w:type="dxa"/>
            <w:vAlign w:val="bottom"/>
            <w:tcBorders>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annual report contains forward-looking statements that are subject to risks and uncertainties. Forward-looking statements give our current expectations and projections relating to our financial condition, results of operations, plans, objectives, future performance and business. You can identify forward-looking statements by the fact that they do not relate strictly to historical or current facts. These statements may include words such as “anticipate,” “estimate,” “expect,” “forecast,” “project,” “plan,” “intend,” “believe,” “confident,” “may,” “should,” “can have,” “likely,” “future,” “optimistic” and other words and terms of similar meaning in connection with any discussion of the timing or nature of future operating or financial performance or other events.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forward-looking statements contained in this annual report are based on assumptions that we have made in light of our industry experience and on our perceptions of historical trends, current conditions, expected future developments and other factors we believe are appropriate under the circumstances. As you read and consider this report, you should understand that these statements are not guarantees of performance or results. They involve risks, uncertainties (some of which are beyond our control) and assumptions. Although we believe that these forward-looking statements are based on reasonable assumptions, you should be aware that many factors could affect our actual financial results and cause them to differ materially from those anticipated in the forward-looking statements. The forward-looking statements contained in this annual report include estimates regarding:</w:t>
      </w:r>
    </w:p>
    <w:p>
      <w:pPr>
        <w:spacing w:after="0" w:line="18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financial and operating results, and future economic performance;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new product and service offerings;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goals, expectations and objectives and other similar expressions concerning matters that are not historical facts.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could affect our actual financial results and cause them to differ materially from those anticipated in the forward-looking statements include:</w:t>
      </w:r>
    </w:p>
    <w:p>
      <w:pPr>
        <w:spacing w:after="0" w:line="22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cost, availability, and quality of raw materials, key components and labor required to manufacture our products;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small number of contract manufacturers and component suppliers, including single-source suppliers;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 or successfully defend against third party infringement claims;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product and other liability claims, warranty costs, recalls, or other claims;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legal proceedings, claims, fines, penalties, tax assessments, lawsuits or government investigations;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trade policy, including the imposition of new or increased tariffs;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consummate our share repurchase programs;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inability to adapt to, or comply with, current or future changes in applicable laws, regulations, and product standards;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scrutiny regarding our sustainability practices;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enhance products and gain customer acceptance for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frequency and duration of power outages impacting demand for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durable goods spending by consumers and businesses or other macroeconomic conditions, impacting demand for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demand for our products and effectively manage inventory levels relative to such forecast;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competitive;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dealer and distribution network;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reaction to changes in selling prices or mix of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our key management and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from labor disputes or organized labor activities;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manufacturing operations;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expected synergies, efficiencies and cost savings of our acquisitions, divestitures, restructurings, or realignments will not be realized, or will not be realized within the expected time period;</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sourcing components in foreign countries;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environmental, health and safety laws and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of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security breaches of our networks, information technology systems, or connected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payments on our indebtedness;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of our credit facilities that may restrict our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need for additional capital to finance our growth or refinance our existing credit facilities;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impairment of the value of our goodwill and other indefinite-lived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of our stock price;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tax liabilities.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these assumptions prove incorrect, our actual results may vary in material respects from those projected in any forward-looking statements. A detailed discussion of these and other factors that may affect future results is contained in Item 1A of this Annual Report on Form 10-K. Stockholders, potential investors and other readers should consider these factors carefully in evaluating the forward-looking statements.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forward-looking statement made by us in this report speaks only as of the date on which it is made. Factors or events that could cause our actual results to differ may emerge from time to time, and it is not possible for us to predict all of them. We undertake no obligation to update any forward-looking statement, whether as a result of new information, future developments or otherwise,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Founded in 1959, Generac is a leading global designer, manufacturer, and provider of a wide range of energy technology solutions. Generac provides power generation equipment, energy storage systems, energy management devices &amp; solutions, and other power products serving the residential, light commercial, and industrial markets. The Company continues to expand its energy technology offerings for homes and businesses in its mission to Power a Smarter World and lead the evolution to more resilient, efficient, and sustainable energy solutions.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 long history of providing power generation products across a variety of applications, and we maintain one of the leading positions in the North American market for power equipment with an expanding presence internationally. We believe we have one of the widest ranges of products in the power generation marketplace, including residential, commercial, and industrial standby generators, as well as portable and mobile generators used in a variety of applications. The Company is evolving its product portfolio by building out ecosystems of energy technology products, solutions, and services for homes and businesses, enabling end users to better manage their energy costs and needs. As part of this evolution, we have made significant investments into developing markets such as residential and commercial &amp; industrial (C&amp;I) energy storage, solar power inverters, energy monitoring &amp; management devices, and electric vehicle (EV) charging. Central to these ecosystems are the Company’s advanced connectivity devices, controls capabilities, and software platforms that facilitate the integration of our products into grid services programs. In addition, we have been leveraging our leading position in the growing market for natural gas fueled generators, which we believe represents a cleaner fuel compared to diesel, to expand into applications beyond standby power, allowing us to participate in multi-purpose microgrid projects for C&amp;I customers. As the traditional centralized utility model evolves over time, we believe that a more decarbonized, digitized, and decentralized grid infrastructure will develop, and our energy technology solutions are uniquely and strategically positioned to participate in this next-generation grid.</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Given our competitive strengths in our traditional power generation markets, we believe we are well-positioned to execute on the growing opportunity for backup power for homes and businesses, where increased penetration is being driven by multiple mega-trends that are resulting in poorer power quality for end users. In addition, our focus on more resilient, efficient and sustainable energy solutions has dramatically increased our served addressable market, and as a result, we believe we can continue to be a leader as energy costs rise and end markets evolve over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History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Generac Power Systems, Inc. was founded in 1959 to commercialize a line of affordable portable generators that offered superior performance and features. Its success through the years has been built upon engineering expertise, manufacturing excellence and innovative approaches to the market. This has driven our growth into becoming a leading provider of power equipment for a variety of applications within residential, commercial, and industrial markets.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1980’s, we expanded beyond portable generators into the industrial power generation market with the introduction of our first stationary generators that provided up to 200kW of power output. We introduced our first residential standby generator in 1989 and expanded our industrial product offering and global distribution system in the 1990’s, forming a series of alliances that rapidly increased our sales. Our growth accelerated in the 2000’s as we expanded our purpose-built line of residential and commercial automatic standby generators and implemented our multi-layered, omni-channel distribution philosophy. Throughout the 2000’s, a number of high-profile power outage events also helped to increase the awareness and need for backup power and home standby generators. In 2006, our founder sold the company to affiliates of CCMP Capital Advisors, LLC, together with certain other investors and members of our management. In connection with that transaction, Generac Holdings Inc. was formed as a Delaware holding company. Generac Power Systems, Inc. is a wholly owned subsidiary of Generac Holdings Inc. For ease of reference in explaining the general activities of its related entities in this report, Generac Holdings Inc. includes here the operating activities of its wholly owned subsidiaries. In February 2010, we completed our initial public offering (IPO) of the Company’s common stock. Since then, we have scaled our sales &amp; marketing capabilities and systems, while also building the Generac brand into one of the leading names in backup power around the nation.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Soon after going public, we implemented our “Powering Ahead” enterprise strategy. This strategic plan accelerated the Company’s transition from primarily a North America focused, emergency backup generator company into a more diversified industrial technology company with the addition of new and adjacent product categories and an expanded global presence, primarily through a series of acquisitions. It is during this time in the 2010’s that we formed and built out our International segment, which provided additional capability to expand and increase market share by introducing our broad product offering into local markets around the world.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2018, we transitioned to a new enterprise strategy called “Powering Our Future”, which drove further share gains in new and existing markets, capitalized on our leadership in natural gas gensets, established our connectivity strategy, and provided the foundation for the Company’s evolution into an energy technology solutions company, including our initial acquisitions within the residential clean energy space. This ultimately led to the introduction of our “Powering A Smarter World” enterprise strategy in 2021. Our current strategic plan continues the evolution of Generac’s business model that pairs traditional and renewable power generation, conversion, and storage technologies with new monitoring, management and grid services capabilities to provide solutions for the dynamic challenges presented by today’s energy landscape.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Investments in Energy Technology Solutions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been providing power generation and resiliency solutions for homes and businesses for decades. Leveraging that expertise in power generation, Generac has made significant investments in recent years to expand its capabilities into energy technology solutions, beginning with the March 2019 acquisition of Neurio Technology Inc., a leading energy data company focused on monitoring technology and sophisticated analytics to optimize energy use within a home or business. This was followed by the April 2019 acquisition of Pika Energy Inc. (Pika Energy), a designer and manufacturer of battery storage technologies that capture and store solar or other power sources for homeowners and businesses. In October 2020, the Company acquired Enbala Power Networks Inc., one of the leading providers of distributed energy optimization and control software that helps support the operational stability of the world’s power grids. In July 2021, Generac added to its residential clean energy portfolio with the acquisition of Chilicon Power LLC (Chilicon), a designer and provider of grid-interactive rooftop power inversion devices and monitoring solutions for the solar market. Although we do not believe battery storage applications will displace traditional engine driven backup generators used for power resiliency in the short or medium term, our strategy and continued investment in such energy technology solutions will help ensure Generac maintains its leadership as an energy solutions provider as battery technology evolves over time. With these acquisitions, Generac has established a presence in the rapidly developing residential clean energy market, focused on solar and battery storage solutions, as well as grid services platforms and grid-connected solutions. With these investments, we are able to provide another source of power resiliency that complements our traditional backup power business.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2021, Generac acquired ecobee Inc. (ecobee), a leader in sustainable home technology solutions. In addition to smart home thermostatic controls and other smart home devices, ecobee offers its customers the ability to participate in energy services programs, which allow homeowners to reduce energy consumption and utility bills via intelligent HVAC controls. The acquisition represents a major step forward in the Company’s efforts to provide an integrated residential energy ecosystem that includes a sophisticated user interface platform to allow homeowners to take charge of their energy generation, storage, consumption, and management. By leveraging ecobee’s product and software development expertise to create the central hub of our residential energy ecosystem, we believe ecobee’s solutions will prove to be a differentiator for Generac when combined with our growing suite of energy technology solutions.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Generac made a minority investment in Wallbox N.V. (Wallbox) (NYSE: WBX), a global leader in smart EV charging and energy management solutions. Along with the investment, Generac and Wallbox are working together on commercial arrangements to provide Wallbox’s full suite of EV charging solutions to Generac’s customers and distribution partners. To further strengthen this relationship, we made an additional minority investment in Wallbox in August 2024.</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Following these acquisitions and investments, we have made considerable organic investments in improving the quality, reliability, and manufacturability of the solutions provided. For example, in 2023, we opened a dedicated engineering center of excellence in Reno, Nevada that currently houses the development and testing of batteries, switches, power electronics, and other clean energy solutions. We have also made considerable progress in building out leadership teams and integrating the technical capabilities from our recent acquisitions, which will help drive our energy technology strategic initiatives forward. The integration of these technologies expands upon our well-established value proposition of providing homeowners with resiliency by also optimizing for cost, convenience, and comfort.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we look to the future, we expect to make continued investment in the development of these residential energy technologies, as we work to further broaden our product offering and distribution network. While the policy back drop for the clean energy market may evolve over time, we believe customer interest and demand, as well as government programs and support for such energy technology products, will continue as grid capacity is strained and energy costs rise. With this opportunity in front of us, we plan to build out our residential energy technology capabilities and our suite of products and solutions as we expect to play an important role in the transition to a more sustainable and reliable electric grid.</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Generac’s efforts in expanding its energy technology solutions extend to C&amp;I and international markets as well. In June 2021, the Company acquired Deep Sea Electronics Limited (Deep Sea), a UK-based designer and manufacturer of advanced controls for a range of power generation and other applications used around the world. In September 2021, Generac acquired Off Grid Energy Ltd., a designer and manufacturer of industrial-grade mobile energy storage systems serving predominantly rental markets. The Company advanced its C&amp;I connectivity strategy with the October 2022 acquisition of Blue Pillar, an industrial internet of things (IoT) platform developer that designs, deploys, and manages industrial IoT solutions. Blue Pillar provides a foundation to connect, monitor, and manage our C&amp;I products to further enable their use in grid services programs. In February 2023, Generac acquired REFU Storage Systems GmbH (REFU), a German-based developer and supplier of battery storage and inverter hardware products, advanced software, and platform services for the commercial and industrial markets. REFU’s energy storage systems will complement and enhance our current global product offerings and are expected to further accelerate our development of new technologies in the energy technology space. Additionally, in 2024, we strengthened our presence in the emerging North American markets for C&amp;I behind-the-meter energy storage and multi-asset microgrids with the acquisitions of SunGrid’s C&amp;I battery energy storage system (BESS) product offering and Ageto, a leading provider of microgrid controllers that seamlessly integrate, optimize and manage distributed energy resources (DERs). These acquisitions and related organic initiatives collectively help lay the groundwork to further advance our energy technology strategies across C&amp;I markets around the world.</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complete summary of recent acquisitions, please see Note 1, “Description of Business,” to the consolidated financial statements in Item 8 of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Solutions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design, manufacture, and distribute a broad range of energy technology products and solutions. We design and manufacture stationary, portable, and mobile power generators with single-engine outputs ranging between 800W and 3,250kW. We have developed a line of energy storage systems for use in residential solar-plus-storage applications. We also have a line of stationary and mobile energy storage systems that serve global C&amp;I markets. We have a selection of energy monitoring and management devices that we expect to serve as the central hub or controls platform for our residential and C&amp;I energy ecosystems. We participate in the market for grid services by providing DERs and the software to optimize and control those assets to support the grid. We design and manufacture other power products including light towers and a broad line of outdoor power equipment that we refer to as “chore products”, which includes a variety of property maintenance equipment powered by both engines and batteries. We classify our products and services into three categories based on similar ranges of power output geared for varying end customer uses: Residential products, C&amp;I products, and Other products and services. The following summary outlines these categories, including their key attributes and customer applications.</w:t>
      </w:r>
    </w:p>
    <w:p>
      <w:pPr>
        <w:sectPr>
          <w:pgSz w:w="11900" w:h="16838" w:orient="portrait"/>
          <w:cols w:equalWidth="0" w:num="1">
            <w:col w:w="11240"/>
          </w:cols>
          <w:pgMar w:left="320" w:top="121" w:right="339" w:bottom="200" w:gutter="0" w:footer="0" w:header="0"/>
        </w:sectPr>
      </w:pP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20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Residential Products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residential automatic standby generators range in output from 7.5kW to 150kW, which predominantly operate on natural gas and liquid propane, and are permanently installed with an automatic transfer switch, which we also manufacture. Air-cooled engine residential standby generators range in outputs from 7.5kW to 26kW and serve as an emergency backup for small to medium-sized homes. Liquid-cooled engine generators serve as emergency backup for larger homes and small businesses and range in output from 22kW to 150kW.</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the product category leader, we believe we have the broadest line of home standby generators in the marketplace. Every home standby generator that we offer is equipped with Mobile Link™. This remote monitoring capability is a standard feature that allows our customers to check the status of their generator remotely from their smart phone or tablet and also provides the capability to similarly receive maintenance and service alerts. This remote monitoring information can also be accessed by our dealers to help them monitor their installed base of products and proactively support their customers. The data that is provided by this remote monitoring functionality also allows us to better understand our products in the field, while optimizing both product quality and customer satisfaction. We also offer propane tank monitoring solutions, a technology that we acquired in 2021 via Tank Utility Inc. (Tank Utility), an IoT propane tank monitoring solutions company. This additional monitoring capability drives further incremental value to our dealers and peace of mind to owners of our home standby generators that use propane as a fuel source.</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Leveraging the technologies acquired in the 2019 acquisition of Pika Energy and the subsequent organic investments we have made in clean energy, we have developed a line of residential battery storage systems marketed under the Generac brand and using the PWRcell™ brand name. This system captures and stores electricity from solar panels or other power sources and helps reduce home energy costs while also protecting homes from shorter duration power outages. PWRcell systems can range in size from 9kWh up to 36kWh of storage capacity. In 2025, we expect to launch the PWRcell 2 Series, the next generation of our PWRcell energy storage system, which includes significant improvements in performance and compatibility as compared to the first generation.</w:t>
      </w:r>
    </w:p>
    <w:p>
      <w:pPr>
        <w:spacing w:after="0" w:line="18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2021, we acquired ecobee, a leader in sustainable smart home solutions such as smart thermostats and a suite of home monitoring products, all designed with a focus on energy conservation, convenience, peace of mind and comfort. ecobee’s smart home energy management devices and complementary sensors intelligently optimize heating and cooling systems, often the largest energy consuming system within a home, to deliver significant energy savings for homeowners. In 2023, ecobee launched a line of smart doorbell cameras, which integrates with ecobee’s products and helps to drive increased consumer engagement with their platform. The capabilities acquired via ecobee, paired with our existing Mobile Link remote monitoring system, provide the foundation for Generac’s residential connectivity infrastructure, which will be integral in the continued development of our smart home energy ecosystem.</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Importantly, we are leveraging ecobee’s technologies and software development expertise to develop a user interface at the center of our home energy ecosystem that will allow homeowners to monitor and control Generac’s entire suite of products using a “single pane of glass”. In 2023, we took our first steps towards this goal by successfully integrating our home standby generators and propane tank monitors with the ecobee platform. Our next-generation clean energy products and solutions, including PWRcell 2 and Wallbox’s EV charging solutions, will be fully integrated with the ecobee platform. We believe the integration of our products and solutions in a single cohesive ecosystem will drive additional peace of mind, energy efficiency, and ultimately lower utility bills for homeowners.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functionality will also help enable connection to grid services distributed energy resource management software (DERMS), including our in-house solution called Concerto. All of our residential energy technology products and home standby generators come with grid-connection capabilities, enabling consumers to connect and enroll their DERs in available grid services programs. These utility-sponsored programs, when and where offered, can provide value to homeowners in the form of lower utility costs, while also helping provide grid operators incremental capacity to address supply/demand imbalances on the grid.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develop new Generac-branded energy technology products that we expect to bring to market as we build out a broader energy management ecosystem, giving our distributors access to a more diverse line-up of products that can serve a variety of applications. For example, our investment in Wallbox has allowed us to participate in the rapidly developing home EV charging market by offering co-branded EV charging technologies through our expansive distribution network.</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provide a broad product line of portable and inverter generators that range in size from 800W to 18kW, as well as multiple portable battery solutions that provide clean, emission-free power at the push of a button. These products can help serve as an emergency home backup source of electricity on a limited basis, and they can also be used for construction and recreational purposes. Our portable generators are targeted at homeowners, with price points ranging between the consumer value end of the market through the premium homeowner market; at professional contractors, starting at the value end through the premium contractor segment; and at the recreational market with our inverter generator products, which are quieter than traditional portable generators. In addition, we offer manual transfer switches to supplement our portable generator product offering.</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provide a broad product line of outdoor power equipment referred to as “chore products”, which are used in property maintenance applications for larger-acreage residences, commercial properties, municipalities, and farms. These products include trimmers, field and brush mowers, log splitters, stump grinders, chipper shredders, lawn and leaf vacuums, pressure washers and water pumps. We also offer commercial-grade, battery-powered turf care products through our “Mean Green” brand name, which was acquired in 2020. Chore products are largely sold in North America through direct-to-consumer online catalogs, retail hardware stores, and outdoor power equipment dealers, primarily under the DR® brand name.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Residential products comprised 56.6%, 51.3% and 63.8%, respectively, of total net sales in 2024, 2023 and 2022.</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&amp; Industrial Products</w:t>
      </w:r>
    </w:p>
    <w:p>
      <w:pPr>
        <w:spacing w:after="0" w:line="229"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We offer a full line of C&amp;I generators that are sold around the world. We are a leader in cleaner-burning natural gas fueled generators and also have a full offering of C&amp;I generators that are fueled by diesel and Bi-Fuel</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We believe we have one of the broadest product offerings in the industry with power outputs ranging from 10kW up to 3,250kW. Through our Deep Sea subsidiary, we have expanded our capabilities in the design and manufacture of advanced controls for a range of C&amp;I power generation applications. Our natural gas C&amp;I stationary generators have grid-connection capabilities, enabling our customers to generate an incremental return on investment by connecting and enrolling their generator as a DERs in grid services applications where available.</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light-commercial standby generators and related transfer switches include a full range of affordable systems from 22kW to 150kW, providing three-phase power sufficient for most small and mid-sized businesses such as grocery stores, convenience stores, restaurants, gas stations, pharmacies, retail banks, small health care facilities and other small-footprint retail applications. Our light-commercial generators predominantly run on natural gas and liquid propane.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design and manufacture a broad product line of modularized and configured stationary generators and related transfer switches for various industrial standby, continuous-duty, and prime rated applications. Our single-engine industrial generators range in output from 10kW up to 3,250kW, include stationary and containerized packages, and can include our Modular Power Systems (MPS) technology that extends our product range up to much larger multi-megawatt systems through an integrated paralleling configuration. Over the past several years, we have introduced larger and higher-powered gaseous-fueled generators, with the highest output of 1,000kW for a single-engine set. Our industrial standby generators are primarily used as emergency backup for larger applications (such as healthcare, telecom, datacom, commercial office, retail, municipal and manufacturing, to name a few). In recent years, we have seen interest in utilizing our gaseous-fueled generators in "beyond standby" applications including distributed generation and microgrid projects and have developed purpose-built products for these applications that have grid-connected capability. This grid-connected functionality and the significant expansion of our in-house advanced controls capabilities further enhances the opportunity for our generators to be used in these applications.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MPS technology combines the power of several smaller generators to produce the output of a larger generator, providing our customers with redundancy and scalability in a cost-effective manner. For larger industrial applications, our MPS products offer customers an efficient, affordable way to scale their standby power needs, while offering superior reliability given their built-in redundancy which allows individual units to be taken off-line for routine maintenance while retaining coverage for critical circuits.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offer a full line of industrial transfer switches to meet varying needs from light commercial applications all the way up to the most demanding mission-critical installations. In recent years, we have significantly increased and upgraded our industrial transfer switch product offering, which we believe will help to enhance our attachment rate and related market share for these products. Generac’s innovative feature set and flexible platforms offer a variety of switching configurations to meet almost any project needs.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design and manufacture a broad product line of C&amp;I mobile products such as light towers and mobile generators, which provide temporary lighting and power for various end markets around the world (such as road and commercial construction, energy, mining, military, and special events). We also offer commercial mobile pumps, heaters, and dust-suppression equipment for a wide variety of applications. Our mobile products are typically sold globally to national and regional rental companies who then rent the equipment to the end user.</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continued to expand our portfolio of energy technology solutions for C&amp;I applications as well. In 2021, we acquired Off Grid Energy, a European based manufacturer of mobile energy storage systems predominantly used in the rental markets. In 2023, we acquired REFU, a European based provider of stationary C&amp;I BESS solutions and related inverter products, which expanded our product offering to enter certain C&amp;I BESS markets around the world. In 2024, we strengthened our position in the North American C&amp;I BESS market with the acquisitions of SunGrid’s C&amp;I BESS product offering and Ageto, a leading provider of microgrid controllers that seamlessly integrate, optimize and manage DERs. We believe these collective product offerings will enable us to capture market share in the rapidly developing markets for C&amp;I BESS and multi-asset microgrids in North America.</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C&amp;I BESS solutions are primarily targeted at “behind-the-meter” applications for on-site energy storage. We expect to leverage our leading position as a provider of traditional stationary generators to gain share in the global C&amp;I BESS market. This expertise is particularly beneficial for multi-asset microgrid solutions that combine generators with energy storage assets, providing the many benefits of behind-the-meter storage with longer duration outage protection. These microgrids can include other energy assets such as commercial EV charging capabilities, which we are now able to offer via our partnership with Wallbox.</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continue to develop other energy technology products, including mobile battery-powered light towers and hybrid mobile solutions that pair a battery with a diesel engine to reduce emissions and noise pollution. In addition, we continue to provide various gaseous-engine control systems and accessories, which are used in our natural gas generators, as well as sold to other gas-engine manufacturers and aftermarket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C&amp;I products comprised 32.3%, 37.2% and 27.6%, respectively, of total net sales in 2024, 2023 and 2022.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Products and Services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“Other products and services” category primarily consists of aftermarket service parts and product accessories sold to our customers, installation and maintenance services, extended warranty revenue, grid services and other software-related subscription revenue, remote monitoring subscription revenue, and other project management service offerings provided by our owned industrial distributors.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Included in this “Other products and services” category are certain revenues that are generated by ecobee, Blue Pillar, Ageto, and our Concerto and Mobile Link software platforms, as follows: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ecobee recognizes service revenue in certain circumstances when a homeowner enrolls their smart thermostat in a grid services program offered by their utility. ecobee can provide utilities direct connection to a homeowner’s smart thermostat, thereby allowing control of a significant portion of the home’s electrical load. In exchange for this capability, utilities pay ecobee for that connection.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2022 acquisition of Blue Pillar expanded our C&amp;I connectivity capabilities and provided a standard protocol for all of our C&amp;I products to be connected. In addition to connectivity device sales, Blue Pillar recognizes software subscription and support revenue resulting from the monitoring and management capabilities its platform provides to customers.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2024 acquisition of Ageto further enhanced our advanced control capabilities, particularly in the C&amp;I BESS and multi-asset microgrid markets. In addition to its controls hardware, Ageto’s solutions include software-as-a-service contracts for site level system integration and control of end customer energy assets that make up a microgrid.</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Concerto energy-balancing software platform provides a highly flexible approach for controlling and dispatching DERs from flexible loads, backup generators, energy storage systems, and other renewable energy sources. Concerto gives utilities and grid operators the flexibility to operate virtual power plants in real-time to better manage the escalating complexities of the future electrical grid.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Finally, our Mobile Link platform provides remote monitoring services for our residential home standby customers and “Fleet” services for our residential home standby dealers, whereby we collect subscription revenue for these services on a recurring basis.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products and services" comprised 11.1%, 11.5% and 8.6%, respectively, of total net sales in 2024, 2023 and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Mega-Trends, Strategic Growth Themes, and Additional Business Drivers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2021, we unveiled our “Powering A Smarter World” strategic plan, which serves as the framework for the significant investments we have made and will continue to make to capitalize on the long-term growth prospects of Generac. Our enterprise strategy is based on the combination of several key mega-trends that we believe will drive a number of significant strategic growth themes for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Mega-Trends:</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Lower power quality continuing to drive demand for backup power solutions:</w:t>
      </w:r>
    </w:p>
    <w:p>
      <w:pPr>
        <w:spacing w:after="0" w:line="27" w:lineRule="exact"/>
        <w:rPr>
          <w:sz w:val="20"/>
          <w:szCs w:val="20"/>
          <w:color w:val="auto"/>
        </w:rPr>
      </w:pPr>
    </w:p>
    <w:p>
      <w:pPr>
        <w:ind w:left="720" w:hanging="203"/>
        <w:spacing w:after="0"/>
        <w:tabs>
          <w:tab w:leader="none" w:pos="7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frequent severe and volatile weather impacting an aging grid, causing increased power outage activity.</w:t>
      </w:r>
    </w:p>
    <w:p>
      <w:pPr>
        <w:spacing w:after="0" w:line="9" w:lineRule="exact"/>
        <w:rPr>
          <w:rFonts w:ascii="Times New Roman" w:cs="Times New Roman" w:eastAsia="Times New Roman" w:hAnsi="Times New Roman"/>
          <w:sz w:val="18"/>
          <w:szCs w:val="18"/>
          <w:color w:val="auto"/>
        </w:rPr>
      </w:pPr>
    </w:p>
    <w:p>
      <w:pPr>
        <w:ind w:left="720" w:hanging="203"/>
        <w:spacing w:after="0" w:line="250" w:lineRule="auto"/>
        <w:tabs>
          <w:tab w:leader="none" w:pos="7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deployment of intermittent generation sources coupled with accelerating electricity demand trends driving supply/demand imbalances for utilities and grid operators.</w:t>
      </w:r>
    </w:p>
    <w:p>
      <w:pPr>
        <w:ind w:left="400" w:hanging="163"/>
        <w:spacing w:after="0"/>
        <w:tabs>
          <w:tab w:leader="none" w:pos="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power prices driving the need for energy management solutions:</w:t>
      </w:r>
    </w:p>
    <w:p>
      <w:pPr>
        <w:spacing w:after="0" w:line="9" w:lineRule="exact"/>
        <w:rPr>
          <w:rFonts w:ascii="Times New Roman" w:cs="Times New Roman" w:eastAsia="Times New Roman" w:hAnsi="Times New Roman"/>
          <w:sz w:val="18"/>
          <w:szCs w:val="18"/>
          <w:color w:val="auto"/>
        </w:rPr>
      </w:pPr>
    </w:p>
    <w:p>
      <w:pPr>
        <w:ind w:left="720" w:hanging="203"/>
        <w:spacing w:after="0"/>
        <w:tabs>
          <w:tab w:leader="none" w:pos="7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Electrification trends causing power demand to exceed supply, driving up power prices.</w:t>
      </w:r>
    </w:p>
    <w:p>
      <w:pPr>
        <w:spacing w:after="0" w:line="9" w:lineRule="exact"/>
        <w:rPr>
          <w:rFonts w:ascii="Times New Roman" w:cs="Times New Roman" w:eastAsia="Times New Roman" w:hAnsi="Times New Roman"/>
          <w:sz w:val="18"/>
          <w:szCs w:val="18"/>
          <w:color w:val="auto"/>
        </w:rPr>
      </w:pPr>
    </w:p>
    <w:p>
      <w:pPr>
        <w:ind w:left="720" w:hanging="203"/>
        <w:spacing w:after="0"/>
        <w:tabs>
          <w:tab w:leader="none" w:pos="7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required to upgrade grid infrastructure and transition to renewable power sources, pushing prices higher.</w:t>
      </w:r>
    </w:p>
    <w:p>
      <w:pPr>
        <w:spacing w:after="0" w:line="9" w:lineRule="exact"/>
        <w:rPr>
          <w:rFonts w:ascii="Times New Roman" w:cs="Times New Roman" w:eastAsia="Times New Roman" w:hAnsi="Times New Roman"/>
          <w:sz w:val="18"/>
          <w:szCs w:val="18"/>
          <w:color w:val="auto"/>
        </w:rPr>
      </w:pPr>
    </w:p>
    <w:p>
      <w:pPr>
        <w:ind w:left="400" w:hanging="163"/>
        <w:spacing w:after="0"/>
        <w:tabs>
          <w:tab w:leader="none" w:pos="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Artificial intelligence adoption accelerating, creating a large market opportunity for backup power:</w:t>
      </w:r>
    </w:p>
    <w:p>
      <w:pPr>
        <w:spacing w:after="0" w:line="9" w:lineRule="exact"/>
        <w:rPr>
          <w:rFonts w:ascii="Times New Roman" w:cs="Times New Roman" w:eastAsia="Times New Roman" w:hAnsi="Times New Roman"/>
          <w:sz w:val="18"/>
          <w:szCs w:val="18"/>
          <w:color w:val="auto"/>
        </w:rPr>
      </w:pPr>
    </w:p>
    <w:p>
      <w:pPr>
        <w:ind w:left="720" w:hanging="203"/>
        <w:spacing w:after="0"/>
        <w:tabs>
          <w:tab w:leader="none" w:pos="7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power requirements for the buildout of data centers to enable AI adoption could drive further grid instability.</w:t>
      </w:r>
    </w:p>
    <w:p>
      <w:pPr>
        <w:spacing w:after="0" w:line="9" w:lineRule="exact"/>
        <w:rPr>
          <w:rFonts w:ascii="Times New Roman" w:cs="Times New Roman" w:eastAsia="Times New Roman" w:hAnsi="Times New Roman"/>
          <w:sz w:val="18"/>
          <w:szCs w:val="18"/>
          <w:color w:val="auto"/>
        </w:rPr>
      </w:pPr>
    </w:p>
    <w:p>
      <w:pPr>
        <w:ind w:left="720" w:hanging="203"/>
        <w:spacing w:after="0"/>
        <w:tabs>
          <w:tab w:leader="none" w:pos="7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in the number of hyperscale and edge data centers that require significant backup power.</w:t>
      </w:r>
    </w:p>
    <w:p>
      <w:pPr>
        <w:spacing w:after="0" w:line="9" w:lineRule="exact"/>
        <w:rPr>
          <w:rFonts w:ascii="Times New Roman" w:cs="Times New Roman" w:eastAsia="Times New Roman" w:hAnsi="Times New Roman"/>
          <w:sz w:val="18"/>
          <w:szCs w:val="18"/>
          <w:color w:val="auto"/>
        </w:rPr>
      </w:pPr>
    </w:p>
    <w:p>
      <w:pPr>
        <w:ind w:left="400" w:hanging="163"/>
        <w:spacing w:after="0"/>
        <w:tabs>
          <w:tab w:leader="none" w:pos="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demand for cleaner burning fuels:</w:t>
      </w:r>
    </w:p>
    <w:p>
      <w:pPr>
        <w:spacing w:after="0" w:line="9" w:lineRule="exact"/>
        <w:rPr>
          <w:rFonts w:ascii="Times New Roman" w:cs="Times New Roman" w:eastAsia="Times New Roman" w:hAnsi="Times New Roman"/>
          <w:sz w:val="18"/>
          <w:szCs w:val="18"/>
          <w:color w:val="auto"/>
        </w:rPr>
      </w:pPr>
    </w:p>
    <w:p>
      <w:pPr>
        <w:ind w:left="720" w:hanging="203"/>
        <w:spacing w:after="0"/>
        <w:tabs>
          <w:tab w:leader="none" w:pos="7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gas and other alternative fuels are vital to the energy transition.</w:t>
      </w:r>
    </w:p>
    <w:p>
      <w:pPr>
        <w:spacing w:after="0" w:line="9" w:lineRule="exact"/>
        <w:rPr>
          <w:rFonts w:ascii="Times New Roman" w:cs="Times New Roman" w:eastAsia="Times New Roman" w:hAnsi="Times New Roman"/>
          <w:sz w:val="18"/>
          <w:szCs w:val="18"/>
          <w:color w:val="auto"/>
        </w:rPr>
      </w:pPr>
    </w:p>
    <w:p>
      <w:pPr>
        <w:ind w:left="720" w:hanging="203"/>
        <w:spacing w:after="0"/>
        <w:tabs>
          <w:tab w:leader="none" w:pos="7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natural gas-fueled backup generators growing as homes and businesses desire cleaner-burning fuel sources of generation.</w:t>
      </w:r>
    </w:p>
    <w:p>
      <w:pPr>
        <w:spacing w:after="0" w:line="9" w:lineRule="exact"/>
        <w:rPr>
          <w:rFonts w:ascii="Times New Roman" w:cs="Times New Roman" w:eastAsia="Times New Roman" w:hAnsi="Times New Roman"/>
          <w:sz w:val="18"/>
          <w:szCs w:val="18"/>
          <w:color w:val="auto"/>
        </w:rPr>
      </w:pPr>
    </w:p>
    <w:p>
      <w:pPr>
        <w:ind w:left="400" w:hanging="163"/>
        <w:spacing w:after="0"/>
        <w:tabs>
          <w:tab w:leader="none" w:pos="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investment in global infrastructure, driving demand for our products:</w:t>
      </w:r>
    </w:p>
    <w:p>
      <w:pPr>
        <w:spacing w:after="0" w:line="9" w:lineRule="exact"/>
        <w:rPr>
          <w:rFonts w:ascii="Times New Roman" w:cs="Times New Roman" w:eastAsia="Times New Roman" w:hAnsi="Times New Roman"/>
          <w:sz w:val="18"/>
          <w:szCs w:val="18"/>
          <w:color w:val="auto"/>
        </w:rPr>
      </w:pPr>
    </w:p>
    <w:p>
      <w:pPr>
        <w:ind w:left="720" w:hanging="203"/>
        <w:spacing w:after="0"/>
        <w:tabs>
          <w:tab w:leader="none" w:pos="7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Upgrading of aging and underinvested legacy infrastructure systems, such as power, telecommunications, transportation, and water.</w:t>
      </w:r>
    </w:p>
    <w:p>
      <w:pPr>
        <w:spacing w:after="0" w:line="9" w:lineRule="exact"/>
        <w:rPr>
          <w:rFonts w:ascii="Times New Roman" w:cs="Times New Roman" w:eastAsia="Times New Roman" w:hAnsi="Times New Roman"/>
          <w:sz w:val="18"/>
          <w:szCs w:val="18"/>
          <w:color w:val="auto"/>
        </w:rPr>
      </w:pPr>
    </w:p>
    <w:p>
      <w:pPr>
        <w:ind w:left="720" w:hanging="203"/>
        <w:spacing w:after="0"/>
        <w:tabs>
          <w:tab w:leader="none" w:pos="7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investment for increasingly critical technology infrastructure as we transition to a more "connected" society.</w:t>
      </w:r>
    </w:p>
    <w:p>
      <w:pPr>
        <w:spacing w:after="0" w:line="9" w:lineRule="exact"/>
        <w:rPr>
          <w:rFonts w:ascii="Times New Roman" w:cs="Times New Roman" w:eastAsia="Times New Roman" w:hAnsi="Times New Roman"/>
          <w:sz w:val="18"/>
          <w:szCs w:val="18"/>
          <w:color w:val="auto"/>
        </w:rPr>
      </w:pPr>
    </w:p>
    <w:p>
      <w:pPr>
        <w:ind w:left="400" w:hanging="163"/>
        <w:spacing w:after="0"/>
        <w:tabs>
          <w:tab w:leader="none" w:pos="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Home as a Sanctuary, driving increased demand for resiliency solutions that provide peace of mind:</w:t>
      </w:r>
    </w:p>
    <w:p>
      <w:pPr>
        <w:spacing w:after="0" w:line="9" w:lineRule="exact"/>
        <w:rPr>
          <w:rFonts w:ascii="Times New Roman" w:cs="Times New Roman" w:eastAsia="Times New Roman" w:hAnsi="Times New Roman"/>
          <w:sz w:val="18"/>
          <w:szCs w:val="18"/>
          <w:color w:val="auto"/>
        </w:rPr>
      </w:pPr>
    </w:p>
    <w:p>
      <w:pPr>
        <w:ind w:left="720" w:hanging="203"/>
        <w:spacing w:after="0"/>
        <w:tabs>
          <w:tab w:leader="none" w:pos="7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importance of the home with more people working from home and aging in place.</w:t>
      </w:r>
    </w:p>
    <w:p>
      <w:pPr>
        <w:spacing w:after="0" w:line="9" w:lineRule="exact"/>
        <w:rPr>
          <w:rFonts w:ascii="Times New Roman" w:cs="Times New Roman" w:eastAsia="Times New Roman" w:hAnsi="Times New Roman"/>
          <w:sz w:val="18"/>
          <w:szCs w:val="18"/>
          <w:color w:val="auto"/>
        </w:rPr>
      </w:pPr>
    </w:p>
    <w:p>
      <w:pPr>
        <w:ind w:left="720" w:hanging="203"/>
        <w:spacing w:after="0"/>
        <w:tabs>
          <w:tab w:leader="none" w:pos="7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market for intelligent and connected homes that can provide improved energy efficiency.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Growth Themes: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Power quality issues continue to increase</w:t>
      </w:r>
      <w:r>
        <w:rPr>
          <w:rFonts w:ascii="Times New Roman" w:cs="Times New Roman" w:eastAsia="Times New Roman" w:hAnsi="Times New Roman"/>
          <w:sz w:val="18"/>
          <w:szCs w:val="18"/>
          <w:color w:val="auto"/>
        </w:rPr>
        <w:t>. Power disruptions are an important driver of consumer awareness for backup power and have historically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influenced demand for generators both in the United States and internationally. Increased frequency and duration of major power outage events, that have a broader impact beyond a localized level, increases product awareness and may drive consumers to accelerate their purchase of a standby or portable generator during the immediate and subsequent period, which we believe may last for six to twelve months following a major outage event. Energy storage systems offer similar resiliency advantages to consumers and can benefit from these same awareness drivers, at least for short duration power outages. The optional standby market for C&amp;I power generation is also driven by power quality issues and the related need for backup power. The impact of climate change has received increased global focus in recent years, and an aging and underinvested electrical grid infrastructure remains highly vulnerable to the expectation of more severe and volatile weather. Additionally, rapid growth in renewable power sources such as solar and wind is resulting in increased intermittency of supply as more traditional thermal generation assets are retired, further impairing the reliable supply of electricity. At the same time, power demand is expected to meaningfully accelerate as a result of the rapid adoption of artificial intelligence and related data center energy requirements, the re-industrialization of North America, and the electrification of a wide range of consumer and commercial products, including transportation, HVAC systems, and other major appliances. These developments are causing growing supply/demand imbalances for grid operators across North America, which has led to high-profile examples of rolling blackouts and calls for utility customers to reduce consumption to maintain grid integrity. In fact, the North American Electric Reliability Corporation has labeled significant portions of the United States and Canada as being at high or elevated risk of resource adequacy shortfalls in the 2025-2029 period due in part to these supply/demand dynamics. We believe utility supply shortfalls and related warnings may continue in the future, resulting in continued deterioration of power quality in North America. Finally, certain utilities are adopting preventative power shutoff policies to reduce the risk of wildfires caused by their electrical distribution equipment, predominately in the western half of the country. Taken together, we expect these factors to continue driving increased awareness of the need for backup power and demand for Generac’s products within multiple categories.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Home standby penetration opportunity is significant</w:t>
      </w:r>
      <w:r>
        <w:rPr>
          <w:rFonts w:ascii="Times New Roman" w:cs="Times New Roman" w:eastAsia="Times New Roman" w:hAnsi="Times New Roman"/>
          <w:sz w:val="18"/>
          <w:szCs w:val="18"/>
          <w:color w:val="auto"/>
        </w:rPr>
        <w:t>. Many potential customers are still not aware of the costs and benefits of automatic backup power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With only approximately 6.5% penetration of the addressable market of homes in the United States (which we define as single-family detached, owner-occupied households with a home value of over $175,000, as defined by the U.S. Census Bureau's 2023 American Housing Survey for the United States), we believe there are significant opportunities to further penetrate the residential standby generator market both domestically and internationally. In addition to the mega-trends supporting growth of the category, we believe by expanding and developing our distribution network, continuing to invest in our product lines and technologies, and targeting our marketing efforts, we can continue to build awareness and increase penetration for our home standby generators.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Solar, storage, and energy management markets continue to develop</w:t>
      </w:r>
      <w:r>
        <w:rPr>
          <w:rFonts w:ascii="Times New Roman" w:cs="Times New Roman" w:eastAsia="Times New Roman" w:hAnsi="Times New Roman"/>
          <w:sz w:val="18"/>
          <w:szCs w:val="18"/>
          <w:color w:val="auto"/>
        </w:rPr>
        <w:t>. We believe the electric utility landscape will undergo significant changes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decade ahead due to accelerating demand growth, grid instability and power quality issues, environmental concerns, and the continuing performance and cost improvements in renewable energy and energy storage technologies. Importantly, we expect that a confluence of factors will continue to drive meaningful increases in power prices for end users in the future. As a result, on-site power generation from renewable sources and cleaner-burning natural gas generators are projected to become more prevalent as will the need to monitor, manage, and store this power – potentially developing into a significant market opportunity as utility customers seek alternative solutions to combat rising power prices. In addition, battery storage provides customers another source of power resiliency for shorter duration outages. Additionally, these markets are currently being supported by significant subsidies and investment tax credits for consumers and businesses to help advance the adoption of clean energy technologies. Further, production tax credits are being offered to businesses that meet certain domestic manufacturing requirements in the production of renewable energy products. While the expected duration of these subsidies and tax credits may change, we believe the overall mega-trends that are driving the solar, storage, and energy management markets currently provide sufficient incentive for long-term, value-creating investments for market participants in this space. Given the significant market opportunity ahead of us, we expect to further advance our capabilities in energy technology by increasing our product development, sourcing, distribution, and marketing efforts. In addition, we plan to leverage our significant competencies in the residential standby generator market to build our market position in the emerging residential solar, storage, and energy management markets.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Emerging applications and business models utilizing our solutions open new market opportunities</w:t>
      </w:r>
      <w:r>
        <w:rPr>
          <w:rFonts w:ascii="Times New Roman" w:cs="Times New Roman" w:eastAsia="Times New Roman" w:hAnsi="Times New Roman"/>
          <w:sz w:val="18"/>
          <w:szCs w:val="18"/>
          <w:color w:val="auto"/>
        </w:rPr>
        <w:t>. We expect the evolution of the traditional electrical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utility model toward decarbonized, digitized, and decentralized solutions will create new market opportunities for our products. We believe that we can participate in this future electrical grid in a bigger way by utilizing our products and solutions as DERs by grid operators. This will require intelligent software platforms that are able to optimize an increasingly complex supply and demand equation at both the individual site and grid level, such as our Concerto DERMS software. Our residential and C&amp;I connectivity, controls, and energy management capabilities will also enable new recurring revenue opportunities as grid services programs continue to build out over time. Additionally, we believe that growing interest in our C&amp;I generator and BESS solutions that can be deployed in multi-asset microgrid and “beyond standby” applications will continue to emerge and create incremental market opportunities in the future. The significant advancements made in recent years in the connectivity of our products are core to these newer capabilities, which have played a key role in the evolution of Generac into an energy technology solutions company.</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Natural gas generators, a continuing growth opportunity</w:t>
      </w:r>
      <w:r>
        <w:rPr>
          <w:rFonts w:ascii="Times New Roman" w:cs="Times New Roman" w:eastAsia="Times New Roman" w:hAnsi="Times New Roman"/>
          <w:sz w:val="18"/>
          <w:szCs w:val="18"/>
          <w:color w:val="auto"/>
        </w:rPr>
        <w:t>. We believe natural gas will continue to be an important and cleaner transition fuel of the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diesel, as the world continues to shift towards lower emission power generation sources. Demand for natural gas generators continues to represent an increasing portion of the overall C&amp;I market, as the benefits of natural gas power generation are very compelling relative to traditional diesel fueled generators. We also continue to explore and expand our capabilities within new gaseous generator market opportunities, including continuous-duty, prime rated, distributed generation, demand response, microgrids, and overall use as a DERs in areas where grid stability is needed. Many of these applications are made possible by our natural gas generators having the capability to participate in available grid services programs, helping to offset the purchase price of the equipment over the product’s lifespan. Expanding our natural gas product offering into larger power nodes is also a part of this growth theme in taking advantage of the continuing shift from diesel to natural gas generators. As a leader in natural gas power generation, we believe we are well positioned to capitalize on this strategic growth theme.</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Increasingly critical nature and growing power consumption of digital infrastructure</w:t>
      </w:r>
      <w:r>
        <w:rPr>
          <w:rFonts w:ascii="Times New Roman" w:cs="Times New Roman" w:eastAsia="Times New Roman" w:hAnsi="Times New Roman"/>
          <w:sz w:val="18"/>
          <w:szCs w:val="18"/>
          <w:color w:val="auto"/>
        </w:rPr>
        <w:t>. As the number of “connected” devices continues to rapidly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wireless networks are considered critical infrastructure in the United States, network reliability and up-time are necessary for our increasingly connected society. This will require highly resilient cell tower sites across the network, and therefore necessitates the need for backup power sources on site at these cell towers. Generac is the leading supplier of backup power to the telecommunications market in the United States. As more mission-critical data is transmitted over wireless networks, we believe the penetration rate of backup generators on cell towers must increase considerably to maintain a higher level of reliability across the network. We have relationships with key Tier 1 carriers and tower companies globally, in addition to having the distribution partners to provide local service support to the global market. We believe these factors coupled with Generac’s ability to customize solutions to each customer’s needs help us to maintain our strength within the global telecommunications market.</w:t>
      </w:r>
    </w:p>
    <w:p>
      <w:pPr>
        <w:sectPr>
          <w:pgSz w:w="11900" w:h="16838" w:orient="portrait"/>
          <w:cols w:equalWidth="0" w:num="1">
            <w:col w:w="11240"/>
          </w:cols>
          <w:pgMar w:left="320" w:top="121" w:right="339" w:bottom="139" w:gutter="0" w:footer="0" w:header="0"/>
        </w:sectPr>
      </w:pPr>
    </w:p>
    <w:bookmarkStart w:id="10" w:name="page11"/>
    <w:bookmarkEnd w:id="10"/>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the rapid increase in data centers is driving increased demand for backup power solutions, given the critical nature of this infrastructure. AI requirements, hyperscalers, and the expansion of edge computing and “connected devices” are expected to quadruple US data center energy consumption from 2023 to 2030, according to certain market forecasts. We believe this significant growth in power consumption will drive demand for backup power and intelligent energy management solutions for individual data center locations, the broader electrical grid, and other grid participants.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Business Drivers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Impact of residential investment cycle. </w:t>
      </w:r>
      <w:r>
        <w:rPr>
          <w:rFonts w:ascii="Times New Roman" w:cs="Times New Roman" w:eastAsia="Times New Roman" w:hAnsi="Times New Roman"/>
          <w:sz w:val="18"/>
          <w:szCs w:val="18"/>
          <w:color w:val="auto"/>
        </w:rPr>
        <w:t>The market for a number of our residential products is affected by the residential investment cycle and overall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consumer confidence and sentiment. When homeowners are confident of their household income, the value of their home and overall net worth, they are more likely to invest in their home. These trends can have an impact on demand for residential generators, energy storage systems, and energy management devices. Trends in interest rates and the new housing market, highlighted by residential housing starts, can also impact demand for these products. Demand for outdoor power equipment is also impacted by several of these factors, as well as weather patterns. The existence of renewable energy mandates, investment tax credits, and other subsidies can also have an impact on the demand for solar and energy storage systems.</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Impact of business capital investment and other economic cycles. </w:t>
      </w:r>
      <w:r>
        <w:rPr>
          <w:rFonts w:ascii="Times New Roman" w:cs="Times New Roman" w:eastAsia="Times New Roman" w:hAnsi="Times New Roman"/>
          <w:sz w:val="18"/>
          <w:szCs w:val="18"/>
          <w:color w:val="auto"/>
        </w:rPr>
        <w:t>The global market for our C&amp;I products is affected by different capital investment cycles,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can vary widely across the different regions and markets that we serve. These cycles include non-residential building construction, durable goods and infrastructure spending, as well as investments in the exploration and production of oil &amp; gas, as businesses or organizations either add new locations or make investments to upgrade existing locations or equipment. These trends and market conditions can have a material impact on demand for our products. The capital investment cycle may differ for the various C&amp;I end markets that we serve, including light commercial, retail, office, telecommunications, rental, industrial, data centers, healthcare, construction, oil &amp; gas and municipal infrastructure, among others. The market for these products is also affected by general economic conditions, fluctuations in interest rates, and geopolitical matters in the various countries where we serve, as well as credit availability in those regions.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Enterprise Strategy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mega-trends and strategic growth themes that we have identified support our enterprise strategy, “Powering A Smarter World,” and our purpose statement, “To lead the evolution to more resilient, efficient, and sustainable energy solutions.” As we continue to execute our strategic plan into the future, we are focused on three key objectives: (i) improve energy resilience and independence, (ii) optimize energy efficiency and consumption, and (iii) protect and build critical infrastructure. These objectives are further explained as follows:</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Improve energy resilience and independence. </w:t>
      </w:r>
      <w:r>
        <w:rPr>
          <w:rFonts w:ascii="Times New Roman" w:cs="Times New Roman" w:eastAsia="Times New Roman" w:hAnsi="Times New Roman"/>
          <w:sz w:val="18"/>
          <w:szCs w:val="18"/>
          <w:color w:val="auto"/>
        </w:rPr>
        <w:t>Increase power reliability through onsite generation and storage solutions that provide resiliency for homes,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businesses and communities.</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Homes, businesses, and communities are experiencing a deterioration in the reliable supply of electricity due to a number of factors including: climate change impacts driving more severe and volatile weather leading to increased power outages; a capacity constrained legacy power infrastructure that’s still predominantly a one-way system; power infrastructure being impaired by underinvestment making it more susceptible to power outages; regulatory and legislative actions focused on carbon intensity, coupled with incentives for adoption of more intermittent renewable power sources; and a dramatic increase in power demand that could outpace supply growth due to electrification trends, accelerating power demands of data centers and artificial intelligence, and the re-industrialization of North America. We have one of the broadest product offerings that we believe can directly address these challenges for homes and businesses. Our residential and C&amp;I product offering begins with emergency standby generators that can be supplemented with portable and mobile power generators. We have also built out an offering of battery energy storage systems for behind-the-meter residential and C&amp;I applications. These onsite generation and storage solutions provide peace of mind and protection against rising power quality issues by delivering energy resilience and independence for end users and their communities. Many of these onsite solutions are capable of being connected to the grid and can help support overall grid reliability, resiliency and sustainability when enrolled in utility grid services programs.</w:t>
      </w:r>
    </w:p>
    <w:p>
      <w:pPr>
        <w:spacing w:after="0" w:line="19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Optimize energy efficiency and consumption. </w:t>
      </w:r>
      <w:r>
        <w:rPr>
          <w:rFonts w:ascii="Times New Roman" w:cs="Times New Roman" w:eastAsia="Times New Roman" w:hAnsi="Times New Roman"/>
          <w:sz w:val="18"/>
          <w:szCs w:val="18"/>
          <w:color w:val="auto"/>
        </w:rPr>
        <w:t>Enable sustainable and more efficient power generation and consumption through monitoring,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lower-carbon solutions.</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Multiple entrenched trends are expected to drive accelerated demand growth for electricity in the coming years. These power demand trends will require utilities and energy retailers to meaningfully increase the supply and reliability of electricity, while at the same time working to achieve carbon-reduction goals, which is expected to further contribute to supply/demand imbalances for power. Additionally, the combination of accelerating demand growth with significant investments in maintaining, upgrading, and decarbonizing the power grid is likely to cause meaningful increases in the price of electricity, ultimately driving home and business owners to adopt solutions to offset the impact of rising costs. As part of our expanding ecosystems of energy technology solutions, we continue to build out our residential energy management capabilities, which improve energy efficiency and optimize consumption for end users. This includes ecobee smart home energy management devices, propane tank monitoring solutions, Wallbox EV charging equipment, and other load management devices. Our battery storage solutions for both residential and C&amp;I applications allow end users to store power that is often generated on-site to optimize the timing of consumption. With this capability, home and business owners can discharge power from their battery at times when utility rates are at their highest, thereby saving money on their utility bills. Battery storage systems, along with smart thermostats and other DERs, can also participate in grid services programs, helping to enhance the efficiency of the broader electrical grid.</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continue to build out our system level controls by leveraging our deep software development capabilities brought on by various acquisitions. These controls enable the monitoring and management that is necessary to optimize energy efficiency and consumption. For our residential products, we are developing a common platform and user interface to bring all of our residential products into a single ecosystem. Using ecobee as the central hub and MobileLink as our connectivity platform, we are able to link all of our installed residential products together for a seamless consumer experience to monitor, manage, and control their energy generation, storage, and consumption. For our C&amp;I products, we are developing a similar ecosystem of controls that are building off Deep Sea’s industrial controls, Blue Pillar’s IoT network solutions, and Ageto’s multi-asset microgrid control technology, helping businesses to better optimize their energy efficiency and consumption. These enhanced control capabilities provide the foundation for the continued build out of a common system-level platform for our C&amp;I customers to monitor, manage, and control all of their DERs, including non-Generac assets as well.</w:t>
      </w:r>
    </w:p>
    <w:p>
      <w:pPr>
        <w:spacing w:after="0" w:line="19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Protect and build critical infrastructure. </w:t>
      </w:r>
      <w:r>
        <w:rPr>
          <w:rFonts w:ascii="Times New Roman" w:cs="Times New Roman" w:eastAsia="Times New Roman" w:hAnsi="Times New Roman"/>
          <w:sz w:val="18"/>
          <w:szCs w:val="18"/>
          <w:color w:val="auto"/>
        </w:rPr>
        <w:t>Offering innovative solutions that enable and protect next-generation power, telecommunications, transportation,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water, and other critical infrastructure.</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critical power infrastructure around the world is becoming more sensitive to growing electricity supply/demand imbalances. Generac’s suite of products can be connected and synchronized within DERMS platforms, such as our Concerto offering, providing utilities and grid operators the flexibility to access and control these DERs in real-time to better manage the escalating complexities of their electrical grids. When utilized in these applications, our residential and C&amp;I products essentially provide power capacity to utilities and grid operators in the form of a virtual power plant. We believe the next generation of critical power infrastructure will be more decarbonized, digitized and decentralized, and we view the aggregation and management of DERs as an important aspect in supplementing the next generation grid.</w:t>
      </w:r>
    </w:p>
    <w:p>
      <w:pPr>
        <w:sectPr>
          <w:pgSz w:w="11900" w:h="16838" w:orient="portrait"/>
          <w:cols w:equalWidth="0" w:num="1">
            <w:col w:w="11240"/>
          </w:cols>
          <w:pgMar w:left="320" w:top="121" w:right="339" w:bottom="0" w:gutter="0" w:footer="0" w:header="0"/>
        </w:sectPr>
      </w:pPr>
    </w:p>
    <w:bookmarkStart w:id="12" w:name="page13"/>
    <w:bookmarkEnd w:id="12"/>
    <w:p>
      <w:pPr>
        <w:jc w:val="both"/>
        <w:spacing w:after="0" w:line="258" w:lineRule="auto"/>
        <w:rPr>
          <w:sz w:val="20"/>
          <w:szCs w:val="20"/>
          <w:color w:val="auto"/>
        </w:rPr>
      </w:pPr>
      <w:r>
        <w:rPr>
          <w:rFonts w:ascii="Times New Roman" w:cs="Times New Roman" w:eastAsia="Times New Roman" w:hAnsi="Times New Roman"/>
          <w:sz w:val="18"/>
          <w:szCs w:val="18"/>
          <w:color w:val="auto"/>
        </w:rPr>
        <w:t>As society becomes more “connected” and more mission-critical data travels over wireless networks, reliability and uptime of this telecommunications equipment will be essential to maintain our way of life. As a leader in providing backup power generators for wireless cell towers around the world, we believe we can play an important role in helping to protect and build this critical infrastructure. In addition, we believe that data centers will be considered critical infrastructure as more data will be accessed from the “cloud” and artificial intelligence becomes more ubiquitous in our everyday lives. As a result, backup power solutions will be important elements of this next-generation infrastructure in order to make them more resilient.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broad offering of C&amp;I mobile products (including mobile light towers, mobile power generators, mobile energy storage systems and hybrid generators) play a key role in the completion of infrastructure construction projects, such as roads, highways, bridges, and airports. Finally, our products are also commonly used to provide standby power to other critical infrastructure such as water and wastewater systems and other municipal infrastructure, as well as healthcare facilities that are vital for a safe and healthy society.</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“Item 7, Management’s Discussion and Analysis of Financial Condition and Results of Operations – Business Drivers and Operational Factors” of this Annual Report on Form 10-K for additional drivers that influence demand for our products and other factors affecting the markets that we serve.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Channels and Customers</w:t>
      </w:r>
    </w:p>
    <w:p>
      <w:pPr>
        <w:spacing w:after="0" w:line="229"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We distribute our products through a variety of distribution channels to increase awareness of our product categories and brands, and to ensure our products reach a broad, global customer base. This omni-channel distribution network includes independent residential dealers and contractors, industrial distributors and dealers, national and regional retailers, e-commerce partners, electrical/HVAC/solar wholesalers, solar installers, catalogs, equipment rental companies, and other equipment distributors. We also sell direct to certain national and regional account customers, as well as to individual consumers or businesses who are the end users of our products.</w:t>
      </w:r>
    </w:p>
    <w:p>
      <w:pPr>
        <w:spacing w:after="0" w:line="183"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We believe our global distribution network is a competitive advantage that has strengthened over the years as we continue to add, expand and develop the various distribution channels through which we sell our products. We offer a broad set of tools, programs, factory support, and sales leads to help our distribution partners be successful. Our network is well balanced with no single customer providing more than 5% of our net sales in 2024.</w:t>
      </w:r>
    </w:p>
    <w:p>
      <w:pPr>
        <w:spacing w:after="0" w:line="176"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We have the industry's largest network of factory direct independent generator dealers in North America. Our residential dealer network is made up of electrical and HVAC contractors across the US and Canada. These dealers sell, install and service our residential and light commercial generators to end users. Over the years, we have made significant investments to grow this dealer network, and we will continue to make those investments in the future given the importance of this channel. We continue to focus on a variety of initiatives to more effectively market and sell our home standby products and better align our dealer network with Generac. We will continue our efforts to improve customer lead quality, nurture those leads, and develop our dealers, all with a goal of increasing close rates and lowering our cost per lead over time. Over the years, we have made significant investments in our proprietary in-home selling system for residential dealers that we call “Power Play”. We are continuously making enhancements to this platform, again with the objective of improving the customer experience and overall close rates. Additionally, our remote monitoring platform allows our residential generator dealers to monitor their installed base of customers through a feature that we call “Fleet”, enabling them to offer a more proactive experience to service a customer’s generator. By offering the best product line, pricing, marketing, tools, programs, and customer support, we believe we have built the strongest dealer network in the home standby generator industry.</w:t>
      </w:r>
    </w:p>
    <w:p>
      <w:pPr>
        <w:spacing w:after="0" w:line="192"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In recent years, we have been establishing a base of solar contractors that sell, install and service our PWRcell energy storage systems. Leveraging our decades of expertise in partnering with our residential generator dealers, we believe we can expand our solar installer network and increase mindshare for Generac’s products, helping us to win in the clean energy market in the future. In addition, we have been developing distribution relationships with national solar providers to offer our equipment in their portfolio of products and services. As we continue to launch new clean energy products in the future, we expect to accelerate our efforts to expand distribution in this market.</w:t>
      </w:r>
    </w:p>
    <w:p>
      <w:pPr>
        <w:spacing w:after="0" w:line="183"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Our industrial products distribution network consists of industrial power generation distributors that cover particular regions around the world. Over the past several years, we have been strengthening our industrial dealer network globally through acquisitions and organic means, to increase our C&amp;I product sales and related market share. Since 2020, we have acquired a number of our industrial distributors to give us direct coverage of those regions in the United States and accelerate our efforts in those markets. Industrial distributors and dealers provide C&amp;I end users with ongoing sales, installation, service and product support. Our industrial distributors and dealers help maintain the local relationships with commercial electrical contractors, specifying engineers, and national account regional buying offices. We also sell to certain EPC companies and other companies that specialize in managing more complex power generation projects, including microgrids and “beyond standby” applications.</w:t>
      </w:r>
    </w:p>
    <w:p>
      <w:pPr>
        <w:spacing w:after="0" w:line="189"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Our retail distribution channel includes thousands of locations across the globe and includes a variety of national and regional home improvement chains, electronics retailers, clubs, buying groups, hardware &amp; farm supply stores, and outdoor power equipment dealers. These physical retail locations are supplemented by a large presence of e-commerce retailers, along with a number of catalog retailers. The retail channel primarily sells our residential standby, portable and light-commercial generators, as well as our outdoor power equipment and ecobee smart home energy management devices. The placement of our products at retail locations drives significant awareness for our brands and the home standby generator product category.</w:t>
      </w:r>
    </w:p>
    <w:p>
      <w:pPr>
        <w:spacing w:after="0" w:line="183"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Our wholesale network distributes our residential and light-commercial generators, residential energy storage systems, and smart home energy management devices on a two-step basis. The channel consists of selling branches of both national and local distribution houses for electrical, HVAC and solar equipment on a wholesale basis, which in turn typically sell to electricians and HVAC/solar installers who are not in our dealer network. As part of our efforts to increase sales &amp; installation bandwidth for home standby generators, we have established an Aligned Contractor Program that provides certain benefits to contractors that purchase our products through the wholesale network and agree to participate in enhanced training sessions. We believe that this program will further align Generac with these independent contractors which is important during surge periods of demand in local markets.</w:t>
      </w:r>
    </w:p>
    <w:p>
      <w:pPr>
        <w:spacing w:after="0" w:line="187"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On a selective basis, we have established private label and licensing arrangements with third party partners to provide residential, light-commercial and industrial generators under different brand names. These partners include leading home equipment, electrical equipment and construction machinery companies, each of which provides access to incremental channels of distribution for our products. Additionally, our ecobee products are also sold through HVAC OEMs on a co-branded basis.</w:t>
      </w:r>
    </w:p>
    <w:p>
      <w:pPr>
        <w:spacing w:after="0" w:line="180"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The distribution for our C&amp;I mobile products includes global, national, regional, and specialty equipment rental companies, equipment distributors, and construction companies which primarily serve non-residential building construction, road construction, energy markets and special events.</w:t>
      </w:r>
    </w:p>
    <w:p>
      <w:pPr>
        <w:spacing w:after="0" w:line="162"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We also sell direct to certain customers that are the end users of our products covering a variety of end market verticals both domestically and around the world. This includes telecommunication, retail, data centers, banking, energy, healthcare, convenience stores, grocery stores, restaurants, governments, and other commercial applications. We have developed a diverse, global sales force that calls on these opportunities directly and helps customize solutions to each customer’s needs in their local markets. Additionally, certain of our residential products are sold direct to individual consumers, who are the end users of the product. In the grid services space, we sell software and equipment direct to utilities and grid operators.</w:t>
      </w:r>
    </w:p>
    <w:p>
      <w:pPr>
        <w:sectPr>
          <w:pgSz w:w="11900" w:h="16838" w:orient="portrait"/>
          <w:cols w:equalWidth="0" w:num="1">
            <w:col w:w="11260"/>
          </w:cols>
          <w:pgMar w:left="300" w:top="121"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100330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focus on a broad range of energy technology products and solutions drives technological innovation, advanced engineering &amp; software development capabilities, and specialized manufacturing competencies. Research and development (R&amp;D) has been a core competency for Generac since our inception, and today includes a staff of approximately 1,250 engineers working on numerous projects at various facilities around the world. These activities are focused on new product introductions, developing new technologies and product enhancements, as well as maintaining product competitiveness by reducing manufacturing costs, improving safety characteristics, and increasing reliability &amp; performance, while ensuring compliance with regulatory standards. We have significant experience using natural gas engines and have developed specific expertise with fuel systems and emissions technology. In the residential and light commercial markets, we have developed proprietary engines, cooling packages, controls, fuel systems, and emissions systems which help drive innovation while also enhancing the margin profile of those products.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 recently, we have also built out specific expertise around battery storage systems and power conversion that we plan to leverage as we expand into clean energy markets. In addition, we have significantly increased our software development capabilities across a variety of applications, including energy management, system-level microgrid controls, remote monitoring, and distributed energy resource management systems. Combining advanced software development with our broad engineering capabilities will enable us to create common ecosystems for our residential and C&amp;I products, helping us to accelerate our energy technology efforts.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engineering and product management resources focused on evaluating and developing alternative technologies that are emerging and could become commercially viable over the long-term, such as fuel cells and hydrogen. We have a long history of driving product innovation into the markets that we serve. As we continue to develop new products and technologies that are more decarbonized, digitized, and decentralized, we believe we can maintain our leadership position as an energy technology solutions provider.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committed to research, development, and product innovation, and we rely on a combination of patents and trademarks to help establish and protect our proprietary rights. Our patents protect certain features and technologies we have developed for use in our products including fuel systems, air flow, electronics and controls, noise reduction, engines, energy management, energy monitoring, energy storage, and load management. We believe the existence of these patents and trademarks, along with our ongoing processes to register additional patents and trademarks, help protect our intellectual property rights and enhance our brands and competitive position. We also use proprietary manufacturing processes that require customized equipment. With our continuous focus on research and development, we expect to develop new intellectual property on an ongoing basis.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1A. Risk Factors” of this Annual Report on Form 10-K for additional factors related to intellectual property rights that can affect our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numerous manufacturing plants, distribution facilities and inventory warehouses located throughout the world. We also store finished goods at third-party logistics providers in the United States that accommodate material storage and rapid response requirements of our customers. See “Item 2 – Properties” of this Annual Report on Form 10-K for additional details regarding the locations and activities of our principal operations.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Over the last few decades, we have developed significant manufacturing capability in the power generation industry, including engines, alternators, sheet metal fabrication, and controls. We have a heavy focus on vertical integration for certain proprietary manufacturing processes, and outsource certain components and complete products where we can leverage scale to optimize cost and quality. In recent years, we have added manufacturing capacity through investments in automation, while also expanding our manufacturing footprint through organic means as well as through acquisitions. Our ability to rapidly increase capacity has been critical to executing our growth.</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our energy technology products, our engineering and technical teams are closely aligned with our contract manufacturing partners in order to leverage their expertise and capital investments involving electrical component manufacturing.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Suppliers of Raw Materials, Components and Equipment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primary raw material inputs are steel, copper and aluminum, all of which are purchased from third parties and, in many cases, as part of machined or manufactured components. In certain instances, we purchase complete equipment or systems from third-party suppliers, including from contract manufacturers. Given our increasing focus on energy technology solutions, advanced electronic components and micro-processors have become a larger consideration within our supply chain. Within the clean energy market, batteries are a significant supply chain input for our energy storage systems. Over multiple decades, we have developed an extensive network of reliable suppliers in the United States and around the world. We continuously evaluate the quality and cost structure of our purchased components &amp; equipment and assess the capabilities and capacity of our supply chain. We select our sourcing partners based on this evaluation. For certain products, we do not have internal manufacturing capabilities and rely upon a small number of contract manufacturers to build these products or supply these components, including but not limited to certain energy technology products and components.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Over time, we have diversified the geographic reach of our global supply chain partners to partially mitigate the impact of certain trade tariffs that have been assessed on imports coming into the United States. We will continue to monitor ongoing developments with new trade tariffs that may be implemented in the future, and take action to offset the impact of those tariffs.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“Item 7. Management’s Discussion and Analysis of Financial Condition and Results of Operations” of this Annual Report on Form 10-K for additional information regarding the impact of other macroeconomic factors.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“Item 1A. Risk Factors” of this Annual Report on Form 10-K for additional factors that can influence our supply of raw materials, components and equipment.</w:t>
      </w:r>
    </w:p>
    <w:p>
      <w:pPr>
        <w:sectPr>
          <w:pgSz w:w="11900" w:h="16838" w:orient="portrait"/>
          <w:cols w:equalWidth="0" w:num="1">
            <w:col w:w="11240"/>
          </w:cols>
          <w:pgMar w:left="320" w:top="121" w:right="339" w:bottom="609"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609"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our traditional power generation markets, we face competition from a variety of large diversified industrial companies, as well as smaller generator manufacturers or packagers around the world. The competitive landscape varies between our Residential and C&amp;I power generation products. We face a different set of competitors for our mobile equipment and engine powered tools as well. In recent years, we have expanded who we compete against as we enter certain energy technology markets, such as solar inverters, battery storage systems, smart thermostats, and grid services.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generator market, many of the traditional participants compete in only certain portions of the market, targeting specific applications within their larger diversified product mix. In addition, for certain competitors, power generation is typically a smaller piece of their business, and therefore, is less prioritized from a strategic standpoint. Generac’s primary focus is on power generation and storage equipment with a key emphasis on standby, portable and mobile generators with broad capabilities across the residential, light-commercial and industrial markets. We believe that our core focus on power generation and storage drives product innovation and provides us with competitive advantages to win in the marketplace. We also believe our broad product offering, diverse omni-channel distribution model, and strong factory support provide additional advantages as well.</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Residential products </w:t>
      </w:r>
      <w:r>
        <w:rPr>
          <w:rFonts w:ascii="Times New Roman" w:cs="Times New Roman" w:eastAsia="Times New Roman" w:hAnsi="Times New Roman"/>
          <w:sz w:val="18"/>
          <w:szCs w:val="18"/>
          <w:color w:val="auto"/>
        </w:rPr>
        <w:t>– Competitors include Rehlko (formerly known as Kohler Power), Briggs &amp; Stratton, Honda, Champion, Techtronics International,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Harbor Freight, Husqvarna, Ariens, Tesla, Enphase, Solar Edge, Google, Resideo, The Toro Company, Goal Zero, and Emerson along with a number of other domestic and foreign competitors; certain of which also have broad operations in other manufacturing businesses.</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C&amp;I products </w:t>
      </w:r>
      <w:r>
        <w:rPr>
          <w:rFonts w:ascii="Times New Roman" w:cs="Times New Roman" w:eastAsia="Times New Roman" w:hAnsi="Times New Roman"/>
          <w:sz w:val="18"/>
          <w:szCs w:val="18"/>
          <w:color w:val="auto"/>
        </w:rPr>
        <w:t>– Competitors include Caterpillar, Cummins, Rehlko (formerly known as Kohler Power), IGSA, AKSA, MultiQuip, Wacker, Doosan, Atlas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Copco, Himoinsa, FG Wilson, Woodward, Planelec, and Co-map, as well as other domestic and foreign competitors that package engines and alternators into power generation equipment in local markets around the world; certain of which focus on the market for diesel generators as they are also diesel engine manufacturers.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products </w:t>
      </w:r>
      <w:r>
        <w:rPr>
          <w:rFonts w:ascii="Times New Roman" w:cs="Times New Roman" w:eastAsia="Times New Roman" w:hAnsi="Times New Roman"/>
          <w:sz w:val="18"/>
          <w:szCs w:val="18"/>
          <w:color w:val="auto"/>
        </w:rPr>
        <w:t>– Relative to service parts and extended warranty revenue, all of the above-named companies are primary competitors. Relative to grid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optimization software, Autogrid/Schneider and Energy Hub, along with other grid service solution providers, are primary competitors.</w:t>
      </w:r>
    </w:p>
    <w:p>
      <w:pPr>
        <w:spacing w:after="0" w:line="15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 continuously evolving market, we believe our scale and broad capabilities position us well to remain competitive. Overall, we compete primarily based on brand reputation, quality, reliability, pricing, innovative features, breadth of product &amp; solution offering, product availability and factory support.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Incentives and Regulation, including Environmental Matters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Generac’s growing presence in energy technology solutions has increased our exposure to renewable energy mandates, investment tax credits, and other demand-creation subsidies from certain existing and potential government incentives, such as incentives included in the U.S. Inflation Reduction Act that was passed in 2022. These incentives cover a wide range of clean energy products and solutions, including solar inverters, battery storage systems, grid services, and grid-edge devices. The availability, size, and outlook for such incentives can impact the markets for these products and solutions. These legislative and regulatory actions and other methods of government funding can be subject to changes in the political environment at a given point in time. While the policy back drop for the clean energy market may evolve over time, we believe customer interest and demand, as well as government programs and support for such energy technology products, will continue as grid capacity is strained and energy costs rise.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manufacturing company, our operations are subject to a variety of federal, state, local and foreign laws &amp; regulations covering environmental, health and safety matters. Applicable laws &amp; regulations include those governing, among other things, emissions to air, discharges to water, noise, and employee</w:t>
      </w:r>
    </w:p>
    <w:p>
      <w:pPr>
        <w:ind w:firstLine="8"/>
        <w:spacing w:after="0" w:line="260" w:lineRule="auto"/>
        <w:tabs>
          <w:tab w:leader="none" w:pos="18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safety, as well as the generation, handling, storage, transportation, treatment, and disposal of hazardous waste and other materials. In addition, our products are subject to various laws &amp; regulations relating to fuel requirements, labeling, and marketing.</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products sold in the United States are regulated by the U.S. Environmental Protection Agency (EPA), California Air Resources Board (CARB) and various other state and local air quality management districts. All of our engines and engine-driven products sold in the U.S. are regulated, and these governing bodies continue to pass regulations that require us to meet more stringent emission standards. In addition, certain of our products are subject to safety standards as established by various other standards and rulemaking bodies, including the U.S. Consumer Product Safety Commission (CPSC), among others. Similarly, other countries have varying degrees of regulation for our products, depending upon product application and fuel types.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“Item 1A. Risk Factors” to this Annual Report on Form 10-K for additional legal and regulatory factors that can affect the products we sell and the results of our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Sustainability Practices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published a report on our sustainability practices in April 2024. This report details certain measures that align with our “Powering a Smarter World” enterprise strategy and our purpose statement: 'To lead the evolution to more resilient, efficient, and sustainable energy solutions.' The information provided within the sustainability report is not part of this report and is therefore not incorporated herein by reference. A copy of the sustainability report is available on our Investor Relations webpage at Generac.com. We plan to publish an updated report on our sustainability practices in April 2025 that coincides with the filing of our annual Proxy Statement.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People" is one of the foundational elements to our “Powering a Smarter World” enterprise strategy and is a corporate value as well. We foster a culture of engagement to strengthen our company while supporting individual achievement, inclusivity, and good corporate citizenship globally. We believe our success is directly linked to our employees’ professional growth and personal well-being, combined with strong families and communities.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examples of key human capital programs and initiatives that we are focused on include:</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Health, wellness and safety </w:t>
      </w:r>
      <w:r>
        <w:rPr>
          <w:rFonts w:ascii="Times New Roman" w:cs="Times New Roman" w:eastAsia="Times New Roman" w:hAnsi="Times New Roman"/>
          <w:sz w:val="18"/>
          <w:szCs w:val="18"/>
          <w:color w:val="auto"/>
        </w:rPr>
        <w:t>– Employee health and safety is the Company’s top priority. Generac’s total rewards program is based on the four pillars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security, well-being and community. These programs are designed to meet the varied and evolving needs of our diverse workforce. We maintain an employee wellness program, incentivize healthy-living activities, and develop and administer company-wide policies to help ensure the safety of each employee and compliance with government agency and other standards.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Talent development &amp; employee engagement </w:t>
      </w:r>
      <w:r>
        <w:rPr>
          <w:rFonts w:ascii="Times New Roman" w:cs="Times New Roman" w:eastAsia="Times New Roman" w:hAnsi="Times New Roman"/>
          <w:sz w:val="18"/>
          <w:szCs w:val="18"/>
          <w:color w:val="auto"/>
        </w:rPr>
        <w:t>– Our success is directly tied to our employees and what we can accomplish together. We prioritize creating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opportunities to help employees build careers and support their growth as part of a meaningful and valuable employee experience. We hold internal career development events as well as partner with third party educational resources to offer on the job learning, collaborative work experiences and formal learning programs to support the progression and advancement of our workforce. Further, we maintain an ongoing global employee engagement initiative with targeted action plans by region, function, and business group. Action plans and their progress are measured by global employee engagement surveys. A global human capital management system was implemented enabling Generac management to make better talent decisions, proactively manage careers, scale globally and maintain compliance. We are an equal opportunity employer whose hiring and promotion practices comply with all the applicable laws and we do not condone employment discrimination in any form.</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2024, we had 9,239 employees, including part-time and temporary employees working in our operations, manufacturing and supply chain functions. Of those, approximately 3,850 employees, including temporary workers, were directly or indirectly involved in manufacturing.</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Domestically, we have had an “open shop” bargaining agreement for the past 50 years that covers our Eagle, Wisconsin facility. That facility is subject to a collective bargaining agreement that expires October 17, 2026, and is subject to Wisconsin’s Right to Work law. Through an acquisition in April 2024, three additional smaller facilities, which are located in Bloomfield and Shelton, Connecticut and Bohemia, New York, are subject to a collective bargaining agreement for its technicians. That collective bargaining agreement expires October 31, 2027, and is subject to a Union Security provision. Additionally, our plants in Mexico, Italy, Germany, and Spain are operated under various local or national union groups or works councils. Our other facilities are not unionized.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principal executive offices are located at S45 W29290 Highway 59, Waukesha, Wisconsin, 53189 and its telephone number is (262) 544-4811. The Company’s website is www.generac.com. Our annual reports on Form 10-K, quarterly reports on Form 10-Q, current reports on Form 8-K, and amendments to those reports (if applicable) are available free of charge through the “Investor Relations” portion of our web site, as soon as reasonably practicable after they are filed with the Securities and Exchange Commission (SEC). The information provided on these websites is not part of this report and is therefore not incorporated herein by reference.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executive officers: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b w:val="1"/>
                <w:bCs w:val="1"/>
                <w:color w:val="auto"/>
              </w:rPr>
              <w:t>Age</w:t>
            </w:r>
          </w:p>
        </w:tc>
        <w:tc>
          <w:tcPr>
            <w:tcW w:w="60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09"/>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Aaron P. Jagdfeld</w:t>
            </w:r>
          </w:p>
        </w:tc>
        <w:tc>
          <w:tcPr>
            <w:tcW w:w="18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53</w:t>
            </w:r>
          </w:p>
        </w:tc>
        <w:tc>
          <w:tcPr>
            <w:tcW w:w="6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President, Chief Executive Officer and Chairman</w:t>
            </w: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York A. Ragen</w:t>
            </w:r>
          </w:p>
        </w:tc>
        <w:tc>
          <w:tcPr>
            <w:tcW w:w="18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53</w:t>
            </w:r>
          </w:p>
        </w:tc>
        <w:tc>
          <w:tcPr>
            <w:tcW w:w="6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Erik Wilde</w:t>
            </w:r>
          </w:p>
        </w:tc>
        <w:tc>
          <w:tcPr>
            <w:tcW w:w="18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50</w:t>
            </w:r>
          </w:p>
        </w:tc>
        <w:tc>
          <w:tcPr>
            <w:tcW w:w="6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President, Domestic C&amp;I</w:t>
            </w: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Raj Kanuru</w:t>
            </w:r>
          </w:p>
        </w:tc>
        <w:tc>
          <w:tcPr>
            <w:tcW w:w="18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54</w:t>
            </w:r>
          </w:p>
        </w:tc>
        <w:tc>
          <w:tcPr>
            <w:tcW w:w="6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Norman Taffe</w:t>
            </w:r>
          </w:p>
        </w:tc>
        <w:tc>
          <w:tcPr>
            <w:tcW w:w="18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58</w:t>
            </w:r>
          </w:p>
        </w:tc>
        <w:tc>
          <w:tcPr>
            <w:tcW w:w="6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President, Energy Technology</w:t>
            </w:r>
          </w:p>
        </w:tc>
      </w:tr>
      <w:tr>
        <w:trPr>
          <w:trHeight w:val="23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Kyle Raabe</w:t>
            </w:r>
          </w:p>
        </w:tc>
        <w:tc>
          <w:tcPr>
            <w:tcW w:w="18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50</w:t>
            </w:r>
          </w:p>
        </w:tc>
        <w:tc>
          <w:tcPr>
            <w:tcW w:w="6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President, Consumer Power</w:t>
            </w:r>
          </w:p>
        </w:tc>
      </w:tr>
    </w:tbl>
    <w:p>
      <w:pPr>
        <w:spacing w:after="0" w:line="1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Aaron P. Jagdfeld </w:t>
      </w:r>
      <w:r>
        <w:rPr>
          <w:rFonts w:ascii="Times New Roman" w:cs="Times New Roman" w:eastAsia="Times New Roman" w:hAnsi="Times New Roman"/>
          <w:sz w:val="18"/>
          <w:szCs w:val="18"/>
          <w:color w:val="auto"/>
        </w:rPr>
        <w:t>has served as our Chief Executive Officer since September 2008, as a director since November 2006 and was named Chairman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February 2016. Prior to becoming Chief Executive Officer, Mr. Jagdfeld worked for Generac for 15 years. He began his career in the finance department in 1994 and became our Chief Financial Officer in 2002. In 2007, he was appointed President and was responsible for sales, marketing, engineering and product development. Prior to joining Generac, Mr. Jagdfeld worked in the audit practice of the Milwaukee, Wisconsin office of Deloitte and Touche. Mr. Jagdfeld holds a Bachelor of Business Administration in Accounting from the University of Wisconsin-Whitewater.</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York A. Ragen </w:t>
      </w:r>
      <w:r>
        <w:rPr>
          <w:rFonts w:ascii="Times New Roman" w:cs="Times New Roman" w:eastAsia="Times New Roman" w:hAnsi="Times New Roman"/>
          <w:sz w:val="18"/>
          <w:szCs w:val="18"/>
          <w:color w:val="auto"/>
        </w:rPr>
        <w:t>has served as our Chief Financial Officer since September 2008. Prior to becoming Chief Financial Officer, Mr. Ragen held Director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Finance and Vice President of Finance positions at Generac. Prior to joining Generac in 2005, Mr. Ragen was Vice President, Corporate Controller at APW Ltd., a spin-off from Applied Power Inc., now known as Enerpac Tool Group. Mr. Ragen began his career at Arthur Andersen in the Milwaukee, Wisconsin office audit practice. Mr. Ragen holds a Bachelor of Business Administration in Accounting from the University of Wisconsin-Whitewater.</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Erik Wilde </w:t>
      </w:r>
      <w:r>
        <w:rPr>
          <w:rFonts w:ascii="Times New Roman" w:cs="Times New Roman" w:eastAsia="Times New Roman" w:hAnsi="Times New Roman"/>
          <w:sz w:val="18"/>
          <w:szCs w:val="18"/>
          <w:color w:val="auto"/>
        </w:rPr>
        <w:t>began serving as our President, Domestic C&amp;I in July 2016. Mr. Wilde was Vice President and General Manager of the Mining Division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Komatsu America Corp., a manufacturer of construction, mining, and compact construction equipment, from 2013 until he joined Generac. Prior to that role, he held leadership positions as Vice President of the ICT Business Division and Product Marketing at Komatsu America Corp. beginning in 2005. Mr. Wilde holds a Bachelor of Business Administration in Management from Boise State University and an M.B.A. from the Keller Graduate School of Management.</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Raj Kanuru </w:t>
      </w:r>
      <w:r>
        <w:rPr>
          <w:rFonts w:ascii="Times New Roman" w:cs="Times New Roman" w:eastAsia="Times New Roman" w:hAnsi="Times New Roman"/>
          <w:sz w:val="18"/>
          <w:szCs w:val="18"/>
          <w:color w:val="auto"/>
        </w:rPr>
        <w:t>is our Executive Vice President, General Counsel &amp; Secretary and is the Company’s principal legal and compliance officer, roles that he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held since joining Generac in 2013. Prior to joining Generac, Mr. Kanuru served as in-house counsel at Caterpillar Inc. for almost 14 years within various leadership roles, including in Caterpillar’s Securities, Regulatory and Tax group, in Caterpillar Financial, and in Caterpillar’s Energy &amp; Transportation group. From 2009 to 2013, Mr. Kanuru served as Vice President, General Counsel and Secretary of Progress Rail Services Inc., and its subsidiaries (a Caterpillar company). He began his legal career as a senior associate in the tax consulting practice of Arthur Andersen LLP. Mr. Kanuru holds a Bachelor of Science in Finance degree from Birmingham-Southern College and received his Juris Doctor degree from the University of Alabama.</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Norman Taffe </w:t>
      </w:r>
      <w:r>
        <w:rPr>
          <w:rFonts w:ascii="Times New Roman" w:cs="Times New Roman" w:eastAsia="Times New Roman" w:hAnsi="Times New Roman"/>
          <w:sz w:val="18"/>
          <w:szCs w:val="18"/>
          <w:color w:val="auto"/>
        </w:rPr>
        <w:t>began serving as President, Energy Technology in August 2022. Prior to joining Generac, Mr. Taffe was Executive Vice President North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America Residential of SunPower Corporation from 2018 to 2021. Prior to this, Mr. Taffe was Executive Vice President - Products and Vice President of Power Plant Products and Solutions from 2013 to 2018. Mr. Taffe also worked in various engineering and marketing management capacities at Cypress Semiconductor from 1989 to 2012, including Executive Vice President – Consumer &amp; Computation Devices from 2005 to 2012. Mr. Taffe holds a Bachelor of Science in Electrical Engineering from the University of Michigan and an Executive MBA from Harvard Business School.</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Kyle Raabe </w:t>
      </w:r>
      <w:r>
        <w:rPr>
          <w:rFonts w:ascii="Times New Roman" w:cs="Times New Roman" w:eastAsia="Times New Roman" w:hAnsi="Times New Roman"/>
          <w:sz w:val="18"/>
          <w:szCs w:val="18"/>
          <w:color w:val="auto"/>
        </w:rPr>
        <w:t>has served as our President, Consumer Power since November 2019. Prior to rejoining Generac, Mr. Raabe was Senior Vice President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North American Sales, Demand Planning and Sales Operations from 2018 through 2019 and Vice President of Sales for the Commercial Security and Safety groups from 2015 through 2018 at The Master Lock Corporation, a manufacturer of locks, combination padlocks and other security products. Prior to working at The Master Lock Corporation, Mr. Raabe led multiple groups at Generac Power Systems from 2007 through 2015 as Director of Wholesale and Dealer Distribution, Vice President Wholesale Distribution Sales and Vice President, Industrial Distribution Sales. Before joining Generac, Mr. Raabe served at Veolia North America, Environmental Services leading Midwest Regional Service Operations. Mr. Raabe holds a BA, Biological Science from Lawrence University.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carefully consider the following risks. These risks could materially affect our business, results of operations or financial condition, cause the trading price of our common stock to decline materially or cause our actual results to differ materially from those expected or those expressed in any forward-looking statements made by us. These risks are not exclusive, and additional risks to which we are subject include, but are not limited to, the factors mentioned under “Forward-Looking Statements” and the risks of our businesses described elsewhere in this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related to our business and industry</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Decreases in the availability and quality, or increases in the cost, of raw materials, key components and labor we use to make our products could materially reduce our earnings.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principal raw materials that we use to produce our products include steel, copper and aluminum as well as batteries and advanced electronic components. We also source a significant number of component parts from third parties that we utilize to manufacture our products. The prices of those raw materials and components are susceptible to significant fluctuations due to trends in supply and demand, commodity prices, currency rate changes, transportation costs, government regulations and tariffs, price controls, economic conditions and other unforeseen circumstances beyond our control. We have seen such trends significantly impact our business in the past resulting in higher costs and shortages in materials, components and labor, and such impacts may continue or arise again in the foreseeable future. We typically do not have long-term supply contracts in place to ensure the raw materials and components we use are available in necessary amounts or at fixed prices. In the short-term, we haven't always been able to fully mitigate raw material or component price increases through product design improvements, price increases to our customers, manufacturing productivity improvements, or hedging transactions, and if our mitigation efforts continue to not be fully effective in the short or long-term, our profitability could be adversely affected. Also, our ability to continue to obtain quality materials and components is subject to the continued reliability and viability of our suppliers, including in some cases, suppliers who are the sole source of certain important components. It has been challenging to consistently obtain adequate, cost efficient or timely deliveries of certain required raw materials and components, or sufficient labor resources, and if this trend continues, we may be unable to manufacture sufficient quantities of products on a timely basis. This could cause us to lose additional sales, incur additional costs, delay new product introductions or suffer harm to our reputation.</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upon a small number of outside contract manufacturers and component suppliers, as well as single-source suppliers, for certain products and components, and our business and operations could be disrupted if we encounter problems with these parties.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certain products we rely upon contract manufacturers to build these products or supply these components, including but not limited to certain clean energy products or components. The timing of purchases in future periods could differ materially from our estimates due to fluctuations in demand requirements related to varying sales levels as well as changes in economic conditions. Further, the revenues that our contract manufacturers generate from our orders may represent a relatively small percentage of their overall revenues. While we seek to negotiate supply agreements with all of our vendors, we may purchase some products or components on a purchase order basis. As a result, fulfilling our orders may not be considered a priority to these suppliers in the event of constrained ability to fulfill all of their customer obligations in a timely manner. If any of these contract manufacturers or component suppliers were unable or unwilling to manufacture or produce our products in required volumes and at high quality levels or renew existing terms under supply agreements, we would have to identify, qualify and select acceptable alternative contract manufacturers, which may not be available to us on favorable terms, if at all. Our reliance on such contract manufacturers makes us vulnerable to possible capacity constraints and reduced control over component availability, delivery schedules, quality issues, manufacturing yields and costs. Moreover, we single-source certain types of parts in our product designs. Delays in our suppliers' deliveries have sometimes impaired, and may continue to impair, our ability to deliver products to our customers. A wide variety of factors could cause such delays including, but not limited to, lack of capacity, economic downturns, availability of credit, logistical challenges, labor or material shortages, trade restrictions, weather events, political instability, geopolitical conflicts (such as conflicts in the Ukraine or the Middle East), terrorism, civil unrest, disease or natural disasters. If any of these suppliers reduce or eliminate the supply of the components to us in the future, our revenues, business, financial condition and results of operations would be adversely impacted. Although we have ongoing contractual disputes with certain such suppliers, such disputes have not to date had any significant adverse impact on our business, financial condition or results of operation.</w:t>
      </w:r>
    </w:p>
    <w:p>
      <w:pPr>
        <w:spacing w:after="0" w:line="1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impacted if we fail to adequately protect our intellectual property rights or if third parties claim that we are in violation of their intellectual property rights.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consider our intellectual property rights to be important assets and seek to protect them through a combination of patent, trademark, copyright and trade secret laws, as well as licensing and confidentiality agreements. These protections may not be adequate to prevent third parties from using our intellectual property without our authorization, breaching any confidentiality agreements with us, copying or reverse engineering our products, or developing and marketing products that are substantially equivalent to or superior to our own. The unauthorized use of our intellectual property by others could reduce our competitive advantage and harm our business. Not only are intellectual property-related proceedings burdensome and costly, but they could take years to resolve, and we might not ultimately prevail. We cannot guarantee that any patents, issued or pending, will provide us with any competitive advantage or will not be challenged by third parties. Moreover, the expiration of our patents may lead to increased competition with respect to certain products. If we fail to protect our intellectual property and other proprietary rights, or if such intellectual property and proprietary rights are infringed, misappropriated or otherwise violated, our business, results of operations or financial condition could be materially harmed.</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we cannot be certain that we do not or will not infringe third parties' intellectual property rights. We currently are, and have previously been, subject to such third-party infringement claims, and may continue to be in the future. Any such claim, even if it is believed to be without merit, may be expensive and time-consuming to defend, subject us to damages, cause us to cease making, using or selling certain products that incorporate the disputed intellectual property, require us to redesign our products, divert management time and attention, and/or require us to enter into costly royalty or licensing arrangements. Certain parts of our business experience significant intellectual property litigation and we have in the past and could in the future become involved in costly and lengthy litigation involving patents or other intellectual property rights which could adversely affect our business. We have recently been subject to adverse rulings or have settled claims for significant amounts related to the infringement of third-party intellectual property rights, and may continue to be subject to such claims, damage awards or settlement payments. In addition, we may not prevail in such future proceedings. An adverse outcome of any such proceeding may reduce our competitive advantage or otherwise harm our financial condition and our business or potentially impair our patents and technology intangible assets which could have a material adverse effect on our financial statements.</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see Note 18, "Commitments and Contingencies," to the consolidated financial statements in Item 8 of this Annual Report on Form 10-K.</w:t>
      </w:r>
    </w:p>
    <w:p>
      <w:pPr>
        <w:sectPr>
          <w:pgSz w:w="11900" w:h="16838" w:orient="portrait"/>
          <w:cols w:equalWidth="0" w:num="1">
            <w:col w:w="11240"/>
          </w:cols>
          <w:pgMar w:left="320" w:top="121" w:right="339" w:bottom="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costs and liabilities as a result of product liability, warranty claims, recalls, or other claims.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face a risk from current and future product liability claims alleging to arise from the use of our products and that may purportedly result in injury or other damage. Although we currently maintain product liability insurance coverage, such insurance coverage may not be sufficient to cover claims or damage awards or we may not be able to obtain such insurance on acceptable terms in the future, if at all, or obtain insurance that will provide adequate coverage against potential claims. Product liability claims can be expensive to defend and can divert the attention of management and other personnel for long periods of time, regardless of the ultimate outcome. A significant unsuccessful product liability defense could have a material adverse effect on our financial condition and results of operations. In addition, we believe our business depends on the strong brand reputation we have developed. If our reputation is damaged due to product liability or warranty claims, or recalls, we may face difficulty in maintaining our market share and pricing with respect to some of our products, which could reduce our sales and profitability. We have and may continue to experience product liability, product quality or reliability claims, or warranty claims with respect to certain clean energy, generator, and/or chore products, including being subject to certain consumer product class action lawsuits or other governmental fines or penalties in relation to such products. In the event such product or warranty related claims continue or are significantly higher in the future, or we incur losses or other damages associated with current or future product liability lawsuits or product related claims, this may continue to adversely affect our reputation or brand quality in relation to such products, subject us to significantly increased costs or penalties, and otherwise materially harm our results of operations, financial condition and our business. Even in litigation where we believe the likelihood of liability is remote, there is a risk that a negative finding or decision in a matter involving multiple plaintiffs or a purported class action could have a material adverse effect on our competitive position, results of operations or financial condition.</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do record reserves for future warranty claims, our estimated warranty accruals for previously sold products and our warranty costs for current product sales are based on assumptions using historical experience, and we do not have a long history with respect to certain products. As a result, these assumptions could prove to be materially different from the actual performance of such products, causing us to incur substantial unanticipated expenses to repair or replace defective products in the future or to compensate customers for defective products. Our failure to accurately predict future claims could have a material adverse effect on our business, results of operations, or financial condition.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Moreover, we have and may continue to be exposed to product recalls and adverse public relations if our products are alleged to have defects, to cause property damage, to cause injury or illness, or if we are alleged to have violated governmental regulations. A product recall could result in substantial and unexpected expenditures, which would reduce operating profit and cash flow. In addition, a product recall may require significant management attention. Product recalls may hurt the value of our brands and lead to decreased demand for our products. Product recalls have resulted in and may continue to lead to increased scrutiny, fines or other penalties by federal, state or international regulatory agencies on our operations or business and increased litigation and could have a material adverse effect on our consolidated results of operations, financial condition and cash flows.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see Note 18, "Commitments and Contingencies," to the consolidated financial statements in Item 8 of this Annual Report on Form 10-K.</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risk of non-compliance with U.S. and foreign laws and regulations applicable to our global operations could have a significant impact on our results of operations, financial condition or strategic objectives.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global operations subject us to regulation by U.S. federal and state laws and multiple foreign laws, regulations and policies. These laws and regulations are complex, change frequently, have become more stringent over time and increase our cost of doing business. These laws and regulations include import and export control, sanction and trade restriction laws, environmental, health and safety regulations, data privacy requirements, international labor laws and work councils and anti- corruption and bribery laws such as the U.S. Foreign Corrupt Practices Act, the U.K. Bribery Act, the U.N. Convention Against Bribery and local laws prohibiting corrupt payments to government officials.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the risk that we, our employees, our affiliated entities, contractors, agents or their respective officers, directors, and employees may take actions determined to be in violation of any of these laws, for which we might be held responsible, particularly as we expand our operations geographically through organic growth and acquisitions. An actual or alleged violation could result in substantial fines, sanctions, civil or criminal penalties, debarment from government contracts, curtailment of operations in certain jurisdictions, competitive or reputational harm, litigation or regulatory action and other consequences that might adversely affect our results of operations, financial condition or strategic objectives.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develop new products or enhance existing products, or our customers do not accept the new or enhanced products we develop, our revenue and profitability could be adversely impacted.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Difficulties or delays in research, development or production of new or enhanced products or failure to gain market acceptance of new or enhanced products and technologies may reduce future sales and adversely affect our competitive position. We continue to invest in the development and marketing of new or enhanced products. There can be no assurance that we will have sufficient resources to make such investments, that we will be able to make the technological advances necessary to maintain competitive advantages or that we can recover major research and development expenses. Certain of our products benefit from government incentive or tax credit programs and we cannot be assured that these incentive or tax credit programs will be maintained and for how long. For example, in July 2024, we received a grant from the U.S. Department of Energy (DOE) to facilitate the installation of residential solar and battery storage systems for disadvantaged Puerto Rican residents that, if fully realized and not terminated early, would provide up to $120 million in funds over the duration of the five-year award agreement. If we fail to make innovations, experience unexpected delays and/or quality problems in launching products, or the market does not accept our new products, our financial condition, results of operations, cash flows and liquidity could be adversely affected. In addition, as new or enhanced products are introduced, we must successfully manage the transition from older products to minimize disruption in customers’ ordering patterns, avoid excessive levels of older or obsolete product inventories and ensure that we can deliver sufficient supplies of new products to meet customers’ demands.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Demand for the majority of our products is significantly affected by unpredictable power outage activity that can lead to substantial variations in, and uncertainties regarding, our financial results from period to period.</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Sales of our residential products are subject to consumer buying patterns, and demand for the majority of our products is affected by power outage events caused by thunderstorms, hurricanes, wildfires, ice storms, blackouts, public safety power shutoffs, and other power grid reliability issues, all of which affect our ability to accurately manage our business and forecast future results. The impact of these outage events on our sales can vary depending on the location, frequency and severity of the outages. Sustained periods without major power disruptions can lead, and in the past have led, to reduced consumer awareness of the benefits of standby and portable generator products and can result and have previously resulted in reduced sales growth rates and excess inventory. There are smaller, more localized power outages that occur frequently that drive a baseline level of demand for backup power solutions. The lack</w:t>
      </w:r>
    </w:p>
    <w:p>
      <w:pPr>
        <w:sectPr>
          <w:pgSz w:w="11900" w:h="16838" w:orient="portrait"/>
          <w:cols w:equalWidth="0" w:num="1">
            <w:col w:w="11240"/>
          </w:cols>
          <w:pgMar w:left="320" w:top="121" w:right="339" w:bottom="0" w:gutter="0" w:footer="0" w:header="0"/>
        </w:sectPr>
      </w:pPr>
    </w:p>
    <w:bookmarkStart w:id="21" w:name="page22"/>
    <w:bookmarkEnd w:id="21"/>
    <w:p>
      <w:pPr>
        <w:jc w:val="both"/>
        <w:spacing w:after="0" w:line="266" w:lineRule="auto"/>
        <w:rPr>
          <w:sz w:val="20"/>
          <w:szCs w:val="20"/>
          <w:color w:val="auto"/>
        </w:rPr>
      </w:pPr>
      <w:r>
        <w:rPr>
          <w:rFonts w:ascii="Times New Roman" w:cs="Times New Roman" w:eastAsia="Times New Roman" w:hAnsi="Times New Roman"/>
          <w:sz w:val="18"/>
          <w:szCs w:val="18"/>
          <w:color w:val="auto"/>
        </w:rPr>
        <w:t>of major power outage events and fluctuations to the baseline levels of power outage activity are part of managing our business, and these fluctuations could have, and previously have had, an adverse effect on our net sales and profits. Despite their unpredictable nature, we believe power disruptions create awareness and accelerate adoption and demand for our home standby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Demand for our products is significantly affected by durable goods spending by consumers and businesses, and other macroeconomic conditions.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business is affected by general economic conditions, and uncertainty or adverse changes, such as the prolonged downturn in U.S. residential investment and the impact of more stringent credit standards and rising interest rates or inflation. These have previously led and could lead again to a decline in demand for our products and increase pressure to reduce our prices. Our sales of light-commercial and industrial generators are affected by conditions in the non-residential construction sector and by the capital investment trends for small and large businesses and municipalities. If these businesses and municipalities cannot access credit markets or do not utilize discretionary funds to purchase our products as a result of the economy or other factors, our business could suffer and our ability to realize benefits from our strategy of increasing sales in the light-commercial and industrial sectors could be adversely affected. In addition, consumer confidence and home remodeling expenditures have a significant impact on sales of our residential products, and prolonged periods of weakness in consumer durable goods spending has previously had, and could again have a material impact on our business. We currently do not have any material contracts with our customers which call for committed volume, and we cannot guarantee that our current customers will continue to purchase our products at the same level, if at all. If general economic conditions or consumer confidence were to worsen, or if the non-residential construction sector or rate of capital investments were to decline, our net sales and profits would likely be adversely affected. Changes in government monetary or fiscal policies may negatively impact our results, including increases in interest rates or sustained inflationary pressure which could negatively affect overall growth and impact sales of our products. Additionally, timing of capital spending by our national account customers can vary from quarter-to-quarter based on capital availability and internal capital spending budgets. Our global operations are exposed to political and economic risks, commercial instability and events beyond our control in the countries in which we operate. Such risks or events may disrupt our supply chain and not enable us to produce products to meet customer demand.</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forecast demand for our products accurately, we may experience product shortages, delays in product shipment, excess product inventory, difficulties in planning expenses or disputes with suppliers, any of which may adversely affect our business and financial condition.</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manufacture our products based on both actual customer orders and our estimates of customer demand. This process requires us to make multiple forecasts and assumptions relating to the demand of our distributors, their end customers, general market conditions, and other macroeconomic conditions. The frequency and duration of power outages also affects demand for our products as described above. As a result, it may be difficult to forecast customer demand to plan our operations, which may adversely affect our business and financial condition. If we overestimate demand for our products, we may have excess inventory that we cannot sell. We may have to make significant provisions for inventory write-downs based on events that are currently not known, or discount finished goods to liquidate inventory, and such provisions or any adjustments to such provisions and discounts could be material. We may also become involved in disputes with our suppliers who may claim that we failed to fulfill forecast or minimum purchase requirements. Conversely, if we underestimate demand, we may not have sufficient inventory to meet end-customer demand, and we may lose market share, damage relationships with our distributors and end customers and forgo potential revenue opportunities. Obtaining additional supply in the face of product shortages may be costly or impossible, which could prevent us from fulfilling orders in a timely and cost-efficient manner or at all. In addition, if we overestimate our production requirements, our contract manufacturers may purchase excess components and build excess inventory. If our contract manufacturers, at our request, purchase excess components that are unique to our products and are unable to recoup the costs of such excess inventory through resale or return or build excess products, we could be required to pay for these excess parts or products and recognize related inventory write-downs.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industries in which we compete are highly competitive, and our failure to compete successfully could adversely affect our results of operations and financial condition.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operate in markets that are highly competitive. Some of our competitors have established brands and are larger in size or are divisions of large, diversified companies which have substantially greater financial resources than we do. Some of our competitors have and may continue to be willing to reduce prices and accept lower margins in order to compete with us. In addition, we could face new competition from large international or domestic companies with established brands that enter our end markets. Demand for our products may also be affected by our inability to respond to changes in design and functionality, to respond to downward pricing pressure, and to provide shorter lead times for our products than our competitors. There is also increasing use of data analytics, machine learning, and artificial intelligence software, which our competitors may be able to use or implement more effectively than we are able to do. If we are unable to respond successfully to these competitive pressures, we could lose market share, which could have an adverse impact on our results. For further information, see “Item 1—Business—Competition” of this Annual Report on Form 10-K.</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independent dealers and distribution partners, and the loss of these dealers and distribution partners, or of any of our sales arrangements with significant private label, national, retail or equipment rental customers, would adversely affect our business.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depend on the services of independent distributors and dealers to sell and install our products and provide service and aftermarket support to our end customers. Their capacity constraints and/or inability to install and service our products, including their inability to hire, develop, or retain qualified technicians or other labor, could limit our ability to maintain and grow our sales. We also rely on our distribution channels to drive awareness for our product categories and our brands. In addition, we sell our products to end users through private label arrangements with leading home equipment, electrical equipment and construction machinery companies; arrangements with top retailers and equipment rental companies; and our direct national accounts with telecommunications and other industrial customers. Our distribution agreements and any contracts we have with large national, retail and other customers are typically not exclusive, and many of the distributors with whom we do business also offer competitors’ products and services.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Impairment of our relationships with our distributors, dealers or large customers, loss of a substantial number of these distributors or dealers or of one or more large customers, or an increase in our distributors' or dealers' sales of our competitors' products to our customers or of our large customers' purchases of our competitors' products could materially reduce our sales and profits. For example, we have had, and may continue to have, disputes with one or more customers, distributors or dealers to whom we sell our products, including clean energy products, and this may reduce or limit the sales growth for such products. Additionally, our ability to successfully realize our growth strategy is dependent in part on our ability to identify, attract and retain new distributors at all layers of our distribution platform, including increasing the number of energy storage distributors, and we cannot be certain that we will be successful in these efforts. For further information, see “Item 1—Business—Distribution Channels and Customers” of this Annual Report on Form 10-K.</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our share repurchase programs will be fully consummated or that they will enhance long-term stockholder value. Share repurchases could also increase the volatility of the market price of our stock and diminish our cash reserves.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12, 2024, the Company’s Board of Directors (Board) approved the current stock repurchase program that allows for the repurchase of up to $500 million of the Company’s common stock over a twenty-four-month period. Although our Board has authorized such share repurchase program, the program does not obligate us to repurchase any specific dollar amount or to acquire any specific number of shares. Such program could also diminish our cash reserves. In addition, we may discontinue, modify or suspend our share repurchase program based on several factors, including our cash balances and potential future capital requirements for strategic transactions, including acquisitions, results of operations, financial condition and other factors that our Board may deem relevant. Any modification, suspension, or termination of our share repurchase program could cause our stock price to decline. We cannot guarantee that such program will be fully consummated or that it will enhance long-term stockholder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Increased scrutiny regarding our sustainability practices and reporting could impact our reputation.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Increasing governmental and societal attention to sustainability matters, including expanding mandatory and voluntary reporting, and disclosure topics such as climate change, natural resources, waste reduction, energy, and risk oversight could expand the nature, scope, and complexity of matters that we are required to control, assess, and report. We strive to deliver shared value through our business and our diverse stakeholders have evolving, varied and sometimes conflicting expectations regarding many aspects of our business, including sustainability-related matters. We may be unsuccessful in achieving our sustainability goals, on a timely basis or at all, or that the costs to achieve those goals become prohibitively expensive. We are subject to regulatory requirements around sustainability-related disclosures, including the EU’s Corporate Sustainability Reporting Directive, which may continue to evolve and may impose substantial additional costs and require additional resources. Any actual or alleged failure to comply with regulatory requirements could result in fines, penalties and civil liabilities, and damage to our reputation. Furthermore, if our sustainability reporting and practices do not meet investor, regulator or other stakeholders’ expectations, standards and requirements, our reputation, ability to attract or retain employees, and attractiveness as an investment, business partner or acquiror could be negatively impacted. All of these could have an impact on our reputation as well as our financial results and operations.</w:t>
      </w:r>
    </w:p>
    <w:p>
      <w:pPr>
        <w:sectPr>
          <w:pgSz w:w="11900" w:h="16838" w:orient="portrait"/>
          <w:cols w:equalWidth="0" w:num="1">
            <w:col w:w="11240"/>
          </w:cols>
          <w:pgMar w:left="320" w:top="121" w:right="339" w:bottom="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Risk factors related to our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any key members of our senior management team or key employees could disrupt our operations and harm our business.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success depends, in part, on the efforts of certain key individuals, including the members of our senior management team, who have significant experience in the energy products and solutions industry. If, for any reason, our senior executives do not continue to be active in management, or if key employees leave our company, our business, financial condition or results of operations could be adversely affected. Failure to continue to attract or retain these individuals at reasonable compensation levels could have a material adverse effect on our business, liquidity and results of operations. If we need to replace any of these individuals in the near future, the loss of their services could disrupt our operations and have a material adverse effect on our business if we do not have effective succession plans in place.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Disruptions caused by labor disputes or organized labor activities could harm our business.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from time-to-time experience union organizing activities in our non-union facilities. Disputes with the current labor union or new union organizing activities could lead to work slowdowns or stoppages and make it difficult or impossible for us to meet scheduled delivery times for product shipments to our customers, which could result in loss of business. In addition, union activity could result in higher labor costs, which could harm our financial condition, results of operations and competitive position. A work stoppage or limitations on production at our facilities for any reason could have an adverse effect on our business, results of operations and financial condition. In addition, many of our suppliers have unionized work forces. Strikes or work stoppages experienced by our customers or suppliers could have an adverse effect on our business, results of operations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can be adversely affected by our ability to attract, motivate, develop, and retain our employees.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committed to attracting, motivating, developing, and retaining our employees to ensure we remain an employer of choice. Despite our efforts, we have experienced, and could continue to experience, depending upon external market conditions, higher employee turnover and absenteeism. Furthermore, the market for skilled personnel is often very competitive both in markets where our facilities are located and with the emergence of remote work. Increased turnover rates within our employee base, perceived or actual deficiencies in total compensation paid to our employees in relation to competing employers, or as a result of general macroeconomic factors or otherwise, could lead to increased costs, such as increased overtime to meet demand and potentially further increase salaries and wage rates to attract and retain employees, and could negatively affect our ability to efficiently operate our manufacturing facilities and overall business. If we are unable to hire and retain employees capable of performing at a high level, our business, financial condition and results of operations could be adversely affected.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material disruptions to our manufacturing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seek to operate our facilities in compliance with applicable rules and regulations and take measures to minimize the risks of disruption at our facilities, a material disruption at one of our manufacturing facilities could prevent us from meeting customer demand, reduce our sales and/or negatively impact our financial results. Any of our manufacturing facilities, or any of our equipment within an otherwise operational facility, could cease operations unexpectedly due to a number of events, including:</w:t>
      </w:r>
    </w:p>
    <w:p>
      <w:pPr>
        <w:spacing w:after="0" w:line="180"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or information technology infrastructure failure;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transportation infrastructure including roads, bridges, railroad tracks and container ports;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fires, floods, tornadoes, earthquakes, disease, pandemics, acts of violence, or other catastrophes;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operational problems.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 significant portion of our manufacturing and production facilities are in Wisconsin within a 100-mile radius of each other. We could experience prolonged periods of reduced production due to unforeseen events occurring in or around our manufacturing facilities in Wisconsin. In the event of a business interruption at our facilities, in particular our Wisconsin or South Carolina facilities, we may be unable to shift manufacturing capabilities to alternate locations, accept materials from suppliers or meet customer shipment needs, among other severe consequences. Such an event could have a material and adverse impact on our financial condition and results of our operations.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trade policy, including the imposition of new or increased tariffs and the resulting consequences, could have an adverse effect on our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benefits from free trade agreements, and efforts to withdraw from, or substantially modify such agreements, in addition to the implementation of more restrictive trade policies, such as more detailed inspections, higher tariffs, import or export licensing requirements, exchange controls or new barriers to entry, could have a material adverse effect on our results of operations, financial condition or cash flows. The U.S. government has made changes in U.S. trade policy over the past several years. These changes include renegotiating and terminating certain existing bilateral or multi-lateral trade agreements, such as the U.S.-Mexico-Canada Agreement, and initiating tariffs on certain foreign goods from a variety of countries and regions, most notably China. These changes in U.S. trade policy have resulted in, and may continue to result in, one or more foreign governments adopting responsive trade policies that make it more difficult or costly for us to do business in or import our products or components from those countries. The sales, gross margins, and profitability for each of our segments could be directly impacted by changes in tariffs and trade agreements.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certain of our products or key components or raw materials have and may continue to be subject to the imposition of higher duties as a result of anti-dumping and countervailing duties applied against them. To the extent such governmental actions, duties or tariffs are applied to such products, it could adversely affect our results of operations, financial condition and business.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cannot predict the extent to which the U.S. or other countries will impose new or additional quotas, duties, taxes or other similar restrictions upon the import or export of our products in the future, nor can we predict future trade policy or the terms of any renegotiated trade agreements and their impact on our business. The continuing adoption or expansion of trade restrictions, the occurrence of a trade war, or other governmental action related to tariffs or trade agreements or policies has the potential to adversely impact demand for our products, our costs, our customers, our suppliers, and the economy, which in turn could have a material adverse effect on our business, operating results, and financial condition.</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realize all of the anticipated benefits of our acquisitions, divestitures, restructurings, or realignments, or those benefits may take longer to realize than expected. We may also encounter significant unexpected difficulties in integrating acquired businesses.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regularly execute organizational changes such as acquisitions, divestitures, restructurings, and realignments to support our growth and management strategies. If we are unable to successfully manage these and other organizational changes, the ability to complete such activities and realize anticipated synergies or cost savings, as well as our results of operations and financial condition, could be materially adversely affected.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ability to realize the anticipated benefits of our acquisitions will depend, to a large extent, on our ability to integrate the acquired businesses with our business. The integration of independent businesses is a complex, costly and time-consuming process. As a result, we may be required to devote significant management attention and resources to integrating the business practices and operations of any acquired businesses with ours. The integration process may disrupt our business and, if implemented ineffectively, could preclude realization of the full benefits expected by us. Our failure to meet the challenges involved in integrating an acquired business into our existing operations or otherwise to realize the anticipated benefits of the transaction could cause an interruption of, or a loss of momentum in, our activities and could adversely affect our results of operations.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undertaking an acquisition, we may also significantly revise our capital structure or operational budget, such as issuing common stock that would dilute the ownership percentage of our stockholders, assuming liabilities or debt, utilizing a substantial portion of our cash resources to pay for the acquisition or significantly increasing operating expenses. Our acquisitions have resulted in, and may in the future result in, charges being taken in an individual quarter as well as future periods, which results in variability in our quarterly earnings. In addition, our effective tax rate in any particular quarter may also be impacted by acquisitions. Following the closing of an acquisition, we may also have disputes with the seller regarding contractual requirements and covenants, purchase price adjustments, contingent payments or for indemnifiable losses. Any such disputes may be time consuming and distract management from other aspects of our business. As part of the terms of an acquisition, we may commit to pay additional contingent consideration if certain revenue or other performance milestones are achieved. We are required to evaluate the fair value of such commitments at each reporting date and adjust the amount recorded if there are changes to the fair value.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overall integration of our acquired businesses may result in material unanticipated problems, expenses, liabilities, competitive responses, loss of customer relationships, and diversion of management's attention, and may cause our stock price to decline. The difficulties of combining the operations of acquired businesses with ours include, among others:</w:t>
      </w:r>
    </w:p>
    <w:p>
      <w:pPr>
        <w:spacing w:after="0" w:line="176"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a larger company;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employee morale and retaining key management and other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newly applicable domestic and foreign regulations as we enter new product and geographic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two business cultures, which may prove to be incompatible;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faulty assumptions underlying expectations regarding the integration process;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existing customers and attracting new customers;</w:t>
      </w:r>
    </w:p>
    <w:p>
      <w:pPr>
        <w:sectPr>
          <w:pgSz w:w="11900" w:h="16838" w:orient="portrait"/>
          <w:cols w:equalWidth="0" w:num="1">
            <w:col w:w="11240"/>
          </w:cols>
          <w:pgMar w:left="320" w:top="121" w:right="339" w:bottom="0" w:gutter="0" w:footer="0" w:header="0"/>
        </w:sectPr>
      </w:pPr>
    </w:p>
    <w:bookmarkStart w:id="25" w:name="page26"/>
    <w:bookmarkEnd w:id="25"/>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consolidating corporate and administrative infrastructures and eliminating duplicative operations;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attention from ongoing business concerns and performance shortfalls as a result of management's attention to the acquisition;</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issues in integrating information technology, communications and other systems;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or the failure to comply with, changes in applicable, new, or existing laws and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tax costs or inefficiencies associated with integrating the operations or supply chain of the combined company;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liabilities, expenses or delays associated with the acquisition;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comparing financial reports due to differing financial and/or internal reporting systems;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any necessary modifications to internal financial control systems to comply with the Sarbanes-Oxley Act of 2002 and the rules and regulations promulgated thereunder.</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of these factors may be outside of our control and any one of them could result in increased costs, decreases in the amount of expected revenues and diversion of management's time and energy, which could materially impact our business, financial condition and results of operations. In addition, even if the operations of our acquired businesses are integrated successfully with our operations, we may not realize the full benefits of the transaction, including the synergies, cost savings or sales or growth opportunities that we expect. These benefits may not be achieved within the anticipated time frame, or at all, and additional unanticipated costs may be incurred in the integration or management of our businesses. All these factors could cause dilution to our earnings per share, decrease or delay the expected accretive effect of the acquisition, and cause a decrease in the price of our common stock. As a result, we cannot be assured that the combination of our acquisitions with our business will result in the realization of the full benefits anticipated from the transaction.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purchased components are sourced in foreign countries, exposing us to additional risks that may not exist in the United States.</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source a significant portion of our purchased components overseas, primarily in Asia and Europe. Our international sourcing subjects us to a number of potential risks in addition to the risks associated with third-party sourcing generally. Such risks include:</w:t>
      </w:r>
    </w:p>
    <w:p>
      <w:pPr>
        <w:spacing w:after="0" w:line="162"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or changes in political and economic conditions;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logistical challenges, including extended container port congestion, and higher logistics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unstable regulatory environments;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import and export duties;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foreign customs and tariffs;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rate fluctuations;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restrictions;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or civil unrest;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conflict such as that experienced in Ukraine or the Middle East;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in our relationships with certain contract manufacturers or suppliers;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communications challenges;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restraints and burdensome taxes.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factors have occurred in the past and are currently having an adverse effect on our ability to efficiently and cost effectively source our purchased components overseas. Additionally, if the U.S. dollar were to depreciate significantly against the currencies in which we purchase raw materials from foreign suppliers, our cost of goods sold could increase materially, which would adversely affect our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related to legal and regulatory matters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 variety of litigation and other legal and regulatory proceedings in the course of our business that could adversely affect our business, financial position or our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a variety of litigation and other legal and regulatory proceedings incidental to our business (or the business operations of previously owned entities), including claims for damages arising out of the use of products or services and claims relating to product design, safety, manufacture and performance liability, contracts, commercial disputes, competition, sales and trading practices, employment issues, environmental matters, intellectual property rights, tax, securities, regulatory compliance, personal injury, insurance coverage, and acquisition-related matters, as well as other legal proceedings that arise in and outside of the ordinary course of our business. These matters may include claims for compensatory damages, punitive and consequential damages and/or injunctive relief. The defense of these matters may divert our management’s attention, we may incur significant expenses in defending such matters, and we may be required to pay fines, penalties, damage awards or settlements or become subject to equitable remedies that could adversely affect our operations and financial statements.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industries in which we operate are also periodically reviewed or investigated by regulators, and we are subject to and may continue to be subject to such investigations and claims, including by the U.S. Department of Justice (DOJ), CPSC and EPA, which could lead to enforcement actions, fines and penalties or the assertion of private litigation claims. While the Company cooperates with such governmental inquiries, it is not possible to predict the outcome of such claims, investigations, and lawsuits. We could incur judgments, fines or penalties or enter into settlements of lawsuits and claims that could have an adverse effect on our reputation, business, results of operations or financial condition in any particular period.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the nature of our operations means that legal and compliance risks will continue to exist and additional legal proceedings and other contingencies, the outcome of which cannot be predicted with certainty, may arise from time to time. In addition, subsequent developments in legal proceedings or investigations may affect our assessment and estimates of loss contingencies recorded as a reserve and require us to make payments in excess of our reserves, which could have an adverse effect on our reputation, business and results of operations or financial condition.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Moreover, any insurance or indemnification rights that we may have may be insufficient or unavailable to protect us against such losses. In addition, developments in proceedings in any given period may require us to adjust the loss contingency estimates that we have recorded in our financial statements, record estimates for liabilities or assets previously not susceptible to reasonable estimates or pay cash settlements or judgments. Any of these developments could adversely affect our financial statements in any particular period. We cannot assure our liabilities in connection with litigation and other legal and regulatory proceedings will not exceed our estimates or adversely affect our financial statements and reputation.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maintain insurance coverage in amounts that we believe are reasonable, we cannot assure we will be able to maintain this insurance on acceptable terms or that this insurance will provide sufficient coverage against potential liabilities that may arise. Any product liability claim may also include the imposition of punitive damages, the award of which may not be covered by insurance. Any claims brought against us, with or without merit, may have an adverse effect on our business and results of operations as a result of potential adverse outcomes, the expenses associated with defending such claims, the diversion of our management’s resources and time and the potential adverse effect to our business reputation.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see Note, “18. Commitments and Contingencies” and our discussion of “Non-GAAP measures – Adjusted EBITDA” in Item 7 of this Annual Report on Form 10-K.</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subject to various environmental, health and safety laws and regulations, and non-compliance with or liabilities under such laws and regulations could result in substantial costs, fines, sanctions and claims.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operations are subject to a variety of foreign, federal, state and local environmental, health and safety laws and regulations including those governing, among other things, emissions to air; discharges to water; noise; and the generation, handling, storage, transportation, treatment and disposal of waste and other materials. In addition, under federal and state environmental laws, we could be required to investigate, remediate and/or monitor the effects of the release or disposal of materials both at sites associated with past and present operations and at third-party sites where waste generated by our operations was disposed. This liability may be imposed retroactively and whether or not we caused, or had any knowledge of, the existence of these materials and may result in our paying more than our fair share of the related costs. Violations of or liabilities under such laws and regulations could result in substantial costs, fines and civil or criminal proceedings or personal injury and workers' compensation claims.</w:t>
      </w:r>
    </w:p>
    <w:p>
      <w:pPr>
        <w:sectPr>
          <w:pgSz w:w="11900" w:h="16838" w:orient="portrait"/>
          <w:cols w:equalWidth="0" w:num="1">
            <w:col w:w="11240"/>
          </w:cols>
          <w:pgMar w:left="320" w:top="121" w:right="339" w:bottom="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are subject to government regulation.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products are subject to extensive statutory and regulatory requirements governing, among other things, emissions, noise, labeling, transport, product content and composition, product safety, and data privacy, including standards imposed by the EPA, CARB, CPSC and other regulatory agencies and certification bodies around the world. Also, as we increase our connectivity with our products and customers, we may be required to comply with additional data privacy and cybersecurity regulations. For example, personal privacy and data security have become significant issues in the United States, Europe, and in many other jurisdictions in which we operate. The regulatory framework for privacy and security issues worldwide is rapidly evolving and is likely to remain uncertain for the foreseeable future. In the United States, these include rules and regulations promulgated or pending under the authority of federal agencies, state attorneys general, legislatures, and consumer protection agencies. Internationally, many jurisdictions in which we operate have established their own data security and privacy legal framework with which we, relevant suppliers, and customers must comply. Although we have implemented certain policies, procedures, and, in other cases, contractual arrangements designed to facilitate compliance with applicable privacy and data security laws and standards, any challenges or perceived inability to adequately address privacy and security concerns, even if unfounded, or comply with applicable privacy and data security laws, regulations, and policies, could result in additional fines, costs, and liabilities to us, damage our reputation, inhibit sales, and adversely affect our business.</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laws affecting our products are constantly evolving and many are becoming increasingly stringent. As a further example, CARB regulations that will prohibit future sales in California of certain small off-road engines may negatively affect the long-term sales of certain products we sell today in that state. Changes in applicable laws or regulations, or in the enforcement thereof, could require us to redesign or recall our products and could adversely affect our business or financial condition in the future. Developing and marketing products to meet such new requirements could result in substantial additional costs that may be difficult to recover in some markets. In some cases, we may be required to modify our products or develop new products to comply with new regulations, particularly those relating to air emissions and carbon monoxide. Typically, additional costs associated with significant compliance modifications are passed on to the customer.</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failure to comply with existing and future regulatory or product standards or requirements could adversely affect our position in the markets we serve, our reputation, business, results of operations or financial condition in any particular period.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related to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Failures or security breaches of our networks or information technology systems could have an adverse effect on our business.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heavily on information technology (IT) both in our products and services for customers and in our IT systems used to run our business. Further, we collect and store sensitive information in cloud-based data centers and on our networks. Government agencies and security experts have warned about growing risks of hackers, cyber-criminals, malicious insiders and other actors targeting confidential information and all types of IT systems. These actors may engage in fraudulent activities, theft of confidential or proprietary information and sabotage or ransomware.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experience interruptions, delays and outages in service and availability from time to time, including infrastructure changes, human or software errors, upgrade disruptions and capacity constraints. Our IT systems, our connected products, and our confidential information may be vulnerable to damage or intrusion from a variety of attacks including computer viruses, worms or other malicious software programs. The risk of such attacks may increase as we integrate newly acquired companies or develop new connected products and related software. These attacks pose a risk to the security of our products, private data, systems and networks and those of our customers, suppliers and third-party service providers, as well as to the confidentiality of our information and the integrity and availability of our data. Use of artificial intelligence software may also create risks from the unintentional disclosure of proprietary, confidential, personal or otherwise sensitive information. While we attempt to mitigate these risks through board oversight, hiring additional internal cyber-security professionals to manage these risks, enhancing controls, due diligence, employee training and communication, third party intrusion testing, system hardening, email and web filters, regular patching, multi-factor authentication, surveillance, encryption, and other measures, we remain vulnerable to information security threats.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monitor certain cyber security threats and vulnerabilities in our systems, and we have experienced viruses and attacks targeting our IT systems and networks. Such prior events, to date, have not had a material impact on our financial condition, results of operations or liquidity. Despite the precautions we take, we have had, and could have again, an intrusion or infection of our systems or connected products. An attack on our IT systems or connected products could result in theft or disclosure of trade secrets or other intellectual property, a breach of confidential customer or employee information, or product failure or misuse. Any such events could have an adverse impact on sales, harm our reputation and cause us to incur legal liability and increased costs to address such events and related security concerns. As the threats evolve and become more potent, we may incur additional costs to secure the products that we sell, as well as our data and infrastructure of networks and devices.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1C. Cybersecurity" of this Annual Report on Form 10-K for additional information related to cybersecurity risks.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related to our capital structure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indebtedness which could adversely affect our cash flow and our ability to make payments on our indebtedness.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2024, we had total indebtedness of $1,334.2 million. Our level of indebtedness increases the possibility that we may be unable to generate sufficient cash to pay, when due, the principal of, interest on or other amounts due in respect of our indebtedness. While we maintain interest rate swaps covering a portion of our outstanding debt, our interest expense could increase if interest rates increase because debt under our credit facilities bears interest at a variable rate based on Secured Overnight Financing Rate (SOFR) or other base rate. If we do not have sufficient earnings to service our debt, we may be required to refinance all or part of our existing debt, sell assets, borrow more money or sell securities, none of which we can guarantee we can accomplish. Our Tranche B Term Loan Facility matures on July 3, 2031, and our Tranche A Term Loan Facility as well as our Revolving Facility mature on June 29, 2027.</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of our credit facilities restrict our current and future operations, particularly our ability to respond to changes in our business or to take certain actions.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credit facilities contain, and any future indebtedness of ours or our subsidiaries would likely contain, a number of restrictive covenants that impose operating and financial restrictions on us and our subsidiaries, including limitations on our ability to engage in acts that may be in our best long-term interests. These restrictions set limitations on, among other things, our ability to:</w:t>
      </w:r>
    </w:p>
    <w:p>
      <w:pPr>
        <w:spacing w:after="0" w:line="176"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assume additional debt or guarantees or issue preferred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redemptions and repurchases, with respect to capital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or make redemptions and repurchases of, subordinated debt;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and investments;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capital expenditures;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acquisitions, asset sales, sale/leaseback transactions and transactions with affiliates;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business conducted by us or our subsidiaries;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terms of subordinated debt.</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operating and financial restrictions in our credit facilities and any future financing agreements may adversely affect our ability to finance future operations or capital needs or to engage in other business activities. A breach of any of the restrictive covenants in our credit facilities would result in a default. If any such default occurs, the lenders under our credit facilities may elect to declare all outstanding borrowings, together with accrued interest and other fees, to be immediately due and payable, or enforce their security interest, any of which would result in an event of default. The lenders will also have the right in these circumstances to terminate any commitments they have to provide further borrowings.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capital to finance our growth strategy or to refinance our existing credit facilities, and we may not be able to obtain it on acceptable terms, or at all, which may limit ou r ability to grow.</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require additional financing to expand our business. Financing may not be available to us or may be available to us only on terms that are not favorable. The terms of our senior secured credit facilities limit our ability to incur additional debt. In addition, economic conditions, including a downturn in the credit markets, could impact our ability to finance our growth on acceptable terms or at all. If we are unable to raise additional funds or obtain capital on acceptable terms, we may have to delay, modify or abandon some or all of our growth strategies. In the future, if we are unable to refinance our credit facilities on acceptable terms, our liquidity and operating results could be adversely affected.</w:t>
      </w:r>
    </w:p>
    <w:p>
      <w:pPr>
        <w:sectPr>
          <w:pgSz w:w="11900" w:h="16838" w:orient="portrait"/>
          <w:cols w:equalWidth="0" w:num="1">
            <w:col w:w="11240"/>
          </w:cols>
          <w:pgMar w:left="320" w:top="121" w:right="339" w:bottom="0" w:gutter="0" w:footer="0" w:header="0"/>
        </w:sectPr>
      </w:pPr>
    </w:p>
    <w:bookmarkStart w:id="29" w:name="page30"/>
    <w:bookmarkEnd w:id="2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total assets include a substantial amount of goodwill and other indefinite-lived intangibles. If we determine these have become impaired, our net income could be materially adversely affected.</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Goodwill represents the excess of cost over the fair market value of net assets acquired in business combinations. Indefinite-lived intangibles are comprised of certain tradenames. As of December 31, 2024, goodwill and other indefinite-lived intangibles tota led $1,563.5 million. We review goodwill and other intangibles at least annually for impairment and any excess in carrying value over the estimated fair value is charged to the statement of comprehensive income. Future impairment may result from, among other things, deterioration in the performance of an acquired business or product line, adverse market conditions, a significant increase in interest rate, changes in the competitive landscape, adverse changes in applicable laws or regulations, including changes that restrict the activities of an acquired business or product line, and a variety of other circumstances including any of the risk factors noted above. A reduction in net income resulting from the write-down or impairment of goodwill or indefinite-lived intangibles could have a material adverse effect on our financial statements.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or may decline regardless of our operating performance.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market price of our common stock has been and could be subject to wide fluctuations in response to, among other things, the other risk factors described herein, and other factors beyond our control, such as quarterly variations in operating results, announcements of technology innovations or new products by us or our competitors, changes in financial estimates and recommendations by securities analysts, the operating and stock price performance of other companies that investors may deem comparable to us, and news reports relating to trends in our markets or general economic conditions.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 regardless of our operating performance.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experienced and may continue to see volatility in the market price of our stock price. We have been subject to securities class action litigation relating to the market price of our stock, and may continue to be the target of this type of litigation in the future. Securities litigation against us could result in substantial costs and divert our management’s attention from other business concerns, which could seriously harm our business.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see Note, “18. Commitments and Contingencies” and our discussion of "Non-GAAP measures - Adjusted EBITDA" in Item 7 of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potential tax liabilities.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income tax, indirect tax or other tax claims by tax agencies in jurisdictions in which we conduct business. In the ordinary course of our business, there are many transactions and calculations where the ultimate income tax, indirect tax, or other tax determination is uncertain. Although we believe our tax estimates are reasonable, we cannot be certain that the final determination of our tax audits and litigation will not be materially different from that which is reflected in historical tax provisions and accruals. Should additional taxes be assessed as a result of an audit, assessment or litigation, there could be a material adverse effect on our cash, tax provisions and net income in the period or periods for which that determination is made.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and Board recognize the importance of strong oversight of cybersecurity risk, information security and technology in maintaining the trust and confidence of our customers, partners, employees and stockholders. Our processes for assessing, identifying and managing material risks from cybersecurity threats is incorporated into our Enterprise Risk Management (ERM) program in a similar fashion to other legal, compliance, operational, and financial risk areas. The Company maintains cybersecurity measures aligned with the National Institute of Standards and Technology Cybersecurity Framework (Framework) which organizes cybersecurity risks into six categories: identify, protect, detect, respond, recover and govern, and looks to other standards as well to help identify, assess, and manage cybersecurity risks relevant to our business.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Chief Information Officer (CIO) oversees our information systems and cybersecurity function and reports to our Chief Executive Officer (CEO). He has over 20 years of experience in leading information systems management, strategy, and operational execution, including incident prevention, management, and response. Our Company’s Chief Information Security Officer (CISO) is responsible for developing and implementing our information security program and reports to our CIO. The CISO has over 25 years of experience supporting cybersecurity and information technology. They are supported by a direct and cross-functional team of professionals with expertise and experience in threat assessment and detection, mitigation strategies, incident response, training, and regulatory compliance.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have established a Cybersecurity Steering Committee comprised of members of executive leadership. The Steering Committee, in which our CIO and CISO participate, meets regularly and has established Company-wide policies and standards concerning cybersecurity matters. These policies cover areas such as malware protection, remote access, multifactor authentication, containment of confidential information and the use of the internet, email and wireless devices. We have an established incident response plan led by our CIO and CISO and depending on the nature and severity of the incident, requires escalating notifications up to our CEO and Board.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oversees our enterprise risk management activities. The Board receives periodic updates on our cybersecurity risk management program as well as regular updates and education on relevant legislation and trends related to cybersecurity. Our Audit Committee assists the Board in its oversight role and receives regular reports from management on the Company’s information systems and cybersecurity program. Several members of our Board's Audit Committee have expertise and experience in cybersecurity, and one director is the President of a major cybersecurity services provider.</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CISO and information technology security team conduct regular risk assessments to assess the overall technology infrastructure and related business processes, identify and address potential security gaps and vulnerabilities, and identify areas requiring additional focus. These risk assessments extend to our supply chain, where cybersecurity health assessments are employed for our critical suppliers. The results are used to calculate a Cybersecurity Risk Score, a key component of our Supply Chain Scorecard used to proactively identify and manage potential risks. Additionally, we require certain third parties that could introduce significant cybersecurity risk to us to agree by contract to manage their cybersecurity risks in specified ways, as appropriate. Risk assessments are also performed on new products and software as part of our new product development process.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part of our risk assessments, we engage third-party services for network penetration testing and security evaluations, conduct annual incident response table-top exercises, and perform regular testing of controls related to our financial information systems by our Internal Audit function.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promote a culture of security awareness across our organization, all employees are required to complete an annual cybersecurity awareness training and are provided with periodic information updates on cybersecurity threats. We also maintain cyber insurance policies to help partially mitigate the financial impact of a significant cybersecurity incident.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Despite our best efforts, we cannot guarantee that our security measures will prevent all potential cybersecurity incidents or breaches. Our systems are continually subject to sophisticated and evolving cyber threats, such as phishing, ransomware, social engineering, and advanced persistent</w:t>
      </w:r>
    </w:p>
    <w:p>
      <w:pPr>
        <w:sectPr>
          <w:pgSz w:w="11900" w:h="16838" w:orient="portrait"/>
          <w:cols w:equalWidth="0" w:num="1">
            <w:col w:w="11240"/>
          </w:cols>
          <w:pgMar w:left="320" w:top="121" w:right="339" w:bottom="0" w:gutter="0" w:footer="0" w:header="0"/>
        </w:sectPr>
      </w:pPr>
    </w:p>
    <w:bookmarkStart w:id="31" w:name="page32"/>
    <w:bookmarkEnd w:id="31"/>
    <w:p>
      <w:pPr>
        <w:jc w:val="both"/>
        <w:spacing w:after="0" w:line="258" w:lineRule="auto"/>
        <w:rPr>
          <w:sz w:val="20"/>
          <w:szCs w:val="20"/>
          <w:color w:val="auto"/>
        </w:rPr>
      </w:pPr>
      <w:r>
        <w:rPr>
          <w:rFonts w:ascii="Times New Roman" w:cs="Times New Roman" w:eastAsia="Times New Roman" w:hAnsi="Times New Roman"/>
          <w:sz w:val="18"/>
          <w:szCs w:val="18"/>
          <w:color w:val="auto"/>
        </w:rPr>
        <w:t>threats. However, to date, we have not been subject to any incidents or successful cyber-attacks that have materially impacted our operations or financial condition. The Company has invested in developing and acquiring cybersecurity capabilities allowing us to monitor threats and manage incident response. We have also developed internal policies to mitigate cybersecurity incidents, including providing clear guidelines for incident classification, escalation, and response. We recognize the importance of continued monitoring and improvement of our cybersecurity program, and will continue to evolve our security controls, incident response capabilities, and third-party vendor management protocols.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on the cybersecurity risks that we face, also see Item 1A. “Risk Factors” of this Annual Report on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own or lease manufacturing, distribution, R&amp;D, and office facilities globally totaling over seven million square feet. We also utilize third party inventory warehouses that accommodate material storage and rapid response requirements of our customers. The following table provides information about our principal owned or leased facilities exceeding 20,000 square feet: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0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8"/>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Leased</w:t>
            </w:r>
          </w:p>
        </w:tc>
        <w:tc>
          <w:tcPr>
            <w:tcW w:w="10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Segment</w:t>
            </w:r>
          </w:p>
        </w:tc>
      </w:tr>
      <w:tr>
        <w:trPr>
          <w:trHeight w:val="20"/>
        </w:trPr>
        <w:tc>
          <w:tcPr>
            <w:tcW w:w="3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209"/>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Waukesha, WI</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Owned</w:t>
            </w:r>
          </w:p>
        </w:tc>
        <w:tc>
          <w:tcPr>
            <w:tcW w:w="10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headquarters, R&amp;D</w:t>
            </w:r>
          </w:p>
        </w:tc>
        <w:tc>
          <w:tcPr>
            <w:tcW w:w="1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Domestic</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Pewaukee, WI</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Owned</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Sales, office</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Domestic</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Eagle, WI</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Owned</w:t>
            </w:r>
          </w:p>
        </w:tc>
        <w:tc>
          <w:tcPr>
            <w:tcW w:w="5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Manufacturing, office, training</w:t>
            </w:r>
          </w:p>
        </w:tc>
        <w:tc>
          <w:tcPr>
            <w:tcW w:w="1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Domestic</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Whitewater, WI</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Owned</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Manufacturing, office, warehouse</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Domestic</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Oshkosh, WI</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Owned</w:t>
            </w:r>
          </w:p>
        </w:tc>
        <w:tc>
          <w:tcPr>
            <w:tcW w:w="5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Manufacturing, office, warehouse, R&amp;D</w:t>
            </w:r>
          </w:p>
        </w:tc>
        <w:tc>
          <w:tcPr>
            <w:tcW w:w="1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Domestic</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Berlin, WI</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Owned</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Manufacturing, office, warehouse, R&amp;D</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Domestic</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Fond du Lac, WI</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5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Warehouse</w:t>
            </w:r>
          </w:p>
        </w:tc>
        <w:tc>
          <w:tcPr>
            <w:tcW w:w="1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Domestic</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Jefferson, WI</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Owned</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Manufacturing, office, distribution, R&amp;D</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Domestic</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Jefferson, WI</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5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Storage, distribution</w:t>
            </w:r>
          </w:p>
        </w:tc>
        <w:tc>
          <w:tcPr>
            <w:tcW w:w="1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Domestic</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Janesville, WI</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Distribution</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Domestic</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Richfield, WI</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5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Storage, distribution</w:t>
            </w:r>
          </w:p>
        </w:tc>
        <w:tc>
          <w:tcPr>
            <w:tcW w:w="1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Domestic</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Trenton, SC</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Owned</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Manufacturing, office, warehouse, distribution</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Domestic</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Stockton, CA</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5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Sales, office, warehouse, training</w:t>
            </w:r>
          </w:p>
        </w:tc>
        <w:tc>
          <w:tcPr>
            <w:tcW w:w="1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Domestic</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Corona, CA</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Sales, office, storage</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Domestic</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Hamilton, OH</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5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Storage</w:t>
            </w:r>
          </w:p>
        </w:tc>
        <w:tc>
          <w:tcPr>
            <w:tcW w:w="1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Domestic</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Maquoketa, IA</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Owned</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Storage, rental property</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Domestic</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Burlington, VT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5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Office, sales, R&amp;D</w:t>
            </w:r>
          </w:p>
        </w:tc>
        <w:tc>
          <w:tcPr>
            <w:tcW w:w="1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Domestic</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South Portland, ME</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Sales, office, R&amp;D</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Domestic</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Marlborough, MA</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5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Sales, office, warehouse</w:t>
            </w:r>
          </w:p>
        </w:tc>
        <w:tc>
          <w:tcPr>
            <w:tcW w:w="1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Domestic</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Reno, NV</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Warehouse, R&amp;D</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Domestic</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Toronto, Canada</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5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Office, sales, R&amp;D</w:t>
            </w:r>
          </w:p>
        </w:tc>
        <w:tc>
          <w:tcPr>
            <w:tcW w:w="1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Domestic</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Mexico City, Mexico</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Owned</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Storage</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Hidalgo, Mexico</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Owned</w:t>
            </w:r>
          </w:p>
        </w:tc>
        <w:tc>
          <w:tcPr>
            <w:tcW w:w="5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Manufacturing, sales, distribution, warehouse, office, R&amp;D</w:t>
            </w:r>
          </w:p>
        </w:tc>
        <w:tc>
          <w:tcPr>
            <w:tcW w:w="1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Casole d’Elsa, Italy</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Owned</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Manufacturing, office, warehouse, R&amp;D</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Balsicas, Spain</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5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Manufacturing, office, warehouse, R&amp;D</w:t>
            </w:r>
          </w:p>
        </w:tc>
        <w:tc>
          <w:tcPr>
            <w:tcW w:w="1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Foshan, China</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Owned</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Manufacturing, office, warehouse, R&amp;D</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Saint-Nizier-sous-Charlieu, France</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5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Sales, office, warehouse</w:t>
            </w:r>
          </w:p>
        </w:tc>
        <w:tc>
          <w:tcPr>
            <w:tcW w:w="1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Cravinhos, Brazil</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Manufacturing, office, warehouse</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Sydney, Australia</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5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Sales, office, warehouse</w:t>
            </w:r>
          </w:p>
        </w:tc>
        <w:tc>
          <w:tcPr>
            <w:tcW w:w="1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Fellbach, Germany</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Sales, office, warehouse</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Pfullingen, Germany</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5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Manufacturing, sales, distribution, warehouse, office, R&amp;D</w:t>
            </w:r>
          </w:p>
        </w:tc>
        <w:tc>
          <w:tcPr>
            <w:tcW w:w="1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Suzhou, China</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Office, R&amp;D</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Rugby, United Kingdom</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5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Manufacturing, office, warehouse, R&amp;D</w:t>
            </w:r>
          </w:p>
        </w:tc>
        <w:tc>
          <w:tcPr>
            <w:tcW w:w="1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Staffordshire, United Kingdom</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Warehouse, Office</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Hunmanby, United Kingdom</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Owned</w:t>
            </w:r>
          </w:p>
        </w:tc>
        <w:tc>
          <w:tcPr>
            <w:tcW w:w="5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Manufacturing, warehouse, sales, distribution, office, R&amp;D</w:t>
            </w:r>
          </w:p>
        </w:tc>
        <w:tc>
          <w:tcPr>
            <w:tcW w:w="1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Celle, Germany</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Owned</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Manufacturing, office, warehouse, R&amp;D, sales</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Kolkata, India</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5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Manufacturing, warehouse</w:t>
            </w:r>
          </w:p>
        </w:tc>
        <w:tc>
          <w:tcPr>
            <w:tcW w:w="1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countries represented above, the Company operates small facilities in the United Arab Emirates, Romania, Bahrain, and Colombia.</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2024, substantially all of our domestically-owned and a portion of our internationally-owned properties are subject to collateral provisions under our senior secured credit facilities.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0000EE"/>
        </w:rPr>
        <w:t>See Note 18, "Commitments and Contingencies," to the consolidated financial statements in Item 8 of this Annual Report on Form 10-K for further information on the Company's legal proceedings.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our common stock are traded on the New York Stock Exchange (NYSE) under the symbol “GNRC.”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stock repurchase activity for the three months ended December 31, 2024, which consisted of the withholding of shares upon the vesting of restricted stock awards to pay related withholding taxes on behalf of the recipient: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r>
      <w:tr>
        <w:trPr>
          <w:trHeight w:val="216"/>
        </w:trPr>
        <w:tc>
          <w:tcPr>
            <w:tcW w:w="4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Dollar Value Of</w:t>
            </w:r>
          </w:p>
        </w:tc>
      </w:tr>
      <w:tr>
        <w:trPr>
          <w:trHeight w:val="216"/>
        </w:trPr>
        <w:tc>
          <w:tcPr>
            <w:tcW w:w="4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As Part Of</w:t>
            </w:r>
          </w:p>
        </w:tc>
        <w:tc>
          <w:tcPr>
            <w:tcW w:w="10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Shares That May</w:t>
            </w:r>
          </w:p>
        </w:tc>
      </w:tr>
      <w:tr>
        <w:trPr>
          <w:trHeight w:val="216"/>
        </w:trPr>
        <w:tc>
          <w:tcPr>
            <w:tcW w:w="4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Publicly</w:t>
            </w:r>
          </w:p>
        </w:tc>
        <w:tc>
          <w:tcPr>
            <w:tcW w:w="10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Yet Be Purchased</w:t>
            </w:r>
          </w:p>
        </w:tc>
      </w:tr>
      <w:tr>
        <w:trPr>
          <w:trHeight w:val="216"/>
        </w:trPr>
        <w:tc>
          <w:tcPr>
            <w:tcW w:w="462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240" w:type="dxa"/>
            <w:vAlign w:val="bottom"/>
          </w:tcPr>
          <w:p>
            <w:pPr>
              <w:spacing w:after="0"/>
              <w:rPr>
                <w:sz w:val="18"/>
                <w:szCs w:val="18"/>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Average Price Paid</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10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Under The Plans</w:t>
            </w:r>
          </w:p>
        </w:tc>
      </w:tr>
      <w:tr>
        <w:trPr>
          <w:trHeight w:val="238"/>
        </w:trPr>
        <w:tc>
          <w:tcPr>
            <w:tcW w:w="462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Programs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Or Programs</w:t>
            </w:r>
          </w:p>
        </w:tc>
        <w:tc>
          <w:tcPr>
            <w:tcW w:w="100" w:type="dxa"/>
            <w:vAlign w:val="bottom"/>
          </w:tcPr>
          <w:p>
            <w:pPr>
              <w:spacing w:after="0"/>
              <w:rPr>
                <w:sz w:val="20"/>
                <w:szCs w:val="20"/>
                <w:color w:val="auto"/>
              </w:rPr>
            </w:pP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10/01/24 - 10/31/24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158.40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347,256,871</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11/01/24 - 11/30/24</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169.93</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347,256,871</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12/01/24 - 12/31/24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23,094</w:t>
            </w:r>
          </w:p>
        </w:tc>
        <w:tc>
          <w:tcPr>
            <w:tcW w:w="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189.67</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347,256,871</w:t>
            </w:r>
          </w:p>
        </w:tc>
      </w:tr>
      <w:tr>
        <w:trPr>
          <w:trHeight w:val="20"/>
        </w:trPr>
        <w:tc>
          <w:tcPr>
            <w:tcW w:w="46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24,184</w:t>
            </w: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188.39</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equity compensation plan information, refer to Note 17, “Share Plans,” to the consolidated financial statements in Item 8 of this Annual Report on Form 10-K. For information on the Company’s stock repurchase plans, refer to Note 13, “Stock Repurchase Programs,” to the consolidated financial statements in Item 8 of this Annual Report on Form 10-K.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line graph below compares the cumulative total stockholder return on our common stock with the cumulative total return of the Standard &amp; Poor’s (S&amp;P 500) Index, the S&amp;P MidCap 400 Index, and the S&amp;P 500 Industrial Index, for the five-year period ended December 31, 2024. The graph and table assume $100 was invested on December 31, 2019, in each of our common stock, the S&amp;P 500 Index, the S&amp;P MidCap 400 Index, and the S&amp;P 500 Industrial Index, and that all dividends were reinvested. Cumulative total stockholder returns for our common stock, the S&amp;P 500 Index, the S&amp;P MidCap 400 Index, and the S&amp;P 500 Industrial Index, are based on our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128270</wp:posOffset>
            </wp:positionV>
            <wp:extent cx="6858000" cy="4834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00" cy="4834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Company / Market / Peer Group</w:t>
            </w:r>
          </w:p>
        </w:tc>
        <w:tc>
          <w:tcPr>
            <w:tcW w:w="6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12/31/2019</w:t>
            </w:r>
          </w:p>
        </w:tc>
        <w:tc>
          <w:tcPr>
            <w:tcW w:w="14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12/31/2020</w:t>
            </w:r>
          </w:p>
        </w:tc>
        <w:tc>
          <w:tcPr>
            <w:tcW w:w="14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12/31/2021</w:t>
            </w:r>
          </w:p>
        </w:tc>
        <w:tc>
          <w:tcPr>
            <w:tcW w:w="1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12/31/2022</w:t>
            </w:r>
          </w:p>
        </w:tc>
        <w:tc>
          <w:tcPr>
            <w:tcW w:w="14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12/31/2023</w:t>
            </w:r>
          </w:p>
        </w:tc>
        <w:tc>
          <w:tcPr>
            <w:tcW w:w="16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12/31/2024</w:t>
            </w:r>
          </w:p>
        </w:tc>
        <w:tc>
          <w:tcPr>
            <w:tcW w:w="100" w:type="dxa"/>
            <w:vAlign w:val="bottom"/>
          </w:tcPr>
          <w:p>
            <w:pPr>
              <w:spacing w:after="0"/>
              <w:rPr>
                <w:sz w:val="20"/>
                <w:szCs w:val="20"/>
                <w:color w:val="auto"/>
              </w:rPr>
            </w:pPr>
          </w:p>
        </w:tc>
      </w:tr>
      <w:tr>
        <w:trPr>
          <w:trHeight w:val="210"/>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Generac Holdings Inc.</w:t>
            </w:r>
          </w:p>
        </w:tc>
        <w:tc>
          <w:tcPr>
            <w:tcW w:w="12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132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$226.04</w:t>
            </w:r>
          </w:p>
        </w:tc>
        <w:tc>
          <w:tcPr>
            <w:tcW w:w="13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$349.76</w:t>
            </w:r>
          </w:p>
        </w:tc>
        <w:tc>
          <w:tcPr>
            <w:tcW w:w="13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$100.03</w:t>
            </w:r>
          </w:p>
        </w:tc>
        <w:tc>
          <w:tcPr>
            <w:tcW w:w="13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$128.42</w:t>
            </w:r>
          </w:p>
        </w:tc>
        <w:tc>
          <w:tcPr>
            <w:tcW w:w="138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$154.04</w:t>
            </w:r>
          </w:p>
        </w:tc>
        <w:tc>
          <w:tcPr>
            <w:tcW w:w="100" w:type="dxa"/>
            <w:vAlign w:val="bottom"/>
            <w:shd w:val="clear" w:color="auto" w:fill="CCEEFF"/>
          </w:tcPr>
          <w:p>
            <w:pPr>
              <w:spacing w:after="0"/>
              <w:rPr>
                <w:sz w:val="18"/>
                <w:szCs w:val="18"/>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S&amp;P 500</w:t>
            </w:r>
          </w:p>
        </w:tc>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Index - Total Returns</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100.00</w:t>
            </w:r>
          </w:p>
        </w:tc>
        <w:tc>
          <w:tcPr>
            <w:tcW w:w="13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6"/>
              </w:rPr>
              <w:t>118.40</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152.39</w:t>
            </w:r>
          </w:p>
        </w:tc>
        <w:tc>
          <w:tcPr>
            <w:tcW w:w="13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6"/>
              </w:rPr>
              <w:t>124.79</w:t>
            </w:r>
          </w:p>
        </w:tc>
        <w:tc>
          <w:tcPr>
            <w:tcW w:w="13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157.59</w:t>
            </w:r>
          </w:p>
        </w:tc>
        <w:tc>
          <w:tcPr>
            <w:tcW w:w="13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197.02</w:t>
            </w:r>
          </w:p>
        </w:tc>
        <w:tc>
          <w:tcPr>
            <w:tcW w:w="100" w:type="dxa"/>
            <w:vAlign w:val="bottom"/>
          </w:tcPr>
          <w:p>
            <w:pPr>
              <w:spacing w:after="0"/>
              <w:rPr>
                <w:sz w:val="18"/>
                <w:szCs w:val="18"/>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S&amp;P MidCap 400 Index</w:t>
            </w:r>
          </w:p>
        </w:tc>
        <w:tc>
          <w:tcPr>
            <w:tcW w:w="12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100.00</w:t>
            </w:r>
          </w:p>
        </w:tc>
        <w:tc>
          <w:tcPr>
            <w:tcW w:w="13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113.66</w:t>
            </w:r>
          </w:p>
        </w:tc>
        <w:tc>
          <w:tcPr>
            <w:tcW w:w="13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141.80</w:t>
            </w:r>
          </w:p>
        </w:tc>
        <w:tc>
          <w:tcPr>
            <w:tcW w:w="13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6"/>
              </w:rPr>
              <w:t>123.28</w:t>
            </w:r>
          </w:p>
        </w:tc>
        <w:tc>
          <w:tcPr>
            <w:tcW w:w="13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143.54</w:t>
            </w:r>
          </w:p>
        </w:tc>
        <w:tc>
          <w:tcPr>
            <w:tcW w:w="138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163.54</w:t>
            </w:r>
          </w:p>
        </w:tc>
        <w:tc>
          <w:tcPr>
            <w:tcW w:w="100" w:type="dxa"/>
            <w:vAlign w:val="bottom"/>
            <w:shd w:val="clear" w:color="auto" w:fill="CCEEFF"/>
          </w:tcPr>
          <w:p>
            <w:pPr>
              <w:spacing w:after="0"/>
              <w:rPr>
                <w:sz w:val="18"/>
                <w:szCs w:val="18"/>
                <w:color w:val="auto"/>
              </w:rPr>
            </w:pP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S&amp;P 500</w:t>
            </w:r>
          </w:p>
        </w:tc>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Industrials Index</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100.00</w:t>
            </w:r>
          </w:p>
        </w:tc>
        <w:tc>
          <w:tcPr>
            <w:tcW w:w="13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6"/>
              </w:rPr>
              <w:t>111.06</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134.52</w:t>
            </w:r>
          </w:p>
        </w:tc>
        <w:tc>
          <w:tcPr>
            <w:tcW w:w="13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6"/>
              </w:rPr>
              <w:t>127.15</w:t>
            </w:r>
          </w:p>
        </w:tc>
        <w:tc>
          <w:tcPr>
            <w:tcW w:w="13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150.20</w:t>
            </w:r>
          </w:p>
        </w:tc>
        <w:tc>
          <w:tcPr>
            <w:tcW w:w="13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176.44</w:t>
            </w:r>
          </w:p>
        </w:tc>
        <w:tc>
          <w:tcPr>
            <w:tcW w:w="100" w:type="dxa"/>
            <w:vAlign w:val="bottom"/>
          </w:tcPr>
          <w:p>
            <w:pPr>
              <w:spacing w:after="0"/>
              <w:rPr>
                <w:sz w:val="20"/>
                <w:szCs w:val="20"/>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February 14, 2025, there were 921 registered holders of record of Generac’s common stock. A substantially greater number of holders of Generac common stock are “street name” or beneficial holders, whose shares are held of record by banks, brokers and other financial institutions.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do not have plans to pay dividends on our common stock in the foreseeable future. However, in the future, subject to factors such as general economic and business conditions, our financial condition and results of operations, our capital requirements, our future liquidity and capitalization, and other such factors that our Board may deem relevant, we may change this policy and choose to pay dividends. Our ability to pay dividends on our common stock is currently limited by the terms of our senior secured credit facilities and may be further restricted by any future indebtedness we incur. Dividends from, and cash generated by our subsidiaries will be our principal sources of cash to repay indebtedness, fund operations, repurchase shares of common stock and pay dividends. Accordingly, our ability to pay dividends to our stockholders is dependent on the earnings and distributions of funds from our subsidiaries.</w:t>
      </w:r>
    </w:p>
    <w:p>
      <w:pPr>
        <w:sectPr>
          <w:pgSz w:w="11900" w:h="16838" w:orient="portrait"/>
          <w:cols w:equalWidth="0" w:num="1">
            <w:col w:w="11240"/>
          </w:cols>
          <w:pgMar w:left="320" w:top="121"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information on securities authorized for issuance under our equity compensation plans, refer to Note 17, “Share Plans,” and “Item 12 - Security Ownership of Certain Beneficial Owners and Management and Related Stockholder Matters,” of this Annual Report on Form 10-K which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Registered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together with “Item 1 – Business,” the consolidated financial statements, and the related notes thereto in Item 8 of this Annual Report on Form 10-K. This discussion contains forward-looking statements, based on our expectations at the time of filing this Annual Report on Form 10-K and related to future events and our future financial performance, that involve risks and uncertainties. Our actual results may differ materially from those anticipated in these forward-looking statements as a result of many factors, including those set forth under “Item 1A. - Risk Factors.” of this Annual Report on Form 10-K.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Generac is a total energy solutions company that empowers people to use energy on their own terms. Founded in 1959, Generac is a leading global designer, manufacturer, and provider of a wide range of energy technology solutions. The Company provides power generation equipment, energy storage systems, energy management devices &amp; solutions, and other power products serving the residential, light commercial, and industrial markets. The Company continues to expand its energy technology offerings for homes and businesses in its mission to Power a Smarter World and lead the evolution to more resilient, efficient, and sustainable energy solutions.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information regarding our business is provided in “Part I, Item 1. Business” of this Annual Report on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Drivers and Operational Factors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“Part I, Item 1. Business” of this Annual Report on Form 10-K contains information regarding business drivers, including key mega-trends and strategic growth themes under the subheading “Mega-Trends, Strategic Growth Themes, and Additional Business Drivers.”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Factors Affecting Results of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various factors that can affect our results of operations, which we attempt to mitigate through factors we can control, including continued product development, expanded distribution, pricing, cost control, and hedging. Certain operational and other factors that affect our business include the following:</w:t>
      </w:r>
    </w:p>
    <w:p>
      <w:pPr>
        <w:spacing w:after="0" w:line="1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Effect of commodity, currency, component price fluctuations, and resource availability. </w:t>
      </w:r>
      <w:r>
        <w:rPr>
          <w:rFonts w:ascii="Times New Roman" w:cs="Times New Roman" w:eastAsia="Times New Roman" w:hAnsi="Times New Roman"/>
          <w:sz w:val="18"/>
          <w:szCs w:val="18"/>
          <w:color w:val="auto"/>
        </w:rPr>
        <w:t>Industry-wide price fluctuations of key commodities,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steel, copper and aluminum, along with other components we use in our products, as well as changes in labor costs required to produce our products, can have a material impact on our results of operations. Acquisitions in recent years have increased our use of advanced electronic components and battery cells, as well as further expanded our commercial and operational presence outside of the United States. Our international acquisitions, along with our existing global supply chain, expose us to fluctuations in foreign currency exchange rates and regulatory tariffs that can also have a material impact on our results of operations.</w:t>
      </w:r>
    </w:p>
    <w:p>
      <w:pPr>
        <w:spacing w:after="0" w:line="1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historically attempted to mitigate the impact of any inflationary pressures through improved product design and sourcing, manufacturing efficiencies, price increases, and select hedging transactions. Our results are also influenced by changes in fuel prices in the form of freight rates, which in some cases are accepted by our customers and in other cases are paid by us.</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Seasonality. </w:t>
      </w:r>
      <w:r>
        <w:rPr>
          <w:rFonts w:ascii="Times New Roman" w:cs="Times New Roman" w:eastAsia="Times New Roman" w:hAnsi="Times New Roman"/>
          <w:sz w:val="18"/>
          <w:szCs w:val="18"/>
          <w:color w:val="auto"/>
        </w:rPr>
        <w:t>Although there is demand for our products throughout the year, in each of the past five years, approximately 19% to 25% of our net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occurred in the first quarter, 22% to 28% in the second quarter, 24% to 28% in the third quarter and 23% to 31% in the fourth quarter, with different seasonality depending primarily on the occurrence, timing and severity of major power outage activity in each year. Major outage activity is unpredictable by nature and, as a result, our sales levels and profitability may fluctuate from period to period. The seasonality experienced during a major power outage, and for the subsequent quarters following the event, will vary relative to other periods where no major outage events occurred.</w:t>
      </w:r>
    </w:p>
    <w:p>
      <w:pPr>
        <w:spacing w:after="0" w:line="1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Over the years, we have executed a number of acquisitions that support our strategic plan. A summary of the recent acquisitions can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found in Note 1, “Description of Business" to the consolidated financial statements included in Item 8 of this Annual Report on Form 10-K.</w:t>
      </w:r>
    </w:p>
    <w:p>
      <w:pPr>
        <w:sectPr>
          <w:pgSz w:w="11900" w:h="16838" w:orient="portrait"/>
          <w:cols w:equalWidth="0" w:num="1">
            <w:col w:w="11240"/>
          </w:cols>
          <w:pgMar w:left="320" w:top="121" w:right="339"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Factors Influencing Interest Expense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Interest expense can be impacted by a variety of factors, including market fluctuations in SOFR, interest rate election periods, interest rate swap agreements, repayments or borrowings of indebtedness, and amendments to our credit agreements. In connection with our credit agreement amendment in June 2022, SOFR became the new benchmark interest rate for the new Tranche A Term Loan Facility and the Revolving Facility, and all LIBOR provisions in the existing Tranche B Term Loan Facility were replaced with SOFR provisions. Refer to Note 12, “Credit Agreements,” to the consolidated financial statements included in Item 8 of this Annual Report on Form 10-K for further information. The decrease in interest expense in the current year was primarily driven by lower borrowings and lower SOFR interest rates during the year.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Factors Influencing Provision for Income Taxes and Cash Income Taxes Paid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income tax rates for the years ended December 31, 2024 and 2023 were 22.6% and 25.2%, respectively. The decrease in our 2024 effective tax rate was primarily due to unfavorable discrete tax items in the prior year that did not repeat in the current year, as well as favorable earnings mix with higher earnings in lower tax jurisdictions in the current year.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16, 2022, the U.S. government enacted the Inflation Reduction Act (the Act). The Act in part provides funding and tax incentives for certain clean energy products and projects. While the Act did not have a material impact on the financial results of the current period, we will continue to review the Act and any regulations or guidance issued by the U.S. Treasury Department or by a state which may provide a tax benefit or expense. We will also monitor any changes to the Act under the new policy environment.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2021, the Organization for Economic Cooperation and Development (OECD) released Pillar Two Global Anti-Base Erosion model rules, designed to ensure large corporations are taxed at a minimum rate of 15% in all countries of operation. The OECD continues to release guidance and countries are implementing legislation to adopt the rules, some of which became effective on January 1, 2024. The United States has not yet enacted legislation implementing Pillar Two. We are continuing to evaluate the Pillar Two rules and their potential impact on future periods. There was no impact to the financial results of the year ended December 31, 2024, and we do not expect the rules to have a material impact on our effective tax rate for the following year. We will update our future tax provisions based on new regulations or guidance accordingly.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Net Sales and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net sales primarily consist of the sale of products to our customers. This includes sales of our power generation equipment, energy storage systems, and other power products to the residential, commercial and industrial markets, as well as service parts to our dealer network. Net sales also include shipping and handling charges billed to customers, with the related freight costs included in cost of goods sold. Additionally, we offer other services, including extended warranties, installation, maintenance, data center and telecom facility design and build, remote monitoring, and grid services to utilities in certain circumstances. These services accounted for less than 4% of our net sales for the year ended December 31, 2024. Refer to Note 2, “Summary of Accounting Policies - Revenue Recognition,” to the consolidated financial statements in Item 8 of this Annual Report on Form 10-K for further information on our revenue streams and related revenue recognition accounting policies.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not dependent on any one channel or customer for our net sales, with no single customer representing more than 5% of our net sales, and our top ten customers representing less than 16% of our net sales in aggregate for the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Goods Sold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principal elements of costs of goods sold are component parts, raw materials, inbound and outbound freight, factory overhead and labor. The principal component parts are engines, alternators, batteries, electronic controls, and steel enclosures. We design and manufacture air-cooled engines for certain of our generators up to 26kW, along with certain liquid-cooled, natural gas engines. We source engines for certain of our smaller products and all of our diesel products. For certain natural gas engines, we source the base engine block, and then add a significant amount of value engineering, sub-systems and other content to the point that we are recognized as the original equipment manufacturer (OEM) of those engines. We design and manufacture many of the alternators for our generators. We also manufacture other generator components where we believe we have a design and cost advantage. We source component parts from an extensive global network of reliable, high-quality suppliers. In some cases, these relationships are proprietary. For certain energy technology products, we source these products complete from certain contract manufacturers using our designs.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principal sourced raw materials used in the manufacturing process are steel, copper and aluminum. We are susceptible to fluctuations in the cost of these commodities, impacting our costs of goods sold. We seek to mitigate the impact of commodity price changes on our business through a continued focus on global sourcing, product design improvements, manufacturing efficiencies, price increases and select hedging transactions. We are also impacted by foreign currency fluctuations given our global supply chain. There is typically a lag between raw material price fluctuations and their effect on our costs of goods sold.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results are also influenced by changes in fuel prices in the form of freight rates, which in some cases are accepted by our customers and in other cases are paid by us.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balance of cost of goods sold include our manufacturing and warehousing facilities, factory overhead, labor and shipping costs. Factory overhead includes utilities, insurance, support personnel, depreciation, general supplies, and maintenance. Although we attempt to maintain a flexible manufacturing cost structure, our margins can be impacted if we cannot timely adjust labor and manufacturing costs to match fluctuations in net sales.</w:t>
      </w:r>
    </w:p>
    <w:p>
      <w:pPr>
        <w:sectPr>
          <w:pgSz w:w="11900" w:h="16838" w:orient="portrait"/>
          <w:cols w:equalWidth="0" w:num="1">
            <w:col w:w="11240"/>
          </w:cols>
          <w:pgMar w:left="320" w:top="121"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operating expenses consist of costs incurred to support our sales, marketing, distribution, service parts, warranty, engineering, information systems, human resources, accounting, finance, risk management, legal and tax functions, among others. These expenses include, among others, personnel costs such as salaries, bonuses, employee benefit costs, payroll taxes, and share-based compensation cost, and are classified into three categories: selling and service, research and development, and general and administrative. Additionally, the amortization expense related to our finite-lived intangible assets is included within operating expenses.</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Selling and service. </w:t>
      </w:r>
      <w:r>
        <w:rPr>
          <w:rFonts w:ascii="Times New Roman" w:cs="Times New Roman" w:eastAsia="Times New Roman" w:hAnsi="Times New Roman"/>
          <w:sz w:val="18"/>
          <w:szCs w:val="18"/>
          <w:color w:val="auto"/>
        </w:rPr>
        <w:t>Our selling and service expenses consist primarily of personnel costs, marketing expense, standard assurance warranty expense, bad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provisions, and other sales expenses. Our personnel costs recorded in selling and services expenses include the expense of our sales force, customer support teams, outbound shipping and distribution functions, and other personnel involved in the marketing, sales and service of our products. Standard warranty expense is estimated based on historical trends or based on specific warranty matters as they become known and reasonably estimable. Our marketing expenses include media advertising, promotional expenses, co-op advertising costs, direct mail costs, printed material costs, product display costs, market research expenses, and trade show expenses. Marketing expenses are generally related to the launch of new product offerings, opportunities to create market awareness for our products, and general brand awareness marketing efforts. Our marketing campaigns are an important source for lead generation.</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Our research and development expenses include mechanical engineering, electronics engineering, and software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and support numerous projects covering all of our product lines. They also support our connectivity, grid services, remote monitoring, and energy management initiatives. We operate engineering facilities with extensive capabilities at many locations around the world with a focus on new product development, existing product improvement and cost containment. We are committed to innovation, research and development and rely on a combination of patents and trademarks to establish and protect our proprietary rights. Our research and development costs are expensed as incurred.</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Our general and administrative expenses include personnel costs for accounting, information technology, human resources,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legal, general and administrative employees; legal and professional services fees; information technology costs; insurance; travel and entertainment expense; adjustments to contingent acquisition consideration; share-based compensation costs; and other corporate expenses.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Amortization of intangibles. </w:t>
      </w:r>
      <w:r>
        <w:rPr>
          <w:rFonts w:ascii="Times New Roman" w:cs="Times New Roman" w:eastAsia="Times New Roman" w:hAnsi="Times New Roman"/>
          <w:sz w:val="18"/>
          <w:szCs w:val="18"/>
          <w:color w:val="auto"/>
        </w:rPr>
        <w:t>Our amortization of intangibles expense includes the straight-line amortization of finite-lived tradenames, customer lists,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patents and technology, and other intangibles assets.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(expense) income includes the interest expense on our outstanding borrowings, amortization of deferred financing costs and original issue discount, credit facility commitment fees, and interest accretion on contingent acquisition consideration. Other (expense) income also includes other financial items such as losses on extinguishment of debt, investment income earned on our cash and cash equivalents, gains/losses on the sale of certain investments, and changes in the fair value of our investment in Wallbox N.V. warrants and equity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detailed discussion of the year-over-year changes from the Company's fiscal 2022 results of operations to fiscal 2023 results of operations can be found in the Management's Discussion and Analysis section of the Company's fiscal 2023 Annual Report on Form 10-K filed February 21,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 compared to year ended December 31,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consolidated statement of operations data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0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4,295,834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4,022,667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273,167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2,630,208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2,657,236</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(27,028)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1,665,626</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1,365,431</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300,195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service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526,446</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448,199</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78,247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219,600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173,443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46,157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26.6%</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285,095</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253,396</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31,699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97,743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104,194</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(6,451)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1,128,884</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979,232</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149,652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w:t>
            </w: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536,742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386,199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150,543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39.0%</w:t>
            </w: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(127,304)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(95,899)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(31,405)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-32.7%</w:t>
            </w: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409,438</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290,300</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119,138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41.0%</w:t>
            </w:r>
          </w:p>
        </w:tc>
      </w:tr>
      <w:tr>
        <w:trPr>
          <w:trHeight w:val="216"/>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92,460</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73,180</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19,280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26.3%</w:t>
            </w: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316,978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217,120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99,858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663</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2,514</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(1,851)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-73.6%</w:t>
            </w: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Generac Holdings Inc.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316,315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214,606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101,709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47.4%</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893"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893"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2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The following sets forth our reportable segment information for the periods indicated:</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Net Sales by Reportable</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Segment</w:t>
            </w:r>
          </w:p>
        </w:tc>
        <w:tc>
          <w:tcPr>
            <w:tcW w:w="8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vMerge w:val="restart"/>
          </w:tcPr>
          <w:p>
            <w:pPr>
              <w:spacing w:after="0"/>
              <w:rPr>
                <w:sz w:val="18"/>
                <w:szCs w:val="18"/>
                <w:color w:val="auto"/>
              </w:rPr>
            </w:pPr>
          </w:p>
        </w:tc>
        <w:tc>
          <w:tcPr>
            <w:tcW w:w="11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3,599,149</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3,276,324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322,825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696,685</w:t>
            </w:r>
          </w:p>
        </w:tc>
        <w:tc>
          <w:tcPr>
            <w:tcW w:w="3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746,343</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(49,658)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sales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4,295,834</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4,022,667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273,167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8"/>
              </w:rPr>
              <w:t>Total Sales by Reportable Segment</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40" w:type="dxa"/>
            <w:vAlign w:val="bottom"/>
            <w:gridSpan w:val="9"/>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2024</w:t>
            </w:r>
          </w:p>
        </w:tc>
        <w:tc>
          <w:tcPr>
            <w:tcW w:w="220" w:type="dxa"/>
            <w:vAlign w:val="bottom"/>
          </w:tcPr>
          <w:p>
            <w:pPr>
              <w:spacing w:after="0"/>
              <w:rPr>
                <w:sz w:val="18"/>
                <w:szCs w:val="18"/>
                <w:color w:val="auto"/>
              </w:rPr>
            </w:pPr>
          </w:p>
        </w:tc>
        <w:tc>
          <w:tcPr>
            <w:tcW w:w="3540" w:type="dxa"/>
            <w:vAlign w:val="bottom"/>
            <w:gridSpan w:val="7"/>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2023</w:t>
            </w:r>
          </w:p>
        </w:tc>
        <w:tc>
          <w:tcPr>
            <w:tcW w:w="100" w:type="dxa"/>
            <w:vAlign w:val="bottom"/>
          </w:tcPr>
          <w:p>
            <w:pPr>
              <w:spacing w:after="0"/>
              <w:rPr>
                <w:sz w:val="18"/>
                <w:szCs w:val="18"/>
                <w:color w:val="auto"/>
              </w:rPr>
            </w:pPr>
          </w:p>
        </w:tc>
      </w:tr>
      <w:tr>
        <w:trPr>
          <w:trHeight w:val="187"/>
        </w:trPr>
        <w:tc>
          <w:tcPr>
            <w:tcW w:w="3400" w:type="dxa"/>
            <w:vAlign w:val="bottom"/>
          </w:tcPr>
          <w:p>
            <w:pPr>
              <w:spacing w:after="0"/>
              <w:rPr>
                <w:sz w:val="16"/>
                <w:szCs w:val="16"/>
                <w:color w:val="auto"/>
              </w:rPr>
            </w:pPr>
          </w:p>
        </w:tc>
        <w:tc>
          <w:tcPr>
            <w:tcW w:w="1340" w:type="dxa"/>
            <w:vAlign w:val="bottom"/>
            <w:tcBorders>
              <w:top w:val="single" w:sz="8" w:color="auto"/>
            </w:tcBorders>
            <w:gridSpan w:val="3"/>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External Net</w:t>
            </w:r>
          </w:p>
        </w:tc>
        <w:tc>
          <w:tcPr>
            <w:tcW w:w="1180" w:type="dxa"/>
            <w:vAlign w:val="bottom"/>
            <w:tcBorders>
              <w:top w:val="single" w:sz="8" w:color="auto"/>
            </w:tcBorders>
            <w:gridSpan w:val="3"/>
          </w:tcPr>
          <w:p>
            <w:pPr>
              <w:jc w:val="center"/>
              <w:ind w:right="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Intersegment</w:t>
            </w: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Borders>
              <w:top w:val="single" w:sz="8" w:color="auto"/>
            </w:tcBorders>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External Net</w:t>
            </w:r>
          </w:p>
        </w:tc>
        <w:tc>
          <w:tcPr>
            <w:tcW w:w="1320" w:type="dxa"/>
            <w:vAlign w:val="bottom"/>
            <w:tcBorders>
              <w:top w:val="single" w:sz="8" w:color="auto"/>
            </w:tcBorders>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Intersegment</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Sales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Total Sales</w:t>
            </w:r>
          </w:p>
        </w:tc>
        <w:tc>
          <w:tcPr>
            <w:tcW w:w="100" w:type="dxa"/>
            <w:vAlign w:val="bottom"/>
          </w:tcPr>
          <w:p>
            <w:pPr>
              <w:spacing w:after="0"/>
              <w:rPr>
                <w:sz w:val="20"/>
                <w:szCs w:val="20"/>
                <w:color w:val="auto"/>
              </w:rPr>
            </w:pPr>
          </w:p>
        </w:tc>
      </w:tr>
      <w:tr>
        <w:trPr>
          <w:trHeight w:val="209"/>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3,599,149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35,932</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3,635,081</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3,276,324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43,937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3,320,261</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696,685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28,700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725,385</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746,343</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91,552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837,895</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Intercompany elimination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(64,632)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(64,632)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(135,489)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(135,489)</w:t>
            </w:r>
          </w:p>
        </w:tc>
      </w:tr>
      <w:tr>
        <w:trPr>
          <w:trHeight w:val="20"/>
        </w:trPr>
        <w:tc>
          <w:tcPr>
            <w:tcW w:w="34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net sales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4,295,834</w:t>
            </w:r>
          </w:p>
        </w:tc>
        <w:tc>
          <w:tcPr>
            <w:tcW w:w="220" w:type="dxa"/>
            <w:vAlign w:val="bottom"/>
          </w:tcPr>
          <w:p>
            <w:pPr>
              <w:spacing w:after="0"/>
              <w:rPr>
                <w:sz w:val="18"/>
                <w:szCs w:val="18"/>
                <w:color w:val="auto"/>
              </w:rPr>
            </w:pP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4,295,834</w:t>
            </w: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4,022,667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4,022,667</w:t>
            </w:r>
          </w:p>
        </w:tc>
      </w:tr>
      <w:tr>
        <w:trPr>
          <w:trHeight w:val="20"/>
        </w:trPr>
        <w:tc>
          <w:tcPr>
            <w:tcW w:w="3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Adjusted EBITDA by</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0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Reportable Segment</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300" w:type="dxa"/>
            <w:vAlign w:val="bottom"/>
            <w:tcBorders>
              <w:top w:val="single" w:sz="8" w:color="auto"/>
              <w:bottom w:val="single" w:sz="8" w:color="auto"/>
            </w:tcBorders>
            <w:gridSpan w:val="4"/>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vMerge w:val="restart"/>
          </w:tcPr>
          <w:p>
            <w:pPr>
              <w:spacing w:after="0"/>
              <w:rPr>
                <w:sz w:val="18"/>
                <w:szCs w:val="18"/>
                <w:color w:val="auto"/>
              </w:rPr>
            </w:pPr>
          </w:p>
        </w:tc>
        <w:tc>
          <w:tcPr>
            <w:tcW w:w="11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693,203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523,337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169,866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95,898</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114,522</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(18,624)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Adjusted EBITDA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789,101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637,859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151,242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net sales by product class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Net Sales by Product Class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320" w:type="dxa"/>
            <w:vAlign w:val="bottom"/>
            <w:tcBorders>
              <w:top w:val="single" w:sz="8" w:color="auto"/>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vMerge w:val="restart"/>
          </w:tcPr>
          <w:p>
            <w:pPr>
              <w:spacing w:after="0"/>
              <w:rPr>
                <w:sz w:val="18"/>
                <w:szCs w:val="18"/>
                <w:color w:val="auto"/>
              </w:rPr>
            </w:pPr>
          </w:p>
        </w:tc>
        <w:tc>
          <w:tcPr>
            <w:tcW w:w="11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products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2,433,474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2,062,929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370,545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Commercial &amp; Industrial products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1,389,469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1,494,799</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(105,330)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472,891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464,939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7,952</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net 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4,295,834</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4,022,667</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273,167</w:t>
            </w: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The increase in domestic segment sales for the year ended December 31, 2024, was primarily driven by an increase in residential product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most notably in home standby and portable generators following the elevated power outage activity in the second half of the year. This was partially offset by a decline in C&amp;I product sales for telecom, rental, and "beyond standby" applications.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international segment sales for the year ended December 31, 2024, was primarily driven by lower intersegment sales related to softness in the telecom market and a decline in portable generator and C&amp;I product sales in Europe, partially offset by growth in Latin America.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total net sales from non-annualized acquisitions for the year ended December 31, 2024, were $16.5 million, mostly in the domestic segment.</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margin for the year ended December 31, 2024, was 38.8% compared to 33.9% for the year ended December 31, 2023.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gross profit margin was primarily driven by favorable sales mix, including higher home standby generator sales, the realization of lower input costs, and plant efficiencies.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Operating expenses increased $149.7 million, or 15.3%, as compared to the prior year. The increase in operating expenses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higher employee and marketing costs, and increased incentive compensation and variable expenses related to higher shipment volumes and profitability. 2024 operating expenses also include $10.5 million of legal provisions and other costs related to patent and other litigation (see Note 18, “Commitments and Contingencies” to the consolidated financial statements in Item 8 of this Annual Report on Form 10-K for additional information). 2023 operating expenses included a $5.8 million provision for a regulatory matter with the CPSC, $28.3 million of legal charges related to patent and other litigation (see Note 18, “Commitments and Contingencies” for additional information), $4.4 million of additional customer support costs related to a clean energy product customer that filed for bankruptcy.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expense. </w:t>
      </w:r>
      <w:r>
        <w:rPr>
          <w:rFonts w:ascii="Times New Roman" w:cs="Times New Roman" w:eastAsia="Times New Roman" w:hAnsi="Times New Roman"/>
          <w:sz w:val="18"/>
          <w:szCs w:val="18"/>
          <w:color w:val="auto"/>
        </w:rPr>
        <w:t>The increase in other expense, net in 2024 was driven primarily by a $38.0 million expense for the change in fair value of our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warrants and equity securities of Wallbox N.V., and a $4.9 million loss on extinguishment of debt. This was partially offset by a $3.3 million increase in investment income driven by higher cash on hand and a $7.9 million decrease in interest expense driven by decreased borrowings and interest rates compared to the prior year comparable period.</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The effective income tax rates for the years ended December 31, 2024 and 2023 were 22.6% and 25.2%, respectively.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in the effective tax rate was primarily due to unfavorable discrete tax items in 2023 that did not repeat in the current year, as well as favorable 2024 earnings mix with higher earnings in lower tax jurisdictions.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income attributable to Generac Holdings Inc. </w:t>
      </w:r>
      <w:r>
        <w:rPr>
          <w:rFonts w:ascii="Times New Roman" w:cs="Times New Roman" w:eastAsia="Times New Roman" w:hAnsi="Times New Roman"/>
          <w:sz w:val="18"/>
          <w:szCs w:val="18"/>
          <w:color w:val="auto"/>
        </w:rPr>
        <w:t>Net income attributable to Generac Holdings Inc. was $316.3 million as compared to $214.6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prior year period. The increase was primarily driven by higher sales and gross margin, as noted above.</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Adjusted EBITDA is defined and reconciled to net income in, “Non-GAAP Measures – Adjusted EBITDA” included below in Item 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Annual Report on Form 10-K. Adjusted EBITDA margins for the domestic segment for the year ended December 31, 2024, were 19.1% of domestic</w:t>
      </w:r>
    </w:p>
    <w:p>
      <w:pPr>
        <w:sectPr>
          <w:pgSz w:w="11900" w:h="16838" w:orient="portrait"/>
          <w:cols w:equalWidth="0" w:num="1">
            <w:col w:w="11240"/>
          </w:cols>
          <w:pgMar w:left="320" w:top="108" w:right="339" w:bottom="0" w:gutter="0" w:footer="0" w:header="0"/>
        </w:sectPr>
      </w:pPr>
    </w:p>
    <w:bookmarkStart w:id="38" w:name="page39"/>
    <w:bookmarkEnd w:id="3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segment total sales compared to 15.8% for the year ended December 31, 2023. This margin improvement was primarily driven by favorable sales mix and lower input costs, partially offset by higher operating expense investments to support future growth initiatives.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margins for the international segment, before deducting for non-controlling interests, for the year ended December 31, 2024, were 13.2% of international segment total sales compared to 13.7% in the prior year. This margin decrease was primarily due to reduced operating leverage on lower shipments during the year.</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Adjusted net income. </w:t>
      </w:r>
      <w:r>
        <w:rPr>
          <w:rFonts w:ascii="Times New Roman" w:cs="Times New Roman" w:eastAsia="Times New Roman" w:hAnsi="Times New Roman"/>
          <w:sz w:val="18"/>
          <w:szCs w:val="18"/>
          <w:color w:val="auto"/>
        </w:rPr>
        <w:t>Adjusted Net Income is defined and reconciled to net income in, “Non-GAAP Measures – Adjusted Net Income” included below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Item 7 of this Annual Report on Form 10-K. Adjusted Net Income was $438.5 million for the year ended December 31, 2024, compared to $335.3 million for the year ended December 31, 2023, with the increase primarily due to higher net income in the current year as outlined above, together with the impact of various add-backs in the current and prior years.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Financial Position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primary cash requirements include payment for raw materials and components, salaries and benefits, facility and lease costs, operating expenses, interest and principal payments on debt, and capital expenditures. We finance our operations primarily from cash flow generated from operations and, if necessary, borrowings under our revolving credit facility.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2024, there was $498.8 million outstanding under the Tranche B Term Loan Facility, $712.5 million outstanding under the Tranche A Term Loan Facility, and no borrowings on the Revolving Facility, leaving $1,249.2 million of unused capacity, net of outstanding letters of credit. The Tranche B Term Loan Facility bears interest at the adjusted SOFR rate plus an applicable margin of 1.75%, subject to a SOFR floor of 0.0%. As of December 31, 2024, the interest rate for the Tranche B Term Loan Facility is 6.34%. The Tranche A Term Loan Facility and the Revolving Facility bear interest at a rate based on adjusted SOFR plus an applicable margin between 1.25% and 1.75%, based on the Company's total leverage ratio and subject to a SOFR floor of 0.0%. As of December 31, 2024, the interest rates for the Tranche A Term Loan Facility and Revolving Facility are 6.15% and 6.19%, respectively. See Note 5, "Derivative Instruments and Hedging Activities" to the consolidated financial statements in Item 8 of this Annual Report on Form 10-K and Item 7A "Quantitative and Qualitative Disclosures About Market Risk" for further information on interest rate swaps, which help to reduce our borrowing costs.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Tranche A Term Loan Facility and Revolving Facility mature on June 29, 2027. The Tranche A Term Loan Facility is repayable in installments maturing at the end of each quarter commencing September 2023, with a balloon payment due June 2027. The Tranche B Term Loan Facility matures on July 3, 2031, and is repayable in installments maturing at the end of each quarter commencing September 2024, with a balloon payment due July 2031.</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we had total liquidity of $1,530.5 million, which consists of $281.3 million of cash and cash equivalents and $1,249.2 million available under our Revolving Facility. We believe we have a strong liquidity position that allows us to execute our strategic plan and provides flexibility to continue to invest in future growth opportunities.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July 2022, our Board approved a stock repurchase program, which commenced on August 5, 2022, and allowed for the repurchase of up to $500.0 million of our common stock over a 24-month period. Additionally, on February 12, 2024, our Board approved a new stock repurchase program that allows for the repurchase of up to $500.0 million of our common stock over the next twenty-four months. The new program replaced the prior share repurchase program, which had approximately $26.3 million remaining available for repurchase when the new program was approved. Pursuant to the approved program, we may repurchase our common stock from time to time, in amounts and at prices we deem appropriate, subject to market conditions and other considerations. The repurchases may be executed using a combination of Rule 10b5-1 trading plans, open market purchases, privately negotiated agreements, or other transactions. The actual timing, number and value of shares repurchased under the program will be determined by management at its discretion and in compliance with the terms of our credit agreements. The repurchases may be funded with cash on hand, available borrowings, or proceeds from potential debt or other capital markets sources. The stock repurchase program may be suspended or discontinued at any time without prior notice. As of December 31, 2024, the remaining unused buyback authorization was $347,257.</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2024 and 2023, we repurchased 1,046,351 shares of our common stock for $152.7 million, and 2,188,475 shares for $251.5 million, respectively. We have periodically reissued shares out of Treasury stock, including for acquisition contingent consideration payments and some equity grants.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an arrangement with a finance company to provide floor plan financing for selected dealers. This arrangement provides liquidity for our dealers by financing dealer purchases of Generac products with credit availability from the finance company. We receive payment from the finance company after shipment of product to the dealer, and our dealers are given a longer period of time to pay the finance company. If our dealers do not pay the finance company, we may be required to repurchase the applicable inventory held by the dealer. We do not indemnify the finance company for any credit losses they may incur. Total dealer purchases financed under this arrangement accounted for approximately 13% and 12% of net sales for the years ended December 31, 2024 and 2023, respectively. The amount financed by dealers which remained outstanding was $165.4 million and $158.0 million as of December 31, 2024 and 2023, respectively.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Note 12, “Credit Agreements,” and Note 13, “Stock Repurchase Program,” to the consolidated financial statements included in Item 8 of this Annual Report on Form 10-K for more information on our credit agreements and stock repurchase programs. See Note 10, “Leases,” to the consolidated financial statements included in Item 8 of this Annual Report on Form 10-K for the maturity schedule of our lease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Liquidity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our cash and cash equivalents, cash flow from operations, and availability under our Revolving Facility and other short-term lines of credit will provide us with sufficient capital to continue to run our operations. We may use a portion of our cash flow for debt repayments and common stock buybacks, impacting the amount available for working capital, capital expenditures, acquisitions, and other general corporate purposes. As we continue to expand our business, we may require additional capital to fund other shareholder value enhancing activities.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 compared to year ended December 31,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cash flows by source (use) for the periods presented:</w:t>
      </w:r>
    </w:p>
    <w:p>
      <w:pPr>
        <w:sectPr>
          <w:pgSz w:w="11900" w:h="16838" w:orient="portrait"/>
          <w:cols w:equalWidth="0" w:num="1">
            <w:col w:w="11240"/>
          </w:cols>
          <w:pgMar w:left="320" w:top="121" w:right="339" w:bottom="0" w:gutter="0" w:footer="0" w:header="0"/>
        </w:sect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financing activities</w:t>
      </w:r>
    </w:p>
    <w:p>
      <w:pPr>
        <w:spacing w:after="0" w:line="9" w:lineRule="exact"/>
        <w:rPr>
          <w:sz w:val="20"/>
          <w:szCs w:val="20"/>
          <w:color w:val="auto"/>
        </w:rPr>
      </w:pPr>
    </w:p>
    <w:p>
      <w:pPr>
        <w:ind w:right="260"/>
        <w:spacing w:after="0" w:line="323" w:lineRule="auto"/>
        <w:rPr>
          <w:sz w:val="20"/>
          <w:szCs w:val="20"/>
          <w:color w:val="auto"/>
        </w:rPr>
      </w:pPr>
      <w:r>
        <w:rPr>
          <w:rFonts w:ascii="Times New Roman" w:cs="Times New Roman" w:eastAsia="Times New Roman" w:hAnsi="Times New Roman"/>
          <w:sz w:val="18"/>
          <w:szCs w:val="18"/>
          <w:color w:val="auto"/>
        </w:rPr>
        <w:t>Effect of foreign exchange rate changes on cash and cash equivalents Net increase in cash and cash equivalents</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2500" w:type="dxa"/>
            <w:vAlign w:val="bottom"/>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40" w:type="dxa"/>
            <w:vAlign w:val="bottom"/>
          </w:tcPr>
          <w:p>
            <w:pPr>
              <w:spacing w:after="0"/>
              <w:rPr>
                <w:sz w:val="20"/>
                <w:szCs w:val="20"/>
                <w:color w:val="auto"/>
              </w:rPr>
            </w:pPr>
          </w:p>
        </w:tc>
        <w:tc>
          <w:tcPr>
            <w:tcW w:w="9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vMerge w:val="restart"/>
          </w:tcPr>
          <w:p>
            <w:pPr>
              <w:spacing w:after="0"/>
              <w:rPr>
                <w:sz w:val="20"/>
                <w:szCs w:val="20"/>
                <w:color w:val="auto"/>
              </w:rPr>
            </w:pPr>
          </w:p>
        </w:tc>
        <w:tc>
          <w:tcPr>
            <w:tcW w:w="11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741,301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521,670</w:t>
            </w:r>
          </w:p>
        </w:tc>
        <w:tc>
          <w:tcPr>
            <w:tcW w:w="20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219,631</w:t>
            </w:r>
          </w:p>
        </w:tc>
        <w:tc>
          <w:tcPr>
            <w:tcW w:w="220" w:type="dxa"/>
            <w:vAlign w:val="bottom"/>
          </w:tcPr>
          <w:p>
            <w:pPr>
              <w:spacing w:after="0"/>
              <w:rPr>
                <w:sz w:val="16"/>
                <w:szCs w:val="16"/>
                <w:color w:val="auto"/>
              </w:rPr>
            </w:pPr>
          </w:p>
        </w:tc>
        <w:tc>
          <w:tcPr>
            <w:tcW w:w="124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(208,712)</w:t>
            </w: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(178,063)</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(30,649)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(448,835)</w:t>
            </w: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(277,137)</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(171,698)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(3,471)</w:t>
            </w:r>
          </w:p>
        </w:tc>
        <w:tc>
          <w:tcPr>
            <w:tcW w:w="2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1,801</w:t>
            </w: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(5,272)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0" w:type="dxa"/>
            <w:vAlign w:val="bottom"/>
          </w:tcPr>
          <w:p>
            <w:pPr>
              <w:spacing w:after="0"/>
              <w:rPr>
                <w:sz w:val="1"/>
                <w:szCs w:val="1"/>
                <w:color w:val="auto"/>
              </w:rPr>
            </w:pPr>
          </w:p>
        </w:tc>
      </w:tr>
      <w:tr>
        <w:trPr>
          <w:trHeight w:val="20"/>
        </w:trPr>
        <w:tc>
          <w:tcPr>
            <w:tcW w:w="16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80,283</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68,271</w:t>
            </w:r>
          </w:p>
        </w:tc>
        <w:tc>
          <w:tcPr>
            <w:tcW w:w="20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12,012</w:t>
            </w:r>
          </w:p>
        </w:tc>
        <w:tc>
          <w:tcPr>
            <w:tcW w:w="220" w:type="dxa"/>
            <w:vAlign w:val="bottom"/>
            <w:vMerge w:val="continue"/>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-719455</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-445135</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-162560</wp:posOffset>
            </wp:positionV>
            <wp:extent cx="7132320"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260" w:space="720"/>
            <w:col w:w="5260"/>
          </w:cols>
          <w:pgMar w:left="320" w:top="121" w:right="339" w:bottom="0" w:gutter="0" w:footer="0" w:header="0"/>
          <w:type w:val="continuous"/>
        </w:sect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net cash provided by operating activities was primarily driven by higher operating earnings coupled with a larger decrease in working capital in the current year period, as compared to the prior year.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$208.7 million net cash used in investing activities for the year ended December 31, 2024 primarily represents cash payments of $136.7 million for the purchase of property and equipment (net of $11.1 million of capital expenditures in accounts payable as of December 31, 2024), $35.0 million for an incremental minority investment in Wallbox N.V., $2.8 million for a minority investment in Earth Foundry Fund, $1.6 million for a tax equity investment, and $34.7 million collectively for the acquisitions of Huntington, C&amp;I BESS, Ageto, and Wolverine. These were partially offset by $2.0 million of cash proceeds from the sale of our minority interest in Rolling Energy Resources.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$178.1 million net cash used in investing activities for the year ended December 31, 2023 primarily represents cash payments of $129.1 million for the purchase of property and equipment (net of $10.9 million of capital expenditures in accounts payable as of December 31, 2023), $30.0 million for a minority investment in Wallbox, $16.0 million for the acquisition of REFU, $6.6 million for a tax equity investment, and a $2.6 million minority investment in Rolling Energy Resources and Earth Foundry Fund.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$448.8 million net cash used in financing activities for the year ended December 31, 2024 primarily represents $849.1 million of debt repayments ($54.5 million of short-term borrowings and $794.6 million of long-term borrowings and finance lease obligations), $152.7 million of stock repurchases, a $9.1 million payment for the remaining ownership interest in Captiva, $7.4 million of payments for deferred acquisition consideration, $24.8 million for taxes paid related to equity awards, and $3.6 million of payments for debt issuance costs related to our amended Tranche B Term Loan credit agreement refinancing. These uses of cash were partially offset by proceeds of $29.2 million from short-term borrowings, $541.5 million from long-term borrowings, and $27.6 million from the exercise of stock options.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$277.1 million net cash used in financing activities for the year ended December 31, 2023 primarily consisted of $104.8 million in cash payments used to purchase the remaining ownership interest in Pramac, $251.5 million used for stock repurchases, $325.8 million of debt repayments ($37.1 million of short-term borrowings and $288.7 million of long-term borrowings and finance lease obligations), $10.9 million of taxes paid related to equity awards, and $5.0 million for payment of contingent acquisition consideration. These uses of cash were partially offset by proceeds of $348.8 million from long-term borrowings, $64.3 million from short-term borrowings, and $7.8 million proceeds from the exercise of employee stock options.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Secured Credit Facilities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Note 12, “Credit Agreements,” to the consolidated financial statements in Item 8 of this Annual Report on Form 10-K for information on our senior secured credit facilities.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 Compliance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Term Loans restrict the aggregate amount of dividends and distributions that can be paid and, in certain circumstances, requires pro forma compliance with certain fixed charge coverage ratios or gross leverage ratios, as applicable, in order to pay certain dividends and distributions. Our Term Loans also contain other affirmative and negative covenants that, among other things, limit the incurrence of additional indebtedness, liens on property, sale and leaseback transactions, investments, loans and advances, mergers or consolidations, asset sales, acquisitions, transactions with affiliates, prepayments of certain other indebtedness, and modifications of our organizational documents. The Tranche A Term Loan Facility and the Revolving Facility contain certain financial covenants that require the Company to maintain a total leverage ratio below 3.75 to 1.00, an interest coverage ratio above 3.00 to 1.00, and may require an excess cash flow payment. As of December 31, 2024, the Company’s total leverage ratio was 1.33 to 1.00, and the Company's interest coverage ratio was 10.03 to 1.00. The Company was not required to make an excess cash flow payment as of December 31, 2024. The Company was also in compliance with all other covenants of the Amended Credit Agreement as of December 31, 2024.</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Term Loans contain customary events of default, including, among others, nonpayment of principal, interest or other amounts, failure to perform covenants, inaccuracy of representations or warranties in any material respect, cross-defaults with other material indebtedness, certain undischarged judgments, the occurrence of certain ERISA, bankruptcy or insolvency events, or the occurrence of a change in control (as defined in the Amended Credit Agreement). A bankruptcy or insolvency event of default will cause the obligations under the Term Loans to automatically become immediately due and payable.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Revolving Facility also contains covenants and events of default substantially similar to those in the Term Loans, as described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operations require capital expenditures for facilities and related improvements, technology, research &amp; development, tooling, equipment, capacity expansion, internal use software, IT systems &amp; infrastructure, and upgrades. Capital expenditures were $136.7 million, $129.1 million, and $86.2 million in the years ended December 31, 2024, 2023 and 2022, respectively, and were funded primarily through cash from operations.</w:t>
      </w:r>
    </w:p>
    <w:p>
      <w:pPr>
        <w:sectPr>
          <w:pgSz w:w="11900" w:h="16838" w:orient="portrait"/>
          <w:cols w:equalWidth="0" w:num="1">
            <w:col w:w="11240"/>
          </w:cols>
          <w:pgMar w:left="320" w:top="121" w:right="339" w:bottom="0" w:gutter="0" w:footer="0" w:header="0"/>
          <w:type w:val="continuous"/>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preparing the financial statements, management is required to make estimates and assumptions that have an impact on the asset, liability, revenue and expense amounts reported. These estimates can also affect our supplemental information disclosures, including information about contingencies, risk and financial condition. We believe, given current facts and circumstances, that our estimates and assumptions are reasonable, adhere to U.S. GAAP, and are consistently applied. Inherent in the nature of an estimate or assumption is the fact that actual results may differ from estimates and estimates may vary as new facts and circumstances arise. We make routine estimates and judgments in determining net realizable value of accounts receivable, inventories, property and equipment, prepaid expenses, product warranties and other reserves. Management believes our most critical accounting estimates and assumptions are in the following areas: goodwill and other indefinite-lived intangible asset impairment assessment; and income taxes. The following is a discussion of critical accounting estimates in each of these areas.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Indefinite-Lived Intangible Assets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preparing a discounted cash flow analysis for purposes of our annual impairment test, we make a number of key estimates and assumptions. We estimate the future cash flows of the business based on historical and forecasted revenues and operating costs. In addition, we apply a discount rate to the estimated future cash flows for the purpose of the valuation. This discount rate is based on the estimated weighted average cost of capital for the business and may change from year to year. Weighted average cost of capital includes certain assumptions such as market capital structures, market betas, risk-free rate of return and estimated costs of borrowing.</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all reporting units, a considerable amount of management judgment and assumptions are required in performing the goodwill and indefinite-lived intangible asset impairment tests. While we believe our judgments and assumptions are reasonable, different assumptions could change the estimated fair values. A number of factors, many of which we have no ability to control, could cause actual results to differ from the estimates and assumptions we employed. These factors include:</w:t>
      </w:r>
    </w:p>
    <w:p>
      <w:pPr>
        <w:spacing w:after="0" w:line="180"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rising interest rate environment;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prolonged global or regional economic downturn;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decrease in the demand for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develop new and enhanced products and services in a timely manner;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adverse change in legal factors, the business climate, or regulatory environment;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adverse action or assessment by a regulator;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efforts by our competitors to gain market share in our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Company’s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effectively integrate acquired businesses;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management and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or unplanned changes in the use of assets or entity structure;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divestitures.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management's estimates of future operating results change or if there are changes to other assumptions due to these factors, the estimate of the fair values may change significantly. Such change could result in impairment charges in future periods, which could have a significant impact on our operating results and financial condition. We performed the required annual impairment tests for goodwill and other indefinite-lived intangible assets for the fiscal years 2024, 2023 and 2022, and found no impairment.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 to Note 2, “Summary of Accounting Policies – Goodwill and Other Indefinite-Lived Intangible Assets,” to the consolidated financial statements in Item 8 of this Annual Report on Form 10-K for further information on the Company’s policy regarding the accounting for goodwill and other indefinite-lived intangible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account for income taxes in accordance with Accounting Standards Codification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Our estimates of income taxes payable, deferred income taxes and the effective tax rate are based on an analysis of many factors including interpretations of federal, state and international income tax laws; the difference between tax and financial reporting bases of assets and liabilities; estimates of amounts currently due or owed in various jurisdictions; and current accounting standards. We review and update our estimates on a quarterly basis as facts and circumstances change and actual results are known. In assessing the net realizable value of the deferred tax assets on our balance sheet, we consider whether it is more likely than not that some portion or all of the deferred tax assets will not be realized. The ultimate realization of deferred tax assets is dependent on the generation of future taxable income during the years in which those temporary differences become deductible. We consider the taxable income in prior carryback years, scheduled reversal of deferred tax liabilities, projected future taxable income and tax planning strategies in making this assessment.</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Refer to Note 15, “Income Taxes,” to the consolidated financial statements in Item 8 of this Annual Report on Form 10-K for further information on the Company’s income taxes and income tax positions.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information on new accounting pronouncements and the impact of these pronouncements on our consolidated financial statements, refer to Note 2, “Summary of Accounting Policies - New Accounting Pronouncements,” to the consolidated financial statements in Item 8 of this Annual Report on Form 10-K.</w:t>
      </w:r>
    </w:p>
    <w:p>
      <w:pPr>
        <w:sectPr>
          <w:pgSz w:w="11900" w:h="16838" w:orient="portrait"/>
          <w:cols w:equalWidth="0" w:num="1">
            <w:col w:w="11240"/>
          </w:cols>
          <w:pgMar w:left="320" w:top="121"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supplement our consolidated financial statements presented in accordance with U.S. GAAP, the Company provides the computation of Adjusted EBITDA attributable to the Company, which is defined as net income before noncontrolling interests adjusted for the following items: interest expense, depreciation expense, amortization of intangible assets, income tax expense, certain non-cash gains and losses including certain purchase accounting adjustments and contingent consideration adjustments, share-based compensation expense, certain transaction costs and credit facility fees, business optimization expenses, provision for certain legal and regulatory charges, certain other specific provisions, mark-to-market gains and losses on a minority investment, and Adjusted EBITDA attributable to noncontrolling interests. The provision for legal and regulatory charges adjusts for matters that are significant and not part of the ordinary routine litigation or regulatory matters incidental to the Company’s business, such as large suits and settlements, class action lawsuits, government inquiries, and certain intellectual property litigation. The adjustments to net income in computing Adjusted EBITDA are set forth in the reconciliation table below. The computation of Adjusted EBITDA is based primarily on the definition included in our Amended Credit Agreement.</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view Adjusted EBITDA as a key measure of our performance. We present Adjusted EBITDA not only due to its importance for purposes of our credit agreements, but also because it assists us in comparing our performance across reporting periods on a consistent basis as it excludes certain items that we do not believe are indicative of our core operating performance. Our management uses Adjusted EBITDA:</w:t>
      </w:r>
    </w:p>
    <w:p>
      <w:pPr>
        <w:spacing w:after="0" w:line="176" w:lineRule="exact"/>
        <w:rPr>
          <w:sz w:val="20"/>
          <w:szCs w:val="20"/>
          <w:color w:val="auto"/>
        </w:rPr>
      </w:pPr>
    </w:p>
    <w:p>
      <w:pPr>
        <w:ind w:left="680" w:hanging="321"/>
        <w:spacing w:after="0" w:line="261"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planning purposes, including the preparation of our annual operating budget and developing and refining our internal projections for future periods;</w:t>
      </w: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allocate resources to enhance the financial performance of our business;</w:t>
      </w:r>
    </w:p>
    <w:p>
      <w:pPr>
        <w:spacing w:after="0" w:line="9" w:lineRule="exact"/>
        <w:rPr>
          <w:rFonts w:ascii="Times New Roman" w:cs="Times New Roman" w:eastAsia="Times New Roman" w:hAnsi="Times New Roman"/>
          <w:sz w:val="18"/>
          <w:szCs w:val="18"/>
          <w:color w:val="auto"/>
        </w:rPr>
      </w:pPr>
    </w:p>
    <w:p>
      <w:pPr>
        <w:ind w:left="680" w:right="20" w:hanging="321"/>
        <w:spacing w:after="0" w:line="250"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target for the determination of the bonus component of compensation for our senior executives under our management incentive plan, as described further in our Proxy Statement;</w:t>
      </w:r>
    </w:p>
    <w:p>
      <w:pPr>
        <w:ind w:left="680" w:hanging="321"/>
        <w:spacing w:after="0" w:line="250"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evaluate the effectiveness of our business strategies and as a supplemental tool in evaluating our performance against our budget for each period; and</w:t>
      </w: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communications with our Board and investors concerning our financial performance.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Adjusted EBITDA is used by securities analysts, investors and other interested parties in the evaluation of the Company. Management believes the disclosure of Adjusted EBITDA offers an additional financial metric that, when coupled with results prepared in accordance with U.S. generally accepted accounting principles (U.S. GAAP) and the reconciliation to U.S. GAAP results, provides a more complete understanding of our results of operations and the factors and trends affecting our business. We believe Adjusted EBITDA is useful to investors for the following reasons:</w:t>
      </w:r>
    </w:p>
    <w:p>
      <w:pPr>
        <w:spacing w:after="0" w:line="180" w:lineRule="exact"/>
        <w:rPr>
          <w:sz w:val="20"/>
          <w:szCs w:val="20"/>
          <w:color w:val="auto"/>
        </w:rPr>
      </w:pPr>
    </w:p>
    <w:p>
      <w:pPr>
        <w:jc w:val="both"/>
        <w:ind w:left="660" w:hanging="328"/>
        <w:spacing w:after="0" w:line="257"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similar non-GAAP measures are widely used by investors to measure a company's operating performance without regard to items that can vary substantially from company to company depending upon financing and accounting methods, book values of assets, tax jurisdictions, capital structures and the methods by which assets were acquired;</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can use Adjusted EBITDA as a supplemental measure to evaluate the overall operating performance of our Company, including our ability to service our debt and other cash needs; and</w:t>
      </w:r>
    </w:p>
    <w:p>
      <w:pPr>
        <w:ind w:left="660" w:hanging="328"/>
        <w:spacing w:after="0" w:line="26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comparing our Adjusted EBITDA in different historical periods, our investors can evaluate our operating performance excluding the impact of items described below.</w:t>
      </w:r>
    </w:p>
    <w:p>
      <w:pPr>
        <w:spacing w:after="0" w:line="18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adjustments included in the reconciliation table listed below are presented to illustrate the operating performance of our business in a manner consistent with the presentation used by our management and Board. These adjustments eliminate the impact of a number of items that:</w:t>
      </w:r>
    </w:p>
    <w:p>
      <w:pPr>
        <w:spacing w:after="0" w:line="162" w:lineRule="exact"/>
        <w:rPr>
          <w:sz w:val="20"/>
          <w:szCs w:val="20"/>
          <w:color w:val="auto"/>
        </w:rPr>
      </w:pPr>
    </w:p>
    <w:p>
      <w:pPr>
        <w:jc w:val="both"/>
        <w:ind w:left="660" w:hanging="328"/>
        <w:spacing w:after="0" w:line="257"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consider indicative of our ongoing operating performance, such as non-cash write-downs and other charges, non-cash gains, write-offs relating to the retirement of debt, severance costs and other restructuring-related business optimization expenses, provision for certain legal and regulatory charges, certain other specific provisions, and mark-to-market gains and losses on a minority investment;</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to be akin to, or associated with, interest expense, such as administrative agent fees, revolving credit facility commitment fees and letter of credit fees; or</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non-cash in nature, such as share-based compensation expense.</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explain in more detail in footnotes (a) through (g) below why we believe these adjustments are useful in calculating Adjusted EBITDA as a measure of our operating performance.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does not represent, and should not be a substitute for, net income or cash flows from operations as determined in accordance with U.S. GAAP. Adjusted EBITDA has limitations as an analytical tool, and you should not consider it in isolation, or as a substitute for analysis of our results as reported under U.S. GAAP. Some of the limitations are:</w:t>
      </w:r>
    </w:p>
    <w:p>
      <w:pPr>
        <w:spacing w:after="0" w:line="176"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cash expenditures, or future requirements for capital expenditures or contractual commitments;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our working capital needs;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significant interest expense, or the cash requirements necessary to service interest or principal payments on our debt;</w:t>
      </w:r>
    </w:p>
    <w:p>
      <w:pPr>
        <w:ind w:left="66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Adjusted EBITDA does not reflect any cash requirements for such replacements;</w:t>
      </w:r>
    </w:p>
    <w:p>
      <w:pPr>
        <w:jc w:val="both"/>
        <w:ind w:left="66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several of the adjustments that we use in calculating Adjusted EBITDA, such as non-cash write-downs and other charges, while not involving cash expense, do have a negative impact on the value of our assets as reflected in our consolidated balance sheet prepared in accordance with U.S. GAAP;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may calculate Adjusted EBITDA differently than we do, limiting its usefulness as a comparative measure.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as noted above, one of our uses of Adjusted EBITDA is as a target for determining elements of compensation for our senior executives. At the same time, some or all of these senior executives have responsibility for monitoring our financial results, generally including the adjustments in calculating Adjusted EBITDA (subject ultimately to review by our Board in the context of the Board's review of our financial statements). While many of the adjustments (for example, transaction costs and credit facility fees), involve mathematical application of items reflected in our financial statements, others involve a degree of judgment and discretion. While we believe all of these adjustments are appropriate, and while the calculations are subject to review by</w:t>
      </w:r>
    </w:p>
    <w:p>
      <w:pPr>
        <w:sectPr>
          <w:pgSz w:w="11900" w:h="16838" w:orient="portrait"/>
          <w:cols w:equalWidth="0" w:num="1">
            <w:col w:w="11240"/>
          </w:cols>
          <w:pgMar w:left="320" w:top="121" w:right="339" w:bottom="0" w:gutter="0" w:footer="0" w:header="0"/>
        </w:sectPr>
      </w:pPr>
    </w:p>
    <w:bookmarkStart w:id="43" w:name="page44"/>
    <w:bookmarkEnd w:id="43"/>
    <w:p>
      <w:pPr>
        <w:jc w:val="both"/>
        <w:spacing w:after="0" w:line="266" w:lineRule="auto"/>
        <w:rPr>
          <w:sz w:val="20"/>
          <w:szCs w:val="20"/>
          <w:color w:val="auto"/>
        </w:rPr>
      </w:pPr>
      <w:r>
        <w:rPr>
          <w:rFonts w:ascii="Times New Roman" w:cs="Times New Roman" w:eastAsia="Times New Roman" w:hAnsi="Times New Roman"/>
          <w:sz w:val="18"/>
          <w:szCs w:val="18"/>
          <w:color w:val="auto"/>
        </w:rPr>
        <w:t>our Board in the context of the Board's review of our financial statements, and certification by our Chief Financial Officer in a compliance certificate provided to the lenders under our Amended Credit Agreement, this discretion may be viewed as an additional limitation on the use of Adjusted EBITDA as an analytical tool.</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Because of these limitations, Adjusted EBITDA should not be considered as a measure of discretionary cash available to us to invest in the growth of our business. We compensate for these limitations by relying primarily on our U.S. GAAP results and using Adjusted EBITDA only supplementally.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32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96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net income to Adjusted EBITDA attributable to Generac Holdings Inc.:</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7"/>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Generac Holdings Inc.</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316,315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214,606</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399,502</w:t>
            </w: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663</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9,368</w:t>
            </w:r>
          </w:p>
        </w:tc>
      </w:tr>
      <w:tr>
        <w:trPr>
          <w:trHeight w:val="20"/>
        </w:trPr>
        <w:tc>
          <w:tcPr>
            <w:tcW w:w="12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316,978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217,120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408,870</w:t>
            </w: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89,713</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97,627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54,826</w:t>
            </w: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171,768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166,602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156,141</w:t>
            </w: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92,460</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73,180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99,596</w:t>
            </w: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write-down and other adjustments (a)</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4,757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(5,953)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(2,091)</w:t>
            </w: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Non-cash share-based compensation expense (b)</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49,248</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35,492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29,481</w:t>
            </w: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 and credit facility fees (c)</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5,097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4,054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5,026</w:t>
            </w: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optimization and other charges (d)</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4,752</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10,551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4,371</w:t>
            </w: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legal, regulatory, and clean energy product charges (e)</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10,931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38,490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65,265</w:t>
            </w: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investment (f)</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38,006</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 (g)</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4,861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3,743</w:t>
            </w: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530</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r>
      <w:tr>
        <w:trPr>
          <w:trHeight w:val="20"/>
        </w:trPr>
        <w:tc>
          <w:tcPr>
            <w:tcW w:w="12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789,101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637,859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825,367</w:t>
            </w: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 attributable to noncontrolling interests</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1,175</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4,687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15,087</w:t>
            </w:r>
          </w:p>
        </w:tc>
      </w:tr>
      <w:tr>
        <w:trPr>
          <w:trHeight w:val="20"/>
        </w:trPr>
        <w:tc>
          <w:tcPr>
            <w:tcW w:w="12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attributable to Generac Holdings Inc.</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787,926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633,172</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810,280</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43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8"/>
        <w:spacing w:after="0" w:line="261" w:lineRule="auto"/>
        <w:tabs>
          <w:tab w:leader="none" w:pos="25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following non-cash charges, gains, and other adjustments: (gains)/losses on the disposition of assets other than in the ordinary course of business, (gains)/losses on sales of certain investments, unrealized mark-to-market adjustments on commodity contracts, certain foreign currency related adjustments, and certain purchase accounting and contingent consideration adjustments. We believe that adjusting net income for these items is useful for the following reasons:</w:t>
      </w:r>
    </w:p>
    <w:p>
      <w:pPr>
        <w:spacing w:after="0" w:line="179"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gains/losses on disposition of assets other than in the ordinary course of business and sales of certain investments result from the sale of assets that are no longer useful in our business and therefore represent gains or losses that are not from our core operations;</w:t>
      </w:r>
    </w:p>
    <w:p>
      <w:pPr>
        <w:jc w:val="both"/>
        <w:ind w:left="660" w:hanging="328"/>
        <w:spacing w:after="0" w:line="250" w:lineRule="auto"/>
        <w:tabs>
          <w:tab w:leader="none" w:pos="66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adjustments for unrealized mark-to-market gains and losses on commodity contracts represent non-cash items to reflect changes in the fair value of forward contracts that have not been settled or terminated. We believe it is useful to adjust net income for these items because the charges do not represent a cash outlay in the period in which the charge is incurred, although Adjusted EBITDA must always be used together with our U.S. GAAP statements of comprehensive income and cash flows to capture the full effect of these contracts on our operating performance;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accounting adjustments represent non-cash items to reflect fair value of certain assets at the date of acquisition, and therefore do not reflect our ongoing operations. Fair value adjustments to contingent consideration obligations related to business acquisitions are added back as they are akin to purchase price.</w:t>
      </w:r>
    </w:p>
    <w:p>
      <w:pPr>
        <w:spacing w:after="0" w:line="18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share-based compensation expense to account for stock options, restricted stock, and other stock awards over their respective vesting period.</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24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transaction costs incurred directly in connection with any investment, as defined in our credit agreement, equity issuance or debt issuance or refinancing, together with certain fees relating to our senior secured credit facilities, such as administrative agent fees and credit facility commitment fees under our Amended Credit Agreement.</w:t>
      </w:r>
    </w:p>
    <w:p>
      <w:pPr>
        <w:spacing w:after="0" w:line="17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severance and other restructuring charges related to the consolidation of certain operating facilities and organizational functions.</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following litigation, regulatory, and other matters that are not indicative of our ongoing operations:</w:t>
      </w:r>
    </w:p>
    <w:p>
      <w:pPr>
        <w:spacing w:after="0" w:line="27" w:lineRule="exact"/>
        <w:rPr>
          <w:rFonts w:ascii="Times New Roman" w:cs="Times New Roman" w:eastAsia="Times New Roman" w:hAnsi="Times New Roman"/>
          <w:sz w:val="18"/>
          <w:szCs w:val="18"/>
          <w:color w:val="auto"/>
        </w:rPr>
      </w:pPr>
    </w:p>
    <w:p>
      <w:pPr>
        <w:ind w:left="420" w:hanging="133"/>
        <w:spacing w:after="0"/>
        <w:tabs>
          <w:tab w:leader="none" w:pos="4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for judgments, settlements, and legal expenses related to certain patent lawsuits - $9.2 million in 2024; $27.3 million in 2023.</w:t>
      </w:r>
    </w:p>
    <w:p>
      <w:pPr>
        <w:spacing w:after="0" w:line="9" w:lineRule="exact"/>
        <w:rPr>
          <w:rFonts w:ascii="Times New Roman" w:cs="Times New Roman" w:eastAsia="Times New Roman" w:hAnsi="Times New Roman"/>
          <w:sz w:val="18"/>
          <w:szCs w:val="18"/>
          <w:color w:val="auto"/>
        </w:rPr>
      </w:pPr>
    </w:p>
    <w:p>
      <w:pPr>
        <w:ind w:left="440" w:hanging="153"/>
        <w:spacing w:after="0"/>
        <w:tabs>
          <w:tab w:leader="none" w:pos="4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expenses related to certain class action lawsuits - $1.3 million in 2024; $1.0 million in 2023.</w:t>
      </w:r>
    </w:p>
    <w:p>
      <w:pPr>
        <w:spacing w:after="0" w:line="9" w:lineRule="exact"/>
        <w:rPr>
          <w:sz w:val="20"/>
          <w:szCs w:val="20"/>
          <w:color w:val="auto"/>
        </w:rPr>
      </w:pPr>
    </w:p>
    <w:p>
      <w:pPr>
        <w:ind w:left="160" w:right="20" w:firstLine="185"/>
        <w:spacing w:after="0" w:line="250" w:lineRule="auto"/>
        <w:tabs>
          <w:tab w:leader="none" w:pos="534" w:val="left"/>
        </w:tabs>
        <w:numPr>
          <w:ilvl w:val="3"/>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bad debt provision and additional customer support costs related to a clean energy product customer that filed for bankruptcy in 2022 – $0.4 million additional customer support costs in 2024; $4.4 million additional customer support costs in 2023; $17.9 million bad debt provision in 2022.</w:t>
      </w:r>
    </w:p>
    <w:p>
      <w:pPr>
        <w:jc w:val="both"/>
        <w:ind w:left="160" w:firstLine="155"/>
        <w:spacing w:after="0" w:line="250" w:lineRule="auto"/>
        <w:tabs>
          <w:tab w:leader="none" w:pos="485"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for a matter with the CPSC concerning the imposition of civil fines for allegedly failing to timely submit a report under the Consumer Product Safety Act (CPSA) in relation to certain portable generators that were subject to a voluntary recall previously announced on July 29, 2021 - $5.8 million in 2023; $10.0 million in 2022.</w:t>
      </w:r>
    </w:p>
    <w:p>
      <w:pPr>
        <w:spacing w:after="0" w:line="1" w:lineRule="exact"/>
        <w:rPr>
          <w:rFonts w:ascii="Times New Roman" w:cs="Times New Roman" w:eastAsia="Times New Roman" w:hAnsi="Times New Roman"/>
          <w:sz w:val="18"/>
          <w:szCs w:val="18"/>
          <w:color w:val="auto"/>
        </w:rPr>
      </w:pPr>
    </w:p>
    <w:p>
      <w:pPr>
        <w:ind w:left="440" w:hanging="153"/>
        <w:spacing w:after="0"/>
        <w:tabs>
          <w:tab w:leader="none" w:pos="4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warranty provision to address certain clean energy product warranty-related matters - $37.3 million in 2022.</w:t>
      </w:r>
    </w:p>
    <w:p>
      <w:pPr>
        <w:spacing w:after="0" w:line="206"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losses from changes in the fair value of the Company's investment in Wallbox N.V. warrants and equity securities.</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26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fees paid to creditors and the write-off of the unamortized original issue discount and deferred financing costs in connection with the 2024 and 2022 credit agreement refinancings. Refer to Note 12, “Credit Agreements,” to the consolidated financial statements in Item 8 of this Annual Report on Form 10-K for further information on the losses on extinguishment of debt.</w:t>
      </w:r>
    </w:p>
    <w:p>
      <w:pPr>
        <w:sectPr>
          <w:pgSz w:w="11900" w:h="16838" w:orient="portrait"/>
          <w:cols w:equalWidth="0" w:num="1">
            <w:col w:w="11240"/>
          </w:cols>
          <w:pgMar w:left="320" w:top="108"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further supplement our consolidated financial statements in accordance with U.S. GAAP, we provide the computation of Adjusted Net Income attributable to the Company, which is defined as net income before noncontrolling interests adjusted for the following items: amortization of intangible assets, amortization of deferred financing costs and original issue discount related to the Company's debt, intangible impairment charges, certain transaction costs and other purchase accounting adjustments, business optimization expenses, provision for certain legal and regulatory charges, certain other specific provisions, mark-to-market gains and losses on a minority investment, other non-cash gains and losses, and adjusted net income attributable to non-controlling interests, as set forth in the reconciliation table below.</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Adjusted Net Income is used by securities analysts, investors and other interested parties in the evaluation of our company’s operations. Management believes the disclosure of Adjusted Net Income offers an additional financial metric that, when used in conjunction with U.S. GAAP results and the reconciliation to U.S. GAAP results, provides a more complete understanding of our ongoing results of operations, and the factors and trends affecting our business.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adjustments included in the reconciliation table listed below are presented to illustrate the operating performance of our business in a manner consistent with the presentation used by investors and securities analysts. Similar to the Adjusted EBITDA reconciliation, these adjustments eliminate the impact of a number of items we do not consider indicative of our ongoing operating performance or cash flows, such as amortization costs, transaction costs and write-offs relating to the retirement of debt.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Similar to Adjusted EBITDA, Adjusted Net Income does not represent, and should not be a substitute for, net income or cash flows from operations as determined in accordance with U.S. GAAP. Adjusted Net Income has limitations as an analytical tool, and you should not consider it in isolation, or as a substitute for analysis of our results as reported under U.S. GAAP. Some of the limitations are:</w:t>
      </w:r>
    </w:p>
    <w:p>
      <w:pPr>
        <w:spacing w:after="0" w:line="176"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does not reflect changes in, or cash requirements for, our working capital needs;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amortization is a non-cash charge, the assets being amortized may have to be replaced in the future, and Adjusted Net Income does not reflect any cash requirements for such replacements; and</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may calculate Adjusted Net Income differently than we do, limiting its usefulness as a comparative measure.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net income to Adjusted Net Income attributable to Generac Holdings Inc.:</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7"/>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Generac Holdings Inc.</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316,315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214,606</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399,502</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663</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9,368</w:t>
            </w:r>
          </w:p>
        </w:tc>
      </w:tr>
      <w:tr>
        <w:trPr>
          <w:trHeight w:val="20"/>
        </w:trPr>
        <w:tc>
          <w:tcPr>
            <w:tcW w:w="5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316,978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217,120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408,870</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97,743</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104,194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103,320</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deferred financing costs and original issue discount</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3,242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3,885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3,234</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 and other purchase accounting adjustments (a)</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2,717</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2,089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3,588</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Loss/(gain) attributable to business or asset dispositions (b)</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(229)</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Business optimization and other charges (c)</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4,752</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10,551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4,371</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legal, regulatory, and clean energy product charges (c)</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10,931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38,490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65,265</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investment (c)</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38,006</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 (c)</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4,861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3,743</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Tax effect of add backs</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(40,173)</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(38,384)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(43,638)</w:t>
            </w:r>
          </w:p>
        </w:tc>
      </w:tr>
      <w:tr>
        <w:trPr>
          <w:trHeight w:val="20"/>
        </w:trPr>
        <w:tc>
          <w:tcPr>
            <w:tcW w:w="5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439,122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337,826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548,524</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 attributable to noncontrolling interests</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663</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9,675</w:t>
            </w:r>
          </w:p>
        </w:tc>
      </w:tr>
      <w:tr>
        <w:trPr>
          <w:trHeight w:val="20"/>
        </w:trPr>
        <w:tc>
          <w:tcPr>
            <w:tcW w:w="5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 attributable to Generac Holdings Inc.</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438,459</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335,312</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538,849</w:t>
            </w:r>
          </w:p>
        </w:tc>
      </w:tr>
      <w:tr>
        <w:trPr>
          <w:trHeight w:val="20"/>
        </w:trPr>
        <w:tc>
          <w:tcPr>
            <w:tcW w:w="56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firstLine="8"/>
        <w:spacing w:after="0" w:line="282" w:lineRule="auto"/>
        <w:tabs>
          <w:tab w:leader="none" w:pos="24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transaction costs incurred directly in connection with any investment, as defined in our credit agreement, equity issuance or debt issuance or refinancing, and certain purchase accounting and contingent consideration adjustments.</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9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losses/(gains) attributable to the disposition of a business or assets occurring in other than ordinary course, as defined in our credit agreement.</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reconciliation of net income to Adjusted EBITDA attributable to Generac Holdings Inc. above.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market risk from changes in foreign currency exchange rates, commodity prices and interest rates. To reduce the risk from these changes, we use financial instruments from time to time. We do not hold or issue financial instruments for trading purposes.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exposed to foreign currency exchange risk as a result of transactions denominated in currencies other than the U.S. Dollar, as well as operating businesses and supply chains in foreign countries. Periodically, we utilize foreign currency forward purchase and sales contracts to manage the volatility associated with certain foreign currency purchases and sales in the normal course of business. Contracts typically have maturities of twelve months or less. Realized gains and losses on transactions denominated in foreign currency are recorded as a component of cost of goods sold in the statements of comprehensive income.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41 foreign currency forward contracts outstanding as of December 31, 2024 (notional amounts in thousands of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Currency</w:t>
            </w:r>
          </w:p>
        </w:tc>
        <w:tc>
          <w:tcPr>
            <w:tcW w:w="220" w:type="dxa"/>
            <w:vAlign w:val="bottom"/>
          </w:tcPr>
          <w:p>
            <w:pPr>
              <w:spacing w:after="0"/>
              <w:rPr>
                <w:sz w:val="18"/>
                <w:szCs w:val="18"/>
                <w:color w:val="auto"/>
              </w:rPr>
            </w:pPr>
          </w:p>
        </w:tc>
        <w:tc>
          <w:tcPr>
            <w:tcW w:w="1860" w:type="dxa"/>
            <w:vAlign w:val="bottom"/>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Trade Dates</w:t>
            </w:r>
          </w:p>
        </w:tc>
        <w:tc>
          <w:tcPr>
            <w:tcW w:w="220" w:type="dxa"/>
            <w:vAlign w:val="bottom"/>
          </w:tcPr>
          <w:p>
            <w:pPr>
              <w:spacing w:after="0"/>
              <w:rPr>
                <w:sz w:val="18"/>
                <w:szCs w:val="18"/>
                <w:color w:val="auto"/>
              </w:rPr>
            </w:pPr>
          </w:p>
        </w:tc>
        <w:tc>
          <w:tcPr>
            <w:tcW w:w="17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Effective Dates</w:t>
            </w:r>
          </w:p>
        </w:tc>
        <w:tc>
          <w:tcPr>
            <w:tcW w:w="220" w:type="dxa"/>
            <w:vAlign w:val="bottom"/>
          </w:tcPr>
          <w:p>
            <w:pPr>
              <w:spacing w:after="0"/>
              <w:rPr>
                <w:sz w:val="18"/>
                <w:szCs w:val="18"/>
                <w:color w:val="auto"/>
              </w:rPr>
            </w:pPr>
          </w:p>
        </w:tc>
        <w:tc>
          <w:tcPr>
            <w:tcW w:w="18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Notional Amount</w:t>
            </w:r>
          </w:p>
        </w:tc>
        <w:tc>
          <w:tcPr>
            <w:tcW w:w="240" w:type="dxa"/>
            <w:vAlign w:val="bottom"/>
          </w:tcPr>
          <w:p>
            <w:pPr>
              <w:spacing w:after="0"/>
              <w:rPr>
                <w:sz w:val="18"/>
                <w:szCs w:val="18"/>
                <w:color w:val="auto"/>
              </w:rPr>
            </w:pPr>
          </w:p>
        </w:tc>
        <w:tc>
          <w:tcPr>
            <w:tcW w:w="188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Expiration Dates</w:t>
            </w:r>
          </w:p>
        </w:tc>
        <w:tc>
          <w:tcPr>
            <w:tcW w:w="0" w:type="dxa"/>
            <w:vAlign w:val="bottom"/>
          </w:tcPr>
          <w:p>
            <w:pPr>
              <w:spacing w:after="0"/>
              <w:rPr>
                <w:sz w:val="1"/>
                <w:szCs w:val="1"/>
                <w:color w:val="auto"/>
              </w:rPr>
            </w:pPr>
          </w:p>
        </w:tc>
      </w:tr>
      <w:tr>
        <w:trPr>
          <w:trHeight w:val="130"/>
        </w:trPr>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Denomination</w:t>
            </w:r>
          </w:p>
        </w:tc>
        <w:tc>
          <w:tcPr>
            <w:tcW w:w="22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7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860" w:type="dxa"/>
            <w:vAlign w:val="bottom"/>
            <w:tcBorders>
              <w:bottom w:val="single" w:sz="8" w:color="auto"/>
            </w:tcBorders>
            <w:vMerge w:val="continue"/>
          </w:tcPr>
          <w:p>
            <w:pPr>
              <w:spacing w:after="0"/>
              <w:rPr>
                <w:sz w:val="9"/>
                <w:szCs w:val="9"/>
                <w:color w:val="auto"/>
              </w:rPr>
            </w:pPr>
          </w:p>
        </w:tc>
        <w:tc>
          <w:tcPr>
            <w:tcW w:w="220" w:type="dxa"/>
            <w:vAlign w:val="bottom"/>
          </w:tcPr>
          <w:p>
            <w:pPr>
              <w:spacing w:after="0"/>
              <w:rPr>
                <w:sz w:val="9"/>
                <w:szCs w:val="9"/>
                <w:color w:val="auto"/>
              </w:rPr>
            </w:pPr>
          </w:p>
        </w:tc>
        <w:tc>
          <w:tcPr>
            <w:tcW w:w="18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USD</w:t>
            </w:r>
          </w:p>
        </w:tc>
        <w:tc>
          <w:tcPr>
            <w:tcW w:w="208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8"/>
              </w:rPr>
              <w:t>11/4/24</w:t>
            </w:r>
          </w:p>
        </w:tc>
        <w:tc>
          <w:tcPr>
            <w:tcW w:w="196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8"/>
              </w:rPr>
              <w:t>11/4/24</w:t>
            </w:r>
          </w:p>
        </w:tc>
        <w:tc>
          <w:tcPr>
            <w:tcW w:w="208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$6,000</w:t>
            </w:r>
          </w:p>
        </w:tc>
        <w:tc>
          <w:tcPr>
            <w:tcW w:w="212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10/1/25 - 11/3/25</w:t>
            </w:r>
          </w:p>
        </w:tc>
        <w:tc>
          <w:tcPr>
            <w:tcW w:w="0" w:type="dxa"/>
            <w:vAlign w:val="bottom"/>
          </w:tcPr>
          <w:p>
            <w:pPr>
              <w:spacing w:after="0"/>
              <w:rPr>
                <w:sz w:val="1"/>
                <w:szCs w:val="1"/>
                <w:color w:val="auto"/>
              </w:rPr>
            </w:pPr>
          </w:p>
        </w:tc>
      </w:tr>
      <w:tr>
        <w:trPr>
          <w:trHeight w:val="216"/>
        </w:trPr>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AUD</w:t>
            </w:r>
          </w:p>
        </w:tc>
        <w:tc>
          <w:tcPr>
            <w:tcW w:w="20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11/14/24 - 12/18/24</w:t>
            </w:r>
          </w:p>
        </w:tc>
        <w:tc>
          <w:tcPr>
            <w:tcW w:w="19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11/14/24 - 12/18/24</w:t>
            </w:r>
          </w:p>
        </w:tc>
        <w:tc>
          <w:tcPr>
            <w:tcW w:w="20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$13,250</w:t>
            </w:r>
          </w:p>
        </w:tc>
        <w:tc>
          <w:tcPr>
            <w:tcW w:w="21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1/15/25 - 2/5/25</w:t>
            </w: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c>
          <w:tcPr>
            <w:tcW w:w="208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6"/>
              </w:rPr>
              <w:t>11/14/24</w:t>
            </w:r>
          </w:p>
        </w:tc>
        <w:tc>
          <w:tcPr>
            <w:tcW w:w="196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6"/>
              </w:rPr>
              <w:t>11/14/24</w:t>
            </w:r>
          </w:p>
        </w:tc>
        <w:tc>
          <w:tcPr>
            <w:tcW w:w="208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$1,750</w:t>
            </w:r>
          </w:p>
        </w:tc>
        <w:tc>
          <w:tcPr>
            <w:tcW w:w="212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1/15/25</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purchaser of commodities and components manufactured from commodities including steel, aluminum, copper and others. As a result, we are exposed to fluctuating market prices for those commodities. While such materials are typically available from numerous suppliers, commodity raw materials are subject to price fluctuations. We generally buy these commodities and components based on market prices that are established with the supplier as part of the purchase process. Depending on the supplier, these market prices may reset on a periodic basis based on negotiated lags and calculations. To the extent that commodity prices increase and we do not have firm pricing from our suppliers, or our suppliers are not able to honor such prices, we may experience a decline in our gross margins to the extent we are not able to increase selling prices of our products or obtain manufacturing efficiencies or supply chain savings to offset increases in commodity costs.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Periodically, we engage in certain commodity risk management activities to mitigate the impact of potential price fluctuations on our financial results. These derivatives typically have maturities of less than eighteen months. As of December 31, 2024, we had the following commodity forward contracts outstanding (notional amounts in thousands of U.S. dollars):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Hedged Item</w:t>
            </w:r>
          </w:p>
        </w:tc>
        <w:tc>
          <w:tcPr>
            <w:tcW w:w="220" w:type="dxa"/>
            <w:vAlign w:val="bottom"/>
          </w:tcPr>
          <w:p>
            <w:pPr>
              <w:spacing w:after="0"/>
              <w:rPr>
                <w:sz w:val="20"/>
                <w:szCs w:val="20"/>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 Date</w:t>
            </w:r>
          </w:p>
        </w:tc>
        <w:tc>
          <w:tcPr>
            <w:tcW w:w="220" w:type="dxa"/>
            <w:vAlign w:val="bottom"/>
          </w:tcPr>
          <w:p>
            <w:pPr>
              <w:spacing w:after="0"/>
              <w:rPr>
                <w:sz w:val="20"/>
                <w:szCs w:val="20"/>
                <w:color w:val="auto"/>
              </w:rPr>
            </w:pPr>
          </w:p>
        </w:tc>
        <w:tc>
          <w:tcPr>
            <w:tcW w:w="17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Effective Date</w:t>
            </w:r>
          </w:p>
        </w:tc>
        <w:tc>
          <w:tcPr>
            <w:tcW w:w="220" w:type="dxa"/>
            <w:vAlign w:val="bottom"/>
          </w:tcPr>
          <w:p>
            <w:pPr>
              <w:spacing w:after="0"/>
              <w:rPr>
                <w:sz w:val="20"/>
                <w:szCs w:val="20"/>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Notional Amount</w:t>
            </w:r>
          </w:p>
        </w:tc>
        <w:tc>
          <w:tcPr>
            <w:tcW w:w="240" w:type="dxa"/>
            <w:vAlign w:val="bottom"/>
          </w:tcPr>
          <w:p>
            <w:pPr>
              <w:spacing w:after="0"/>
              <w:rPr>
                <w:sz w:val="20"/>
                <w:szCs w:val="20"/>
                <w:color w:val="auto"/>
              </w:rPr>
            </w:pPr>
          </w:p>
        </w:tc>
        <w:tc>
          <w:tcPr>
            <w:tcW w:w="18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Expiration Date</w:t>
            </w:r>
          </w:p>
        </w:tc>
      </w:tr>
      <w:tr>
        <w:trPr>
          <w:trHeight w:val="210"/>
        </w:trPr>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High Grade Copper</w:t>
            </w:r>
          </w:p>
        </w:tc>
        <w:tc>
          <w:tcPr>
            <w:tcW w:w="22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July 22, 2024</w:t>
            </w: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August 1, 2024</w:t>
            </w:r>
          </w:p>
        </w:tc>
        <w:tc>
          <w:tcPr>
            <w:tcW w:w="208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$947</w:t>
            </w:r>
          </w:p>
        </w:tc>
        <w:tc>
          <w:tcPr>
            <w:tcW w:w="240" w:type="dxa"/>
            <w:vAlign w:val="bottom"/>
            <w:shd w:val="clear" w:color="auto" w:fill="CCEEFF"/>
          </w:tcPr>
          <w:p>
            <w:pPr>
              <w:spacing w:after="0"/>
              <w:rPr>
                <w:sz w:val="18"/>
                <w:szCs w:val="18"/>
                <w:color w:val="auto"/>
              </w:rPr>
            </w:pPr>
          </w:p>
        </w:tc>
        <w:tc>
          <w:tcPr>
            <w:tcW w:w="1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January 31, 2025</w:t>
            </w:r>
          </w:p>
        </w:tc>
      </w:tr>
      <w:tr>
        <w:trPr>
          <w:trHeight w:val="234"/>
        </w:trPr>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High Grade Copper</w:t>
            </w:r>
          </w:p>
        </w:tc>
        <w:tc>
          <w:tcPr>
            <w:tcW w:w="22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30, 2024</w:t>
            </w:r>
          </w:p>
        </w:tc>
        <w:tc>
          <w:tcPr>
            <w:tcW w:w="220" w:type="dxa"/>
            <w:vAlign w:val="bottom"/>
          </w:tcPr>
          <w:p>
            <w:pPr>
              <w:spacing w:after="0"/>
              <w:rPr>
                <w:sz w:val="20"/>
                <w:szCs w:val="20"/>
                <w:color w:val="auto"/>
              </w:rPr>
            </w:pPr>
          </w:p>
        </w:tc>
        <w:tc>
          <w:tcPr>
            <w:tcW w:w="1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August 1, 2024</w:t>
            </w:r>
          </w:p>
        </w:tc>
        <w:tc>
          <w:tcPr>
            <w:tcW w:w="20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$923</w:t>
            </w:r>
          </w:p>
        </w:tc>
        <w:tc>
          <w:tcPr>
            <w:tcW w:w="240" w:type="dxa"/>
            <w:vAlign w:val="bottom"/>
          </w:tcPr>
          <w:p>
            <w:pPr>
              <w:spacing w:after="0"/>
              <w:rPr>
                <w:sz w:val="20"/>
                <w:szCs w:val="20"/>
                <w:color w:val="auto"/>
              </w:rPr>
            </w:pPr>
          </w:p>
        </w:tc>
        <w:tc>
          <w:tcPr>
            <w:tcW w:w="1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January 31, 2025</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all of the outstanding debt under our Term Loans and Revolving Facility was subject to floating interest rate risk. As of December 31, 2024, we had the following interest rate swap contracts outstanding to help minimize our borrowing costs (notional amount in thousands of U.S. dollars):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Hedged Item</w:t>
            </w:r>
          </w:p>
        </w:tc>
        <w:tc>
          <w:tcPr>
            <w:tcW w:w="200" w:type="dxa"/>
            <w:vAlign w:val="bottom"/>
          </w:tcPr>
          <w:p>
            <w:pPr>
              <w:spacing w:after="0"/>
              <w:rPr>
                <w:sz w:val="20"/>
                <w:szCs w:val="20"/>
                <w:color w:val="auto"/>
              </w:rPr>
            </w:pPr>
          </w:p>
        </w:tc>
        <w:tc>
          <w:tcPr>
            <w:tcW w:w="15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Contract Date</w:t>
            </w:r>
          </w:p>
        </w:tc>
        <w:tc>
          <w:tcPr>
            <w:tcW w:w="18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Effective Date</w:t>
            </w:r>
          </w:p>
        </w:tc>
        <w:tc>
          <w:tcPr>
            <w:tcW w:w="180" w:type="dxa"/>
            <w:vAlign w:val="bottom"/>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Notional Amount</w:t>
            </w:r>
          </w:p>
        </w:tc>
        <w:tc>
          <w:tcPr>
            <w:tcW w:w="200" w:type="dxa"/>
            <w:vAlign w:val="bottom"/>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Fixed SOFR Rate</w:t>
            </w:r>
          </w:p>
        </w:tc>
        <w:tc>
          <w:tcPr>
            <w:tcW w:w="18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r>
      <w:tr>
        <w:trPr>
          <w:trHeight w:val="210"/>
        </w:trPr>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SOFR Interest Rate</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March 4, 2020</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31, 2023</w:t>
            </w:r>
          </w:p>
        </w:tc>
        <w:tc>
          <w:tcPr>
            <w:tcW w:w="172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$200,000</w:t>
            </w:r>
          </w:p>
        </w:tc>
        <w:tc>
          <w:tcPr>
            <w:tcW w:w="174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1.1360%</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14, 2026</w:t>
            </w:r>
          </w:p>
        </w:tc>
      </w:tr>
      <w:tr>
        <w:trPr>
          <w:trHeight w:val="216"/>
        </w:trPr>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SOFR Interest Rate</w:t>
            </w:r>
          </w:p>
        </w:tc>
        <w:tc>
          <w:tcPr>
            <w:tcW w:w="200" w:type="dxa"/>
            <w:vAlign w:val="bottom"/>
          </w:tcPr>
          <w:p>
            <w:pPr>
              <w:spacing w:after="0"/>
              <w:rPr>
                <w:sz w:val="18"/>
                <w:szCs w:val="18"/>
                <w:color w:val="auto"/>
              </w:rPr>
            </w:pPr>
          </w:p>
        </w:tc>
        <w:tc>
          <w:tcPr>
            <w:tcW w:w="1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March 5, 2020</w:t>
            </w:r>
          </w:p>
        </w:tc>
        <w:tc>
          <w:tcPr>
            <w:tcW w:w="1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31, 2023</w:t>
            </w:r>
          </w:p>
        </w:tc>
        <w:tc>
          <w:tcPr>
            <w:tcW w:w="17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$100,000</w:t>
            </w:r>
          </w:p>
        </w:tc>
        <w:tc>
          <w:tcPr>
            <w:tcW w:w="17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1.0700%</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14, 2026</w:t>
            </w:r>
          </w:p>
        </w:tc>
      </w:tr>
      <w:tr>
        <w:trPr>
          <w:trHeight w:val="216"/>
        </w:trPr>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SOFR Interest Rate</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March 6, 2020</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31, 2023</w:t>
            </w:r>
          </w:p>
        </w:tc>
        <w:tc>
          <w:tcPr>
            <w:tcW w:w="172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$200,000</w:t>
            </w:r>
          </w:p>
        </w:tc>
        <w:tc>
          <w:tcPr>
            <w:tcW w:w="174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0.9560%</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14, 2026</w:t>
            </w: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June 2022, in conjunction with the amendments to the Company's credit agreements discussed further in Note 12, “Credit Agreements,” to our consolidated financial statements in Item 8 of this Annual Report on Form 10-K, the Company amended its interest rate swaps to match that of the underlying debt and reconfirmed hedge effectiveness. The Company formally documented all relationships between interest rate hedging instruments and the related hedged items, as well as its risk-management objectives and strategies for undertaking various hedge transactions. These interest rate swap agreements qualify as cash flow hedges and therefore, the effective portions of their gains or losses are reported as a component of accumulated other comprehensive loss (AOCL) in the consolidated balance sheets. As of December 31, 2024, the fair value of these interest rate swaps was an asset of $29.3 million, excluding the impact of credit risk. Even after giving effect to these swaps, we are exposed to risks due to changes in interest rates with respect to the portions of our Term Loans and Revolving Facility that are not covered by the swaps. A hypothetical change in the SOFR interest rate of 100 basis points would have changed annual interest expense by approximately $8.5 million (or, without the swaps in place, approximately $13.5 million) in 2024.</w:t>
      </w:r>
    </w:p>
    <w:p>
      <w:pPr>
        <w:spacing w:after="0" w:line="200" w:lineRule="exact"/>
        <w:rPr>
          <w:sz w:val="20"/>
          <w:szCs w:val="20"/>
          <w:color w:val="auto"/>
        </w:rPr>
      </w:pP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additional information on the Company’s foreign currency and commodity forward contracts and interest rate swaps, including amounts charged to the statements of comprehensive income during 2024, 2023, and 2022, refer to Note 5, “Derivative Instruments and Hedging Activities,” and Note 6, “Accumulated Other Comprehensive Loss,” to our consolidated financial statements in Item 8 of this Annual Report on Form 10-K.</w:t>
      </w:r>
    </w:p>
    <w:p>
      <w:pPr>
        <w:sectPr>
          <w:pgSz w:w="11900" w:h="16838" w:orient="portrait"/>
          <w:cols w:equalWidth="0" w:num="1">
            <w:col w:w="11240"/>
          </w:cols>
          <w:pgMar w:left="320" w:top="121" w:right="339" w:bottom="1001"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001"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00" w:lineRule="exact"/>
        <w:rPr>
          <w:sz w:val="20"/>
          <w:szCs w:val="20"/>
          <w:color w:val="auto"/>
        </w:rPr>
      </w:pPr>
    </w:p>
    <w:p>
      <w:pPr>
        <w:spacing w:after="0" w:line="26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Generac Holdings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Generac Holdings Inc. and subsidiaries (the "Company") as of December 31, 2024 and 2023, the related consolidated statements of comprehensive income, stockholders' equity,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19, 2025, expressed an unqualified opinion on the Company's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Refer to Note 2 to the Consolidated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a wide range of products and services that are offered in various markets throughout the world. The Company’s business activities are carried out by numerous individual business units, which offer a unique set of products and services within specific geographic areas.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identified revenue as a critical audit matter given the disaggregated nature of the Company’s operations and business units generating revenue. This required extensive audit effort due to the volume of the underlying transactions and distinctiveness of each individual business unit. High levels of auditor judgment were necessary to determine the nature, timing, and extent of audit procedures.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Company’s revenue transactions included the following, among others:</w:t>
      </w:r>
    </w:p>
    <w:p>
      <w:pPr>
        <w:spacing w:after="0" w:line="225" w:lineRule="exact"/>
        <w:rPr>
          <w:sz w:val="20"/>
          <w:szCs w:val="20"/>
          <w:color w:val="auto"/>
        </w:rPr>
      </w:pPr>
    </w:p>
    <w:p>
      <w:pPr>
        <w:ind w:left="660" w:right="20" w:hanging="328"/>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design and effectiveness of the controls within the relevant revenue business processes, including controls over revenue recognition and operating results.</w:t>
      </w:r>
    </w:p>
    <w:p>
      <w:pPr>
        <w:ind w:left="660" w:hanging="328"/>
        <w:spacing w:after="0" w:line="25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sample of revenue transactions, we performed detail transaction testing by agreeing the amounts recorded to source documents and determined that revenue was recognized appropriately.</w:t>
      </w:r>
    </w:p>
    <w:p>
      <w:pPr>
        <w:ind w:left="660" w:hanging="328"/>
        <w:spacing w:after="0" w:line="25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revenue populations subject to detail transaction testing, we tested the completeness of revenue by making selections from reciprocal populations and determined whether the transaction was recorded as a sale in the general ledger.</w:t>
      </w:r>
    </w:p>
    <w:p>
      <w:pPr>
        <w:ind w:left="660" w:hanging="328"/>
        <w:spacing w:after="0" w:line="26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revenue transactions not subject to detail transaction testing we evaluated recorded activity based on analytical procedures using regression analyses to develop an expectation of the revenue balance at the product class level.</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19,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Generac Holdings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Generac Holdings Inc. and subsidiaries (the “Company”) as of December 31, 2024, based on criteria established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Integrated Framework (2013)</w:t>
      </w:r>
      <w:r>
        <w:rPr>
          <w:rFonts w:ascii="Times New Roman" w:cs="Times New Roman" w:eastAsia="Times New Roman" w:hAnsi="Times New Roman"/>
          <w:sz w:val="18"/>
          <w:szCs w:val="18"/>
          <w:color w:val="auto"/>
        </w:rPr>
        <w:t xml:space="preserve"> issued by COSO.</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2024, of the Company and our report dated February 19, 2025, expressed an unqualified opinion on those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19, 2025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Generac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Consolidated Balance Sheets</w:t>
      </w:r>
    </w:p>
    <w:p>
      <w:pPr>
        <w:jc w:val="center"/>
        <w:spacing w:after="0"/>
        <w:rPr>
          <w:sz w:val="20"/>
          <w:szCs w:val="20"/>
          <w:color w:val="auto"/>
        </w:rPr>
      </w:pPr>
      <w:r>
        <w:rPr>
          <w:rFonts w:ascii="Times New Roman" w:cs="Times New Roman" w:eastAsia="Times New Roman" w:hAnsi="Times New Roman"/>
          <w:sz w:val="18"/>
          <w:szCs w:val="18"/>
          <w:i w:val="1"/>
          <w:iCs w:val="1"/>
          <w:color w:val="auto"/>
        </w:rPr>
        <w:t>(U.S. Dollars in Thousands,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37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281,277</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200,994</w:t>
            </w:r>
          </w:p>
        </w:tc>
      </w:tr>
      <w:tr>
        <w:trPr>
          <w:trHeight w:val="198"/>
        </w:trPr>
        <w:tc>
          <w:tcPr>
            <w:tcW w:w="8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Accounts receivable, less allowance for credit losses of $35,465 and $33,925 as of December 31, 2024 and</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2023, respectively</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612,107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537,316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1,031,647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1,167,484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91,898</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2,032,170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1,997,692</w:t>
            </w: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598,577</w:t>
            </w: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lists, net</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152,737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184,513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Patents and technology, net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379,095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417,441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27,127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Tradenames, net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206,664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216,995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1,436,261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1,432,384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15,532</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and other assets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168,223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203,051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5,109,331</w:t>
            </w:r>
          </w:p>
        </w:tc>
        <w:tc>
          <w:tcPr>
            <w:tcW w:w="120" w:type="dxa"/>
            <w:vAlign w:val="bottom"/>
          </w:tcPr>
          <w:p>
            <w:pPr>
              <w:spacing w:after="0"/>
              <w:rPr>
                <w:sz w:val="18"/>
                <w:szCs w:val="18"/>
                <w:color w:val="auto"/>
              </w:rPr>
            </w:pP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5,093,312</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ind w:left="26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55,848</w:t>
            </w:r>
          </w:p>
        </w:tc>
        <w:tc>
          <w:tcPr>
            <w:tcW w:w="120" w:type="dxa"/>
            <w:vAlign w:val="bottom"/>
          </w:tcPr>
          <w:p>
            <w:pPr>
              <w:spacing w:after="0"/>
              <w:rPr>
                <w:sz w:val="18"/>
                <w:szCs w:val="18"/>
                <w:color w:val="auto"/>
              </w:rPr>
            </w:pP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81,769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458,693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340,719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Accrued wages and employee benefits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54,970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product warranty</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56,127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65,298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313,401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292,120</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borrowings and finance lease obligations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1,033,152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880,771</w:t>
            </w:r>
          </w:p>
        </w:tc>
      </w:tr>
      <w:tr>
        <w:trPr>
          <w:trHeight w:val="216"/>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Long-term borrowings and finance lease obligations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1,210,776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1,447,553</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90,012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167,008</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and other long-term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141,515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158,349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2,611,888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2,743,693</w:t>
            </w:r>
          </w:p>
        </w:tc>
      </w:tr>
      <w:tr>
        <w:trPr>
          <w:trHeight w:val="216"/>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6,549</w:t>
            </w:r>
          </w:p>
        </w:tc>
      </w:tr>
      <w:tr>
        <w:trPr>
          <w:trHeight w:val="216"/>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par value $0.01, 500,000,000 shares authorized, 73,785,631 and 73,195,055 shares issued as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December 31, 2024 and 2023, respectively</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1,133,756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1,070,386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at cost, 14,173,697 and 13,057,298 shares as of December 31, 2024 and 2023, respectively</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(1,196,997)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(1,032,921)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Excess purchase price over predecessor basis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(202,116)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(202,116)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2,844,296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2,519,313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(85,399)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(15,143)</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 attributable to Generac Holdings Inc.</w:t>
            </w: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2,494,278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2,340,252</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100" w:type="dxa"/>
            <w:vAlign w:val="bottom"/>
          </w:tcPr>
          <w:p>
            <w:pPr>
              <w:spacing w:after="0"/>
              <w:rPr>
                <w:sz w:val="18"/>
                <w:szCs w:val="18"/>
                <w:color w:val="auto"/>
              </w:rPr>
            </w:pPr>
          </w:p>
        </w:tc>
      </w:tr>
      <w:tr>
        <w:trPr>
          <w:trHeight w:val="20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2,497,443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2,343,070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5,109,331</w:t>
            </w:r>
          </w:p>
        </w:tc>
        <w:tc>
          <w:tcPr>
            <w:tcW w:w="120" w:type="dxa"/>
            <w:vAlign w:val="bottom"/>
          </w:tcPr>
          <w:p>
            <w:pPr>
              <w:spacing w:after="0"/>
              <w:rPr>
                <w:sz w:val="18"/>
                <w:szCs w:val="18"/>
                <w:color w:val="auto"/>
              </w:rPr>
            </w:pP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5,093,312</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Generac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Consolidated Statements of Comprehensive Income</w:t>
      </w:r>
    </w:p>
    <w:p>
      <w:pPr>
        <w:jc w:val="center"/>
        <w:spacing w:after="0"/>
        <w:rPr>
          <w:sz w:val="20"/>
          <w:szCs w:val="20"/>
          <w:color w:val="auto"/>
        </w:rPr>
      </w:pPr>
      <w:r>
        <w:rPr>
          <w:rFonts w:ascii="Times New Roman" w:cs="Times New Roman" w:eastAsia="Times New Roman" w:hAnsi="Times New Roman"/>
          <w:sz w:val="18"/>
          <w:szCs w:val="18"/>
          <w:i w:val="1"/>
          <w:iCs w:val="1"/>
          <w:color w:val="auto"/>
        </w:rPr>
        <w:t>(U.S. Dollars in Thousands,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7"/>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6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4,295,834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4,022,667</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4,564,737</w:t>
            </w: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Costs of goods sold</w:t>
            </w:r>
          </w:p>
        </w:tc>
        <w:tc>
          <w:tcPr>
            <w:tcW w:w="3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2,630,208</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2,657,236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3,042,733</w:t>
            </w:r>
          </w:p>
        </w:tc>
        <w:tc>
          <w:tcPr>
            <w:tcW w:w="100" w:type="dxa"/>
            <w:vAlign w:val="bottom"/>
          </w:tcPr>
          <w:p>
            <w:pPr>
              <w:spacing w:after="0"/>
              <w:rPr>
                <w:sz w:val="18"/>
                <w:szCs w:val="18"/>
                <w:color w:val="auto"/>
              </w:rPr>
            </w:pPr>
          </w:p>
        </w:tc>
      </w:tr>
      <w:tr>
        <w:trPr>
          <w:trHeight w:val="209"/>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1,665,626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1,365,431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1,522,004</w:t>
            </w:r>
          </w:p>
        </w:tc>
      </w:tr>
      <w:tr>
        <w:trPr>
          <w:trHeight w:val="216"/>
        </w:trPr>
        <w:tc>
          <w:tcPr>
            <w:tcW w:w="6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Selling and service</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526,446</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448,199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496,260</w:t>
            </w: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219,600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173,443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159,774</w:t>
            </w: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285,095</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253,396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196,320</w:t>
            </w:r>
          </w:p>
        </w:tc>
      </w:tr>
      <w:tr>
        <w:trPr>
          <w:trHeight w:val="216"/>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97,743</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104,194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103,320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1,128,884</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979,232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955,674</w:t>
            </w:r>
          </w:p>
        </w:tc>
        <w:tc>
          <w:tcPr>
            <w:tcW w:w="100" w:type="dxa"/>
            <w:vAlign w:val="bottom"/>
          </w:tcPr>
          <w:p>
            <w:pPr>
              <w:spacing w:after="0"/>
              <w:rPr>
                <w:sz w:val="18"/>
                <w:szCs w:val="18"/>
                <w:color w:val="auto"/>
              </w:rPr>
            </w:pPr>
          </w:p>
        </w:tc>
      </w:tr>
      <w:tr>
        <w:trPr>
          <w:trHeight w:val="209"/>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536,742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386,199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566,330</w:t>
            </w:r>
          </w:p>
        </w:tc>
      </w:tr>
      <w:tr>
        <w:trPr>
          <w:trHeight w:val="216"/>
        </w:trPr>
        <w:tc>
          <w:tcPr>
            <w:tcW w:w="6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(89,713)</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(97,627)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(54,826)</w:t>
            </w: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7,605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4,272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1,129</w:t>
            </w: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investment</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(38,006)</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(4,861)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(3,743)</w:t>
            </w: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(2,329)</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(2,544)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(424)</w:t>
            </w:r>
          </w:p>
        </w:tc>
      </w:tr>
      <w:tr>
        <w:trPr>
          <w:trHeight w:val="20"/>
        </w:trPr>
        <w:tc>
          <w:tcPr>
            <w:tcW w:w="6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(127,304)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(95,899)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(57,864)</w:t>
            </w:r>
          </w:p>
        </w:tc>
      </w:tr>
      <w:tr>
        <w:trPr>
          <w:trHeight w:val="209"/>
        </w:trPr>
        <w:tc>
          <w:tcPr>
            <w:tcW w:w="60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409,438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290,300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508,466</w:t>
            </w: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92,460</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99,596</w:t>
            </w:r>
          </w:p>
        </w:tc>
        <w:tc>
          <w:tcPr>
            <w:tcW w:w="100" w:type="dxa"/>
            <w:vAlign w:val="bottom"/>
          </w:tcPr>
          <w:p>
            <w:pPr>
              <w:spacing w:after="0"/>
              <w:rPr>
                <w:sz w:val="18"/>
                <w:szCs w:val="18"/>
                <w:color w:val="auto"/>
              </w:rPr>
            </w:pPr>
          </w:p>
        </w:tc>
      </w:tr>
      <w:tr>
        <w:trPr>
          <w:trHeight w:val="209"/>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316,978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217,120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408,870</w:t>
            </w: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9,368</w:t>
            </w:r>
          </w:p>
        </w:tc>
        <w:tc>
          <w:tcPr>
            <w:tcW w:w="100" w:type="dxa"/>
            <w:vAlign w:val="bottom"/>
          </w:tcPr>
          <w:p>
            <w:pPr>
              <w:spacing w:after="0"/>
              <w:rPr>
                <w:sz w:val="18"/>
                <w:szCs w:val="18"/>
                <w:color w:val="auto"/>
              </w:rPr>
            </w:pPr>
          </w:p>
        </w:tc>
      </w:tr>
      <w:tr>
        <w:trPr>
          <w:trHeight w:val="249"/>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Generac Holdings Inc.</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316,315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214,606</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399,502</w:t>
            </w:r>
          </w:p>
        </w:tc>
      </w:tr>
      <w:tr>
        <w:trPr>
          <w:trHeight w:val="197"/>
        </w:trPr>
        <w:tc>
          <w:tcPr>
            <w:tcW w:w="600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(62,842)</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57,963</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(48,841)</w:t>
            </w: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(loss) gain on derivatives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(7,672)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(8,004)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38,494</w:t>
            </w:r>
          </w:p>
        </w:tc>
      </w:tr>
      <w:tr>
        <w:trPr>
          <w:trHeight w:val="20"/>
        </w:trPr>
        <w:tc>
          <w:tcPr>
            <w:tcW w:w="60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(70,514)</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49,959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(10,347)</w:t>
            </w:r>
          </w:p>
        </w:tc>
      </w:tr>
      <w:tr>
        <w:trPr>
          <w:trHeight w:val="210"/>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3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246,464</w:t>
            </w: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267,079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398,523</w:t>
            </w:r>
          </w:p>
        </w:tc>
        <w:tc>
          <w:tcPr>
            <w:tcW w:w="10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3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11,179</w:t>
            </w:r>
          </w:p>
        </w:tc>
        <w:tc>
          <w:tcPr>
            <w:tcW w:w="100" w:type="dxa"/>
            <w:vAlign w:val="bottom"/>
          </w:tcPr>
          <w:p>
            <w:pPr>
              <w:spacing w:after="0"/>
              <w:rPr>
                <w:sz w:val="18"/>
                <w:szCs w:val="18"/>
                <w:color w:val="auto"/>
              </w:rPr>
            </w:pPr>
          </w:p>
        </w:tc>
      </w:tr>
      <w:tr>
        <w:trPr>
          <w:trHeight w:val="250"/>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attributable to Generac Holdings Inc.</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246,059</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264,498</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387,344</w:t>
            </w:r>
          </w:p>
        </w:tc>
      </w:tr>
      <w:tr>
        <w:trPr>
          <w:trHeight w:val="196"/>
        </w:trPr>
        <w:tc>
          <w:tcPr>
            <w:tcW w:w="600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Generac Holdings Inc. per common share - basic:</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3.31</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5.55</w:t>
            </w: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59,559,797</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61,265,060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63,117,007</w:t>
            </w:r>
          </w:p>
        </w:tc>
      </w:tr>
      <w:tr>
        <w:trPr>
          <w:trHeight w:val="216"/>
        </w:trPr>
        <w:tc>
          <w:tcPr>
            <w:tcW w:w="6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Generac Holdings Inc. per common share - diluted:</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5.39</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3.27</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5.42</w:t>
            </w: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60,350,412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62,058,387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64,681,357</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Generac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Consolidated Statements of Stockholders' Equity</w:t>
      </w:r>
    </w:p>
    <w:p>
      <w:pPr>
        <w:jc w:val="center"/>
        <w:spacing w:after="0"/>
        <w:rPr>
          <w:sz w:val="20"/>
          <w:szCs w:val="20"/>
          <w:color w:val="auto"/>
        </w:rPr>
      </w:pPr>
      <w:r>
        <w:rPr>
          <w:rFonts w:ascii="Times New Roman" w:cs="Times New Roman" w:eastAsia="Times New Roman" w:hAnsi="Times New Roman"/>
          <w:sz w:val="18"/>
          <w:szCs w:val="18"/>
          <w:i w:val="1"/>
          <w:iCs w:val="1"/>
          <w:color w:val="auto"/>
        </w:rPr>
        <w:t>(U.S. Dollars in Thousands, Except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Generac Holdings Inc.</w:t>
            </w: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6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Excess</w:t>
            </w: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800" w:type="dxa"/>
            <w:vAlign w:val="bottom"/>
          </w:tcPr>
          <w:p>
            <w:pPr>
              <w:spacing w:after="0"/>
              <w:rPr>
                <w:sz w:val="12"/>
                <w:szCs w:val="12"/>
                <w:color w:val="auto"/>
              </w:rPr>
            </w:pP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8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1420" w:type="dxa"/>
            <w:vAlign w:val="bottom"/>
            <w:gridSpan w:val="4"/>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80" w:type="dxa"/>
            <w:vAlign w:val="bottom"/>
            <w:gridSpan w:val="2"/>
            <w:vMerge w:val="continue"/>
          </w:tcPr>
          <w:p>
            <w:pPr>
              <w:spacing w:after="0"/>
              <w:rPr>
                <w:sz w:val="14"/>
                <w:szCs w:val="14"/>
                <w:color w:val="auto"/>
              </w:rPr>
            </w:pPr>
          </w:p>
        </w:tc>
        <w:tc>
          <w:tcPr>
            <w:tcW w:w="1720" w:type="dxa"/>
            <w:vAlign w:val="bottom"/>
            <w:gridSpan w:val="4"/>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4"/>
                <w:szCs w:val="14"/>
                <w:color w:val="auto"/>
              </w:rPr>
            </w:pPr>
          </w:p>
        </w:tc>
        <w:tc>
          <w:tcPr>
            <w:tcW w:w="7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Over</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620" w:type="dxa"/>
            <w:vAlign w:val="bottom"/>
          </w:tcPr>
          <w:p>
            <w:pPr>
              <w:spacing w:after="0"/>
              <w:rPr>
                <w:sz w:val="13"/>
                <w:szCs w:val="13"/>
                <w:color w:val="auto"/>
              </w:rPr>
            </w:pPr>
          </w:p>
        </w:tc>
        <w:tc>
          <w:tcPr>
            <w:tcW w:w="1420" w:type="dxa"/>
            <w:vAlign w:val="bottom"/>
            <w:gridSpan w:val="4"/>
            <w:vMerge w:val="continue"/>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168"/>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720" w:type="dxa"/>
            <w:vAlign w:val="bottom"/>
            <w:gridSpan w:val="4"/>
            <w:vMerge w:val="continue"/>
          </w:tcPr>
          <w:p>
            <w:pPr>
              <w:spacing w:after="0"/>
              <w:rPr>
                <w:sz w:val="13"/>
                <w:szCs w:val="13"/>
                <w:color w:val="auto"/>
              </w:rPr>
            </w:pPr>
          </w:p>
        </w:tc>
        <w:tc>
          <w:tcPr>
            <w:tcW w:w="88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Predecessor</w:t>
            </w:r>
          </w:p>
        </w:tc>
        <w:tc>
          <w:tcPr>
            <w:tcW w:w="800" w:type="dxa"/>
            <w:vAlign w:val="bottom"/>
          </w:tcPr>
          <w:p>
            <w:pPr>
              <w:jc w:val="right"/>
              <w:ind w:right="88"/>
              <w:spacing w:after="0" w:line="160"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8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3"/>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100" w:type="dxa"/>
            <w:vAlign w:val="bottom"/>
            <w:gridSpan w:val="2"/>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620" w:type="dxa"/>
            <w:vAlign w:val="bottom"/>
          </w:tcPr>
          <w:p>
            <w:pPr>
              <w:spacing w:after="0"/>
              <w:rPr>
                <w:sz w:val="12"/>
                <w:szCs w:val="12"/>
                <w:color w:val="auto"/>
              </w:rPr>
            </w:pPr>
          </w:p>
        </w:tc>
        <w:tc>
          <w:tcPr>
            <w:tcW w:w="800" w:type="dxa"/>
            <w:vAlign w:val="bottom"/>
            <w:tcBorders>
              <w:top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6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40" w:type="dxa"/>
            <w:vAlign w:val="bottom"/>
            <w:tcBorders>
              <w:top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Basis</w:t>
            </w:r>
          </w:p>
        </w:tc>
        <w:tc>
          <w:tcPr>
            <w:tcW w:w="80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8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80" w:type="dxa"/>
            <w:vAlign w:val="bottom"/>
          </w:tcPr>
          <w:p>
            <w:pPr>
              <w:spacing w:after="0"/>
              <w:rPr>
                <w:sz w:val="12"/>
                <w:szCs w:val="12"/>
                <w:color w:val="auto"/>
              </w:rPr>
            </w:pPr>
          </w:p>
        </w:tc>
        <w:tc>
          <w:tcPr>
            <w:tcW w:w="76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220" w:type="dxa"/>
            <w:vAlign w:val="bottom"/>
          </w:tcPr>
          <w:p>
            <w:pPr>
              <w:spacing w:after="0"/>
              <w:rPr>
                <w:sz w:val="12"/>
                <w:szCs w:val="12"/>
                <w:color w:val="auto"/>
              </w:rPr>
            </w:pPr>
          </w:p>
        </w:tc>
        <w:tc>
          <w:tcPr>
            <w:tcW w:w="880" w:type="dxa"/>
            <w:vAlign w:val="bottom"/>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80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162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Balance as of December</w:t>
            </w:r>
          </w:p>
        </w:tc>
        <w:tc>
          <w:tcPr>
            <w:tcW w:w="80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72,386,017</w:t>
            </w:r>
          </w:p>
        </w:tc>
        <w:tc>
          <w:tcPr>
            <w:tcW w:w="240" w:type="dxa"/>
            <w:vAlign w:val="bottom"/>
            <w:tcBorders>
              <w:top w:val="single" w:sz="8" w:color="auto"/>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725</w:t>
            </w:r>
          </w:p>
        </w:tc>
        <w:tc>
          <w:tcPr>
            <w:tcW w:w="160" w:type="dxa"/>
            <w:vAlign w:val="bottom"/>
            <w:tcBorders>
              <w:top w:val="single" w:sz="8" w:color="auto"/>
            </w:tcBorders>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952,939</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(8,667,031)</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(448,976)</w:t>
            </w:r>
          </w:p>
        </w:tc>
        <w:tc>
          <w:tcPr>
            <w:tcW w:w="120" w:type="dxa"/>
            <w:vAlign w:val="bottom"/>
            <w:tcBorders>
              <w:top w:val="single" w:sz="8" w:color="auto"/>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(202,116)</w:t>
            </w:r>
          </w:p>
        </w:tc>
        <w:tc>
          <w:tcPr>
            <w:tcW w:w="80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$ 1,965,957</w:t>
            </w:r>
          </w:p>
        </w:tc>
        <w:tc>
          <w:tcPr>
            <w:tcW w:w="220" w:type="dxa"/>
            <w:vAlign w:val="bottom"/>
            <w:tcBorders>
              <w:top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(54,755)</w:t>
            </w:r>
          </w:p>
        </w:tc>
        <w:tc>
          <w:tcPr>
            <w:tcW w:w="180" w:type="dxa"/>
            <w:vAlign w:val="bottom"/>
            <w:tcBorders>
              <w:top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2,213,774</w:t>
            </w:r>
          </w:p>
        </w:tc>
        <w:tc>
          <w:tcPr>
            <w:tcW w:w="220" w:type="dxa"/>
            <w:vAlign w:val="bottom"/>
            <w:tcBorders>
              <w:top w:val="single" w:sz="8" w:color="auto"/>
            </w:tcBorders>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313</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$ 2,214,087</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31, 2021</w:t>
            </w:r>
          </w:p>
        </w:tc>
        <w:tc>
          <w:tcPr>
            <w:tcW w:w="800" w:type="dxa"/>
            <w:vAlign w:val="bottom"/>
            <w:vMerge w:val="continue"/>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380" w:type="dxa"/>
            <w:vAlign w:val="bottom"/>
            <w:gridSpan w:val="2"/>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62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Unrealized gain on</w:t>
            </w: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interest rate swaps, net</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38,494</w:t>
            </w:r>
          </w:p>
        </w:tc>
        <w:tc>
          <w:tcPr>
            <w:tcW w:w="180" w:type="dxa"/>
            <w:vAlign w:val="bottom"/>
          </w:tcPr>
          <w:p>
            <w:pPr>
              <w:spacing w:after="0"/>
              <w:rPr>
                <w:sz w:val="12"/>
                <w:szCs w:val="12"/>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38,494</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38,494</w:t>
            </w:r>
          </w:p>
        </w:tc>
        <w:tc>
          <w:tcPr>
            <w:tcW w:w="0" w:type="dxa"/>
            <w:vAlign w:val="bottom"/>
          </w:tcPr>
          <w:p>
            <w:pPr>
              <w:spacing w:after="0"/>
              <w:rPr>
                <w:sz w:val="1"/>
                <w:szCs w:val="1"/>
                <w:color w:val="auto"/>
              </w:rPr>
            </w:pPr>
          </w:p>
        </w:tc>
      </w:tr>
      <w:tr>
        <w:trPr>
          <w:trHeight w:val="171"/>
        </w:trPr>
        <w:tc>
          <w:tcPr>
            <w:tcW w:w="1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of tax of $(12,858)</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62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Foreign currency</w:t>
            </w: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(48,841)</w:t>
            </w:r>
          </w:p>
        </w:tc>
        <w:tc>
          <w:tcPr>
            <w:tcW w:w="1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(48,841)</w:t>
            </w:r>
          </w:p>
        </w:tc>
        <w:tc>
          <w:tcPr>
            <w:tcW w:w="22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(49,105)</w:t>
            </w:r>
          </w:p>
        </w:tc>
        <w:tc>
          <w:tcPr>
            <w:tcW w:w="0" w:type="dxa"/>
            <w:vAlign w:val="bottom"/>
          </w:tcPr>
          <w:p>
            <w:pPr>
              <w:spacing w:after="0"/>
              <w:rPr>
                <w:sz w:val="1"/>
                <w:szCs w:val="1"/>
                <w:color w:val="auto"/>
              </w:rPr>
            </w:pPr>
          </w:p>
        </w:tc>
      </w:tr>
      <w:tr>
        <w:trPr>
          <w:trHeight w:val="171"/>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translation adjustment</w:t>
            </w: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62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Common stock issued</w:t>
            </w: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under equity incentive</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plans, net of shares</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withheld for employee</w:t>
            </w:r>
          </w:p>
        </w:tc>
        <w:tc>
          <w:tcPr>
            <w:tcW w:w="8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315,240</w:t>
            </w:r>
          </w:p>
        </w:tc>
        <w:tc>
          <w:tcPr>
            <w:tcW w:w="240" w:type="dxa"/>
            <w:vAlign w:val="bottom"/>
          </w:tcPr>
          <w:p>
            <w:pPr>
              <w:spacing w:after="0"/>
              <w:rPr>
                <w:sz w:val="12"/>
                <w:szCs w:val="12"/>
                <w:color w:val="auto"/>
              </w:rPr>
            </w:pPr>
          </w:p>
        </w:tc>
        <w:tc>
          <w:tcPr>
            <w:tcW w:w="3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tcPr>
          <w:p>
            <w:pPr>
              <w:spacing w:after="0"/>
              <w:rPr>
                <w:sz w:val="12"/>
                <w:szCs w:val="12"/>
                <w:color w:val="auto"/>
              </w:rPr>
            </w:pP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(247)</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(244)</w:t>
            </w:r>
          </w:p>
        </w:tc>
        <w:tc>
          <w:tcPr>
            <w:tcW w:w="0" w:type="dxa"/>
            <w:vAlign w:val="bottom"/>
          </w:tcPr>
          <w:p>
            <w:pPr>
              <w:spacing w:after="0"/>
              <w:rPr>
                <w:sz w:val="1"/>
                <w:szCs w:val="1"/>
                <w:color w:val="auto"/>
              </w:rPr>
            </w:pPr>
          </w:p>
        </w:tc>
      </w:tr>
      <w:tr>
        <w:trPr>
          <w:trHeight w:val="171"/>
        </w:trPr>
        <w:tc>
          <w:tcPr>
            <w:tcW w:w="1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taxes and strike price</w:t>
            </w:r>
          </w:p>
        </w:tc>
        <w:tc>
          <w:tcPr>
            <w:tcW w:w="8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62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Payment of acquisition</w:t>
            </w: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2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contingent</w:t>
            </w: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33,965</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196,531</w:t>
            </w:r>
          </w:p>
        </w:tc>
        <w:tc>
          <w:tcPr>
            <w:tcW w:w="16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13,158</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47,123</w:t>
            </w: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47,123</w:t>
            </w:r>
          </w:p>
        </w:tc>
        <w:tc>
          <w:tcPr>
            <w:tcW w:w="0" w:type="dxa"/>
            <w:vAlign w:val="bottom"/>
          </w:tcPr>
          <w:p>
            <w:pPr>
              <w:spacing w:after="0"/>
              <w:rPr>
                <w:sz w:val="1"/>
                <w:szCs w:val="1"/>
                <w:color w:val="auto"/>
              </w:rPr>
            </w:pPr>
          </w:p>
        </w:tc>
      </w:tr>
      <w:tr>
        <w:trPr>
          <w:trHeight w:val="171"/>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consideration</w:t>
            </w: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62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Net share settlement of</w:t>
            </w: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(91,843)</w:t>
            </w:r>
          </w:p>
        </w:tc>
        <w:tc>
          <w:tcPr>
            <w:tcW w:w="160" w:type="dxa"/>
            <w:vAlign w:val="bottom"/>
          </w:tcPr>
          <w:p>
            <w:pPr>
              <w:spacing w:after="0"/>
              <w:rPr>
                <w:sz w:val="10"/>
                <w:szCs w:val="10"/>
                <w:color w:val="auto"/>
              </w:rPr>
            </w:pP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(26,833)</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(26,833)</w:t>
            </w: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(26,833)</w:t>
            </w:r>
          </w:p>
        </w:tc>
        <w:tc>
          <w:tcPr>
            <w:tcW w:w="0" w:type="dxa"/>
            <w:vAlign w:val="bottom"/>
          </w:tcPr>
          <w:p>
            <w:pPr>
              <w:spacing w:after="0"/>
              <w:rPr>
                <w:sz w:val="1"/>
                <w:szCs w:val="1"/>
                <w:color w:val="auto"/>
              </w:rPr>
            </w:pPr>
          </w:p>
        </w:tc>
      </w:tr>
      <w:tr>
        <w:trPr>
          <w:trHeight w:val="171"/>
        </w:trPr>
        <w:tc>
          <w:tcPr>
            <w:tcW w:w="1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restricted stock awards</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2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Stock repurchases</w:t>
            </w: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(2,722,007)</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(345,840)</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(345,840)</w:t>
            </w: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(345,840)</w:t>
            </w:r>
          </w:p>
        </w:tc>
        <w:tc>
          <w:tcPr>
            <w:tcW w:w="0" w:type="dxa"/>
            <w:vAlign w:val="bottom"/>
          </w:tcPr>
          <w:p>
            <w:pPr>
              <w:spacing w:after="0"/>
              <w:rPr>
                <w:sz w:val="1"/>
                <w:szCs w:val="1"/>
                <w:color w:val="auto"/>
              </w:rPr>
            </w:pPr>
          </w:p>
        </w:tc>
      </w:tr>
      <w:tr>
        <w:trPr>
          <w:trHeight w:val="126"/>
        </w:trPr>
        <w:tc>
          <w:tcPr>
            <w:tcW w:w="162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Share-based</w:t>
            </w: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29,481</w:t>
            </w: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29,481</w:t>
            </w: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29,481</w:t>
            </w:r>
          </w:p>
        </w:tc>
        <w:tc>
          <w:tcPr>
            <w:tcW w:w="0" w:type="dxa"/>
            <w:vAlign w:val="bottom"/>
          </w:tcPr>
          <w:p>
            <w:pPr>
              <w:spacing w:after="0"/>
              <w:rPr>
                <w:sz w:val="1"/>
                <w:szCs w:val="1"/>
                <w:color w:val="auto"/>
              </w:rPr>
            </w:pPr>
          </w:p>
        </w:tc>
      </w:tr>
      <w:tr>
        <w:trPr>
          <w:trHeight w:val="171"/>
        </w:trPr>
        <w:tc>
          <w:tcPr>
            <w:tcW w:w="1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compensation</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62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Redemption value</w:t>
            </w: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(49,235)</w:t>
            </w:r>
          </w:p>
        </w:tc>
        <w:tc>
          <w:tcPr>
            <w:tcW w:w="2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(49,235)</w:t>
            </w: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(49,235)</w:t>
            </w:r>
          </w:p>
        </w:tc>
        <w:tc>
          <w:tcPr>
            <w:tcW w:w="0" w:type="dxa"/>
            <w:vAlign w:val="bottom"/>
          </w:tcPr>
          <w:p>
            <w:pPr>
              <w:spacing w:after="0"/>
              <w:rPr>
                <w:sz w:val="1"/>
                <w:szCs w:val="1"/>
                <w:color w:val="auto"/>
              </w:rPr>
            </w:pPr>
          </w:p>
        </w:tc>
      </w:tr>
      <w:tr>
        <w:trPr>
          <w:trHeight w:val="171"/>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w:t>
            </w: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399,502</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399,502</w:t>
            </w:r>
          </w:p>
        </w:tc>
        <w:tc>
          <w:tcPr>
            <w:tcW w:w="220" w:type="dxa"/>
            <w:vAlign w:val="bottom"/>
          </w:tcPr>
          <w:p>
            <w:pPr>
              <w:spacing w:after="0"/>
              <w:rPr>
                <w:sz w:val="12"/>
                <w:szCs w:val="12"/>
                <w:color w:val="auto"/>
              </w:rPr>
            </w:pPr>
          </w:p>
        </w:tc>
        <w:tc>
          <w:tcPr>
            <w:tcW w:w="8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1,825</w:t>
            </w: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401,327</w:t>
            </w:r>
          </w:p>
        </w:tc>
        <w:tc>
          <w:tcPr>
            <w:tcW w:w="0" w:type="dxa"/>
            <w:vAlign w:val="bottom"/>
          </w:tcPr>
          <w:p>
            <w:pPr>
              <w:spacing w:after="0"/>
              <w:rPr>
                <w:sz w:val="1"/>
                <w:szCs w:val="1"/>
                <w:color w:val="auto"/>
              </w:rPr>
            </w:pPr>
          </w:p>
        </w:tc>
      </w:tr>
      <w:tr>
        <w:trPr>
          <w:trHeight w:val="148"/>
        </w:trPr>
        <w:tc>
          <w:tcPr>
            <w:tcW w:w="16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62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Balance as of December</w:t>
            </w:r>
          </w:p>
        </w:tc>
        <w:tc>
          <w:tcPr>
            <w:tcW w:w="8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72,701,257</w:t>
            </w:r>
          </w:p>
        </w:tc>
        <w:tc>
          <w:tcPr>
            <w:tcW w:w="2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728</w:t>
            </w:r>
          </w:p>
        </w:tc>
        <w:tc>
          <w:tcPr>
            <w:tcW w:w="1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w w:val="99"/>
              </w:rPr>
              <w:t>1,016,138</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(11,284,350)</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(808,491)</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(202,116)</w:t>
            </w:r>
          </w:p>
        </w:tc>
        <w:tc>
          <w:tcPr>
            <w:tcW w:w="8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$ 2,316,224</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(65,102)</w:t>
            </w: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2,257,381</w:t>
            </w:r>
          </w:p>
        </w:tc>
        <w:tc>
          <w:tcPr>
            <w:tcW w:w="2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1,874</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$ 2,259,255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31, 2022</w:t>
            </w:r>
          </w:p>
        </w:tc>
        <w:tc>
          <w:tcPr>
            <w:tcW w:w="80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62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Unrealized loss on</w:t>
            </w: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2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interest rate swaps, net</w:t>
            </w: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(8,004)</w:t>
            </w:r>
          </w:p>
        </w:tc>
        <w:tc>
          <w:tcPr>
            <w:tcW w:w="18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(8,004)</w:t>
            </w: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(8,004)</w:t>
            </w:r>
          </w:p>
        </w:tc>
        <w:tc>
          <w:tcPr>
            <w:tcW w:w="0" w:type="dxa"/>
            <w:vAlign w:val="bottom"/>
          </w:tcPr>
          <w:p>
            <w:pPr>
              <w:spacing w:after="0"/>
              <w:rPr>
                <w:sz w:val="1"/>
                <w:szCs w:val="1"/>
                <w:color w:val="auto"/>
              </w:rPr>
            </w:pPr>
          </w:p>
        </w:tc>
      </w:tr>
      <w:tr>
        <w:trPr>
          <w:trHeight w:val="171"/>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of tax of $2,674</w:t>
            </w: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62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Foreign currency</w:t>
            </w: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57,963</w:t>
            </w:r>
          </w:p>
        </w:tc>
        <w:tc>
          <w:tcPr>
            <w:tcW w:w="180" w:type="dxa"/>
            <w:vAlign w:val="bottom"/>
          </w:tcPr>
          <w:p>
            <w:pPr>
              <w:spacing w:after="0"/>
              <w:rPr>
                <w:sz w:val="10"/>
                <w:szCs w:val="10"/>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57,963</w:t>
            </w:r>
          </w:p>
        </w:tc>
        <w:tc>
          <w:tcPr>
            <w:tcW w:w="220" w:type="dxa"/>
            <w:vAlign w:val="bottom"/>
          </w:tcPr>
          <w:p>
            <w:pPr>
              <w:spacing w:after="0"/>
              <w:rPr>
                <w:sz w:val="10"/>
                <w:szCs w:val="10"/>
                <w:color w:val="auto"/>
              </w:rPr>
            </w:pP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128</w:t>
            </w: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58,091</w:t>
            </w:r>
          </w:p>
        </w:tc>
        <w:tc>
          <w:tcPr>
            <w:tcW w:w="0" w:type="dxa"/>
            <w:vAlign w:val="bottom"/>
          </w:tcPr>
          <w:p>
            <w:pPr>
              <w:spacing w:after="0"/>
              <w:rPr>
                <w:sz w:val="1"/>
                <w:szCs w:val="1"/>
                <w:color w:val="auto"/>
              </w:rPr>
            </w:pPr>
          </w:p>
        </w:tc>
      </w:tr>
      <w:tr>
        <w:trPr>
          <w:trHeight w:val="171"/>
        </w:trPr>
        <w:tc>
          <w:tcPr>
            <w:tcW w:w="1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translation adjustment</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62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Common stock issued</w:t>
            </w: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2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under equity incentive</w:t>
            </w: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plans, net of shares</w:t>
            </w: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withheld for employee</w:t>
            </w:r>
          </w:p>
        </w:tc>
        <w:tc>
          <w:tcPr>
            <w:tcW w:w="8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482,855</w:t>
            </w:r>
          </w:p>
        </w:tc>
        <w:tc>
          <w:tcPr>
            <w:tcW w:w="24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3,345</w:t>
            </w: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3,350</w:t>
            </w: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3,350</w:t>
            </w:r>
          </w:p>
        </w:tc>
        <w:tc>
          <w:tcPr>
            <w:tcW w:w="0" w:type="dxa"/>
            <w:vAlign w:val="bottom"/>
          </w:tcPr>
          <w:p>
            <w:pPr>
              <w:spacing w:after="0"/>
              <w:rPr>
                <w:sz w:val="1"/>
                <w:szCs w:val="1"/>
                <w:color w:val="auto"/>
              </w:rPr>
            </w:pPr>
          </w:p>
        </w:tc>
      </w:tr>
      <w:tr>
        <w:trPr>
          <w:trHeight w:val="171"/>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taxes and strike price</w:t>
            </w:r>
          </w:p>
        </w:tc>
        <w:tc>
          <w:tcPr>
            <w:tcW w:w="80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62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Payment of acquisition</w:t>
            </w: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contingent</w:t>
            </w:r>
          </w:p>
        </w:tc>
        <w:tc>
          <w:tcPr>
            <w:tcW w:w="8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10,943</w:t>
            </w:r>
          </w:p>
        </w:tc>
        <w:tc>
          <w:tcPr>
            <w:tcW w:w="240" w:type="dxa"/>
            <w:vAlign w:val="bottom"/>
          </w:tcPr>
          <w:p>
            <w:pPr>
              <w:spacing w:after="0"/>
              <w:rPr>
                <w:sz w:val="12"/>
                <w:szCs w:val="12"/>
                <w:color w:val="auto"/>
              </w:rPr>
            </w:pPr>
          </w:p>
        </w:tc>
        <w:tc>
          <w:tcPr>
            <w:tcW w:w="3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15,411</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466,118</w:t>
            </w:r>
          </w:p>
        </w:tc>
        <w:tc>
          <w:tcPr>
            <w:tcW w:w="160" w:type="dxa"/>
            <w:vAlign w:val="bottom"/>
          </w:tcPr>
          <w:p>
            <w:pPr>
              <w:spacing w:after="0"/>
              <w:rPr>
                <w:sz w:val="12"/>
                <w:szCs w:val="12"/>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33,396</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48,807</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48,807</w:t>
            </w:r>
          </w:p>
        </w:tc>
        <w:tc>
          <w:tcPr>
            <w:tcW w:w="0" w:type="dxa"/>
            <w:vAlign w:val="bottom"/>
          </w:tcPr>
          <w:p>
            <w:pPr>
              <w:spacing w:after="0"/>
              <w:rPr>
                <w:sz w:val="1"/>
                <w:szCs w:val="1"/>
                <w:color w:val="auto"/>
              </w:rPr>
            </w:pPr>
          </w:p>
        </w:tc>
      </w:tr>
      <w:tr>
        <w:trPr>
          <w:trHeight w:val="171"/>
        </w:trPr>
        <w:tc>
          <w:tcPr>
            <w:tcW w:w="1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consideration</w:t>
            </w:r>
          </w:p>
        </w:tc>
        <w:tc>
          <w:tcPr>
            <w:tcW w:w="8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62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Net share settlement of</w:t>
            </w: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(50,591)</w:t>
            </w:r>
          </w:p>
        </w:tc>
        <w:tc>
          <w:tcPr>
            <w:tcW w:w="16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(6,313)</w:t>
            </w: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(6,313)</w:t>
            </w: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(6,313)</w:t>
            </w:r>
          </w:p>
        </w:tc>
        <w:tc>
          <w:tcPr>
            <w:tcW w:w="0" w:type="dxa"/>
            <w:vAlign w:val="bottom"/>
          </w:tcPr>
          <w:p>
            <w:pPr>
              <w:spacing w:after="0"/>
              <w:rPr>
                <w:sz w:val="1"/>
                <w:szCs w:val="1"/>
                <w:color w:val="auto"/>
              </w:rPr>
            </w:pPr>
          </w:p>
        </w:tc>
      </w:tr>
      <w:tr>
        <w:trPr>
          <w:trHeight w:val="171"/>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restricted stock awards</w:t>
            </w: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Stock repurchases</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(2,188,475)</w:t>
            </w:r>
          </w:p>
        </w:tc>
        <w:tc>
          <w:tcPr>
            <w:tcW w:w="16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(251,513)</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(251,513)</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(251,513)</w:t>
            </w:r>
          </w:p>
        </w:tc>
        <w:tc>
          <w:tcPr>
            <w:tcW w:w="0" w:type="dxa"/>
            <w:vAlign w:val="bottom"/>
          </w:tcPr>
          <w:p>
            <w:pPr>
              <w:spacing w:after="0"/>
              <w:rPr>
                <w:sz w:val="1"/>
                <w:szCs w:val="1"/>
                <w:color w:val="auto"/>
              </w:rPr>
            </w:pPr>
          </w:p>
        </w:tc>
      </w:tr>
      <w:tr>
        <w:trPr>
          <w:trHeight w:val="126"/>
        </w:trPr>
        <w:tc>
          <w:tcPr>
            <w:tcW w:w="162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Share-based</w:t>
            </w: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35,492</w:t>
            </w: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35,492</w:t>
            </w: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35,492</w:t>
            </w:r>
          </w:p>
        </w:tc>
        <w:tc>
          <w:tcPr>
            <w:tcW w:w="0" w:type="dxa"/>
            <w:vAlign w:val="bottom"/>
          </w:tcPr>
          <w:p>
            <w:pPr>
              <w:spacing w:after="0"/>
              <w:rPr>
                <w:sz w:val="1"/>
                <w:szCs w:val="1"/>
                <w:color w:val="auto"/>
              </w:rPr>
            </w:pPr>
          </w:p>
        </w:tc>
      </w:tr>
      <w:tr>
        <w:trPr>
          <w:trHeight w:val="171"/>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compensation</w:t>
            </w: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62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Redemption value</w:t>
            </w: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(11,517)</w:t>
            </w: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(11,517)</w:t>
            </w: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(11,517)</w:t>
            </w:r>
          </w:p>
        </w:tc>
        <w:tc>
          <w:tcPr>
            <w:tcW w:w="0" w:type="dxa"/>
            <w:vAlign w:val="bottom"/>
          </w:tcPr>
          <w:p>
            <w:pPr>
              <w:spacing w:after="0"/>
              <w:rPr>
                <w:sz w:val="1"/>
                <w:szCs w:val="1"/>
                <w:color w:val="auto"/>
              </w:rPr>
            </w:pPr>
          </w:p>
        </w:tc>
      </w:tr>
      <w:tr>
        <w:trPr>
          <w:trHeight w:val="171"/>
        </w:trPr>
        <w:tc>
          <w:tcPr>
            <w:tcW w:w="1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adjustment</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2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214,606</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214,606</w:t>
            </w: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816</w:t>
            </w: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215,422</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62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Balance as of December</w:t>
            </w:r>
          </w:p>
        </w:tc>
        <w:tc>
          <w:tcPr>
            <w:tcW w:w="8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73,195,055</w:t>
            </w:r>
          </w:p>
        </w:tc>
        <w:tc>
          <w:tcPr>
            <w:tcW w:w="2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733</w:t>
            </w:r>
          </w:p>
        </w:tc>
        <w:tc>
          <w:tcPr>
            <w:tcW w:w="1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99"/>
              </w:rPr>
              <w:t>1,070,386</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(13,057,298)</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(1,032,921)</w:t>
            </w:r>
          </w:p>
        </w:tc>
        <w:tc>
          <w:tcPr>
            <w:tcW w:w="1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(202,116)</w:t>
            </w:r>
          </w:p>
        </w:tc>
        <w:tc>
          <w:tcPr>
            <w:tcW w:w="8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$ 2,519,313</w:t>
            </w:r>
          </w:p>
        </w:tc>
        <w:tc>
          <w:tcPr>
            <w:tcW w:w="2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(15,143)</w:t>
            </w:r>
          </w:p>
        </w:tc>
        <w:tc>
          <w:tcPr>
            <w:tcW w:w="1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2,340,252</w:t>
            </w:r>
          </w:p>
        </w:tc>
        <w:tc>
          <w:tcPr>
            <w:tcW w:w="22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2,818</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$ 2,343,070</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800" w:type="dxa"/>
            <w:vAlign w:val="bottom"/>
            <w:vMerge w:val="continue"/>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380" w:type="dxa"/>
            <w:vAlign w:val="bottom"/>
            <w:gridSpan w:val="2"/>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62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Unrealized loss on</w:t>
            </w: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interest rate swaps, net</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(7,672)</w:t>
            </w:r>
          </w:p>
        </w:tc>
        <w:tc>
          <w:tcPr>
            <w:tcW w:w="180" w:type="dxa"/>
            <w:vAlign w:val="bottom"/>
          </w:tcPr>
          <w:p>
            <w:pPr>
              <w:spacing w:after="0"/>
              <w:rPr>
                <w:sz w:val="12"/>
                <w:szCs w:val="12"/>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(7,672)</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(7,672)</w:t>
            </w:r>
          </w:p>
        </w:tc>
        <w:tc>
          <w:tcPr>
            <w:tcW w:w="0" w:type="dxa"/>
            <w:vAlign w:val="bottom"/>
          </w:tcPr>
          <w:p>
            <w:pPr>
              <w:spacing w:after="0"/>
              <w:rPr>
                <w:sz w:val="1"/>
                <w:szCs w:val="1"/>
                <w:color w:val="auto"/>
              </w:rPr>
            </w:pPr>
          </w:p>
        </w:tc>
      </w:tr>
      <w:tr>
        <w:trPr>
          <w:trHeight w:val="171"/>
        </w:trPr>
        <w:tc>
          <w:tcPr>
            <w:tcW w:w="1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of tax of $2,563</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62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Foreign currency</w:t>
            </w: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(62,584)</w:t>
            </w:r>
          </w:p>
        </w:tc>
        <w:tc>
          <w:tcPr>
            <w:tcW w:w="1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(62,584)</w:t>
            </w:r>
          </w:p>
        </w:tc>
        <w:tc>
          <w:tcPr>
            <w:tcW w:w="22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(62,842)</w:t>
            </w:r>
          </w:p>
        </w:tc>
        <w:tc>
          <w:tcPr>
            <w:tcW w:w="0" w:type="dxa"/>
            <w:vAlign w:val="bottom"/>
          </w:tcPr>
          <w:p>
            <w:pPr>
              <w:spacing w:after="0"/>
              <w:rPr>
                <w:sz w:val="1"/>
                <w:szCs w:val="1"/>
                <w:color w:val="auto"/>
              </w:rPr>
            </w:pPr>
          </w:p>
        </w:tc>
      </w:tr>
      <w:tr>
        <w:trPr>
          <w:trHeight w:val="171"/>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translation adjustment</w:t>
            </w: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62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Common stock issued</w:t>
            </w: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under equity incentive</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plans, net of shares</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withheld for employee</w:t>
            </w:r>
          </w:p>
        </w:tc>
        <w:tc>
          <w:tcPr>
            <w:tcW w:w="8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590,576</w:t>
            </w:r>
          </w:p>
        </w:tc>
        <w:tc>
          <w:tcPr>
            <w:tcW w:w="240" w:type="dxa"/>
            <w:vAlign w:val="bottom"/>
          </w:tcPr>
          <w:p>
            <w:pPr>
              <w:spacing w:after="0"/>
              <w:rPr>
                <w:sz w:val="12"/>
                <w:szCs w:val="12"/>
                <w:color w:val="auto"/>
              </w:rPr>
            </w:pPr>
          </w:p>
        </w:tc>
        <w:tc>
          <w:tcPr>
            <w:tcW w:w="3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w:t>
            </w:r>
          </w:p>
        </w:tc>
        <w:tc>
          <w:tcPr>
            <w:tcW w:w="160" w:type="dxa"/>
            <w:vAlign w:val="bottom"/>
          </w:tcPr>
          <w:p>
            <w:pPr>
              <w:spacing w:after="0"/>
              <w:rPr>
                <w:sz w:val="12"/>
                <w:szCs w:val="12"/>
                <w:color w:val="auto"/>
              </w:rPr>
            </w:pPr>
          </w:p>
        </w:tc>
        <w:tc>
          <w:tcPr>
            <w:tcW w:w="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14,122</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8,417</w:t>
            </w:r>
          </w:p>
        </w:tc>
        <w:tc>
          <w:tcPr>
            <w:tcW w:w="160" w:type="dxa"/>
            <w:vAlign w:val="bottom"/>
          </w:tcPr>
          <w:p>
            <w:pPr>
              <w:spacing w:after="0"/>
              <w:rPr>
                <w:sz w:val="12"/>
                <w:szCs w:val="12"/>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14,127</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14,127</w:t>
            </w:r>
          </w:p>
        </w:tc>
        <w:tc>
          <w:tcPr>
            <w:tcW w:w="0" w:type="dxa"/>
            <w:vAlign w:val="bottom"/>
          </w:tcPr>
          <w:p>
            <w:pPr>
              <w:spacing w:after="0"/>
              <w:rPr>
                <w:sz w:val="1"/>
                <w:szCs w:val="1"/>
                <w:color w:val="auto"/>
              </w:rPr>
            </w:pPr>
          </w:p>
        </w:tc>
      </w:tr>
      <w:tr>
        <w:trPr>
          <w:trHeight w:val="171"/>
        </w:trPr>
        <w:tc>
          <w:tcPr>
            <w:tcW w:w="1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taxes and strike price</w:t>
            </w:r>
          </w:p>
        </w:tc>
        <w:tc>
          <w:tcPr>
            <w:tcW w:w="8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62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Net share settlement of</w:t>
            </w: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(78,465)</w:t>
            </w:r>
          </w:p>
        </w:tc>
        <w:tc>
          <w:tcPr>
            <w:tcW w:w="16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(11,333)</w:t>
            </w: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(11,333)</w:t>
            </w: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(11,333)</w:t>
            </w:r>
          </w:p>
        </w:tc>
        <w:tc>
          <w:tcPr>
            <w:tcW w:w="0" w:type="dxa"/>
            <w:vAlign w:val="bottom"/>
          </w:tcPr>
          <w:p>
            <w:pPr>
              <w:spacing w:after="0"/>
              <w:rPr>
                <w:sz w:val="1"/>
                <w:szCs w:val="1"/>
                <w:color w:val="auto"/>
              </w:rPr>
            </w:pPr>
          </w:p>
        </w:tc>
      </w:tr>
      <w:tr>
        <w:trPr>
          <w:trHeight w:val="171"/>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restricted stock awards</w:t>
            </w: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Stock repurchases</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(1,046,351)</w:t>
            </w:r>
          </w:p>
        </w:tc>
        <w:tc>
          <w:tcPr>
            <w:tcW w:w="16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(152,743)</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(152,743)</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(152,743)</w:t>
            </w:r>
          </w:p>
        </w:tc>
        <w:tc>
          <w:tcPr>
            <w:tcW w:w="0" w:type="dxa"/>
            <w:vAlign w:val="bottom"/>
          </w:tcPr>
          <w:p>
            <w:pPr>
              <w:spacing w:after="0"/>
              <w:rPr>
                <w:sz w:val="1"/>
                <w:szCs w:val="1"/>
                <w:color w:val="auto"/>
              </w:rPr>
            </w:pPr>
          </w:p>
        </w:tc>
      </w:tr>
      <w:tr>
        <w:trPr>
          <w:trHeight w:val="126"/>
        </w:trPr>
        <w:tc>
          <w:tcPr>
            <w:tcW w:w="162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Share-based</w:t>
            </w: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49,248</w:t>
            </w: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49,248</w:t>
            </w: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49,248</w:t>
            </w:r>
          </w:p>
        </w:tc>
        <w:tc>
          <w:tcPr>
            <w:tcW w:w="0" w:type="dxa"/>
            <w:vAlign w:val="bottom"/>
          </w:tcPr>
          <w:p>
            <w:pPr>
              <w:spacing w:after="0"/>
              <w:rPr>
                <w:sz w:val="1"/>
                <w:szCs w:val="1"/>
                <w:color w:val="auto"/>
              </w:rPr>
            </w:pPr>
          </w:p>
        </w:tc>
      </w:tr>
      <w:tr>
        <w:trPr>
          <w:trHeight w:val="171"/>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compensation</w:t>
            </w: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62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Redemption value</w:t>
            </w: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8,941</w:t>
            </w: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8,941</w:t>
            </w: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8,941</w:t>
            </w:r>
          </w:p>
        </w:tc>
        <w:tc>
          <w:tcPr>
            <w:tcW w:w="0" w:type="dxa"/>
            <w:vAlign w:val="bottom"/>
          </w:tcPr>
          <w:p>
            <w:pPr>
              <w:spacing w:after="0"/>
              <w:rPr>
                <w:sz w:val="1"/>
                <w:szCs w:val="1"/>
                <w:color w:val="auto"/>
              </w:rPr>
            </w:pPr>
          </w:p>
        </w:tc>
      </w:tr>
      <w:tr>
        <w:trPr>
          <w:trHeight w:val="171"/>
        </w:trPr>
        <w:tc>
          <w:tcPr>
            <w:tcW w:w="1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adjustment</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62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Cash dividends paid to</w:t>
            </w: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2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noncontrolling interest</w:t>
            </w: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(273)</w:t>
            </w:r>
          </w:p>
        </w:tc>
        <w:tc>
          <w:tcPr>
            <w:tcW w:w="0" w:type="dxa"/>
            <w:vAlign w:val="bottom"/>
          </w:tcPr>
          <w:p>
            <w:pPr>
              <w:spacing w:after="0"/>
              <w:rPr>
                <w:sz w:val="1"/>
                <w:szCs w:val="1"/>
                <w:color w:val="auto"/>
              </w:rPr>
            </w:pPr>
          </w:p>
        </w:tc>
      </w:tr>
      <w:tr>
        <w:trPr>
          <w:trHeight w:val="171"/>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of subsidiary</w:t>
            </w: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316,315</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316,315</w:t>
            </w:r>
          </w:p>
        </w:tc>
        <w:tc>
          <w:tcPr>
            <w:tcW w:w="220" w:type="dxa"/>
            <w:vAlign w:val="bottom"/>
          </w:tcPr>
          <w:p>
            <w:pPr>
              <w:spacing w:after="0"/>
              <w:rPr>
                <w:sz w:val="12"/>
                <w:szCs w:val="12"/>
                <w:color w:val="auto"/>
              </w:rPr>
            </w:pPr>
          </w:p>
        </w:tc>
        <w:tc>
          <w:tcPr>
            <w:tcW w:w="8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605</w:t>
            </w: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316,920</w:t>
            </w:r>
          </w:p>
        </w:tc>
        <w:tc>
          <w:tcPr>
            <w:tcW w:w="0" w:type="dxa"/>
            <w:vAlign w:val="bottom"/>
          </w:tcPr>
          <w:p>
            <w:pPr>
              <w:spacing w:after="0"/>
              <w:rPr>
                <w:sz w:val="1"/>
                <w:szCs w:val="1"/>
                <w:color w:val="auto"/>
              </w:rPr>
            </w:pPr>
          </w:p>
        </w:tc>
      </w:tr>
      <w:tr>
        <w:trPr>
          <w:trHeight w:val="149"/>
        </w:trPr>
        <w:tc>
          <w:tcPr>
            <w:tcW w:w="16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62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Balance as of December</w:t>
            </w:r>
          </w:p>
        </w:tc>
        <w:tc>
          <w:tcPr>
            <w:tcW w:w="8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73,785,631</w:t>
            </w:r>
          </w:p>
        </w:tc>
        <w:tc>
          <w:tcPr>
            <w:tcW w:w="2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738</w:t>
            </w:r>
          </w:p>
        </w:tc>
        <w:tc>
          <w:tcPr>
            <w:tcW w:w="1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w w:val="99"/>
              </w:rPr>
              <w:t>1,133,756</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(14,173,697)</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(1,196,997)</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(202,116)</w:t>
            </w:r>
          </w:p>
        </w:tc>
        <w:tc>
          <w:tcPr>
            <w:tcW w:w="8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$ 2,844,296</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(85,399)</w:t>
            </w: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2,494,278</w:t>
            </w:r>
          </w:p>
        </w:tc>
        <w:tc>
          <w:tcPr>
            <w:tcW w:w="2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3,165</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$ 2,497,443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620" w:type="dxa"/>
            <w:vAlign w:val="bottom"/>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31, 2024</w:t>
            </w:r>
          </w:p>
        </w:tc>
        <w:tc>
          <w:tcPr>
            <w:tcW w:w="800" w:type="dxa"/>
            <w:vAlign w:val="bottom"/>
            <w:tcBorders>
              <w:bottom w:val="single" w:sz="8" w:color="auto"/>
            </w:tcBorders>
            <w:vMerge w:val="continue"/>
          </w:tcPr>
          <w:p>
            <w:pPr>
              <w:spacing w:after="0"/>
              <w:rPr>
                <w:sz w:val="11"/>
                <w:szCs w:val="11"/>
                <w:color w:val="auto"/>
              </w:rPr>
            </w:pPr>
          </w:p>
        </w:tc>
        <w:tc>
          <w:tcPr>
            <w:tcW w:w="240" w:type="dxa"/>
            <w:vAlign w:val="bottom"/>
            <w:tcBorders>
              <w:bottom w:val="single" w:sz="8" w:color="auto"/>
            </w:tcBorders>
            <w:vMerge w:val="continue"/>
          </w:tcPr>
          <w:p>
            <w:pPr>
              <w:spacing w:after="0"/>
              <w:rPr>
                <w:sz w:val="11"/>
                <w:szCs w:val="11"/>
                <w:color w:val="auto"/>
              </w:rPr>
            </w:pPr>
          </w:p>
        </w:tc>
        <w:tc>
          <w:tcPr>
            <w:tcW w:w="380" w:type="dxa"/>
            <w:vAlign w:val="bottom"/>
            <w:tcBorders>
              <w:bottom w:val="single" w:sz="8" w:color="auto"/>
            </w:tcBorders>
            <w:gridSpan w:val="2"/>
            <w:vMerge w:val="continue"/>
          </w:tcPr>
          <w:p>
            <w:pPr>
              <w:spacing w:after="0"/>
              <w:rPr>
                <w:sz w:val="11"/>
                <w:szCs w:val="11"/>
                <w:color w:val="auto"/>
              </w:rPr>
            </w:pPr>
          </w:p>
        </w:tc>
        <w:tc>
          <w:tcPr>
            <w:tcW w:w="160" w:type="dxa"/>
            <w:vAlign w:val="bottom"/>
            <w:tcBorders>
              <w:bottom w:val="single" w:sz="8" w:color="auto"/>
            </w:tcBorders>
            <w:vMerge w:val="continue"/>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auto"/>
            </w:tcBorders>
            <w:vMerge w:val="continue"/>
          </w:tcPr>
          <w:p>
            <w:pPr>
              <w:spacing w:after="0"/>
              <w:rPr>
                <w:sz w:val="11"/>
                <w:szCs w:val="11"/>
                <w:color w:val="auto"/>
              </w:rPr>
            </w:pPr>
          </w:p>
        </w:tc>
        <w:tc>
          <w:tcPr>
            <w:tcW w:w="720" w:type="dxa"/>
            <w:vAlign w:val="bottom"/>
            <w:tcBorders>
              <w:bottom w:val="single" w:sz="8" w:color="auto"/>
            </w:tcBorders>
            <w:gridSpan w:val="2"/>
            <w:vMerge w:val="continue"/>
          </w:tcPr>
          <w:p>
            <w:pPr>
              <w:spacing w:after="0"/>
              <w:rPr>
                <w:sz w:val="11"/>
                <w:szCs w:val="11"/>
                <w:color w:val="auto"/>
              </w:rPr>
            </w:pPr>
          </w:p>
        </w:tc>
        <w:tc>
          <w:tcPr>
            <w:tcW w:w="120" w:type="dxa"/>
            <w:vAlign w:val="bottom"/>
            <w:tcBorders>
              <w:bottom w:val="single" w:sz="8" w:color="auto"/>
            </w:tcBorders>
            <w:vMerge w:val="continue"/>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220" w:type="dxa"/>
            <w:vAlign w:val="bottom"/>
            <w:tcBorders>
              <w:bottom w:val="single" w:sz="8" w:color="auto"/>
            </w:tcBorders>
            <w:vMerge w:val="continue"/>
          </w:tcPr>
          <w:p>
            <w:pPr>
              <w:spacing w:after="0"/>
              <w:rPr>
                <w:sz w:val="11"/>
                <w:szCs w:val="11"/>
                <w:color w:val="auto"/>
              </w:rPr>
            </w:pPr>
          </w:p>
        </w:tc>
        <w:tc>
          <w:tcPr>
            <w:tcW w:w="860" w:type="dxa"/>
            <w:vAlign w:val="bottom"/>
            <w:tcBorders>
              <w:bottom w:val="single" w:sz="8" w:color="auto"/>
            </w:tcBorders>
            <w:vMerge w:val="continue"/>
          </w:tcPr>
          <w:p>
            <w:pPr>
              <w:spacing w:after="0"/>
              <w:rPr>
                <w:sz w:val="11"/>
                <w:szCs w:val="11"/>
                <w:color w:val="auto"/>
              </w:rPr>
            </w:pPr>
          </w:p>
        </w:tc>
        <w:tc>
          <w:tcPr>
            <w:tcW w:w="180" w:type="dxa"/>
            <w:vAlign w:val="bottom"/>
            <w:tcBorders>
              <w:bottom w:val="single" w:sz="8" w:color="auto"/>
            </w:tcBorders>
            <w:vMerge w:val="continue"/>
          </w:tcPr>
          <w:p>
            <w:pPr>
              <w:spacing w:after="0"/>
              <w:rPr>
                <w:sz w:val="11"/>
                <w:szCs w:val="11"/>
                <w:color w:val="auto"/>
              </w:rPr>
            </w:pPr>
          </w:p>
        </w:tc>
        <w:tc>
          <w:tcPr>
            <w:tcW w:w="760" w:type="dxa"/>
            <w:vAlign w:val="bottom"/>
            <w:tcBorders>
              <w:bottom w:val="single" w:sz="8" w:color="auto"/>
            </w:tcBorders>
            <w:gridSpan w:val="2"/>
            <w:vMerge w:val="continue"/>
          </w:tcPr>
          <w:p>
            <w:pPr>
              <w:spacing w:after="0"/>
              <w:rPr>
                <w:sz w:val="11"/>
                <w:szCs w:val="11"/>
                <w:color w:val="auto"/>
              </w:rPr>
            </w:pPr>
          </w:p>
        </w:tc>
        <w:tc>
          <w:tcPr>
            <w:tcW w:w="220" w:type="dxa"/>
            <w:vAlign w:val="bottom"/>
            <w:tcBorders>
              <w:bottom w:val="single" w:sz="8" w:color="auto"/>
            </w:tcBorders>
            <w:vMerge w:val="continue"/>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Generac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Consolidated Statements of Cash Flows</w:t>
      </w:r>
    </w:p>
    <w:p>
      <w:pPr>
        <w:jc w:val="center"/>
        <w:spacing w:after="0"/>
        <w:rPr>
          <w:sz w:val="20"/>
          <w:szCs w:val="20"/>
          <w:color w:val="auto"/>
        </w:rPr>
      </w:pPr>
      <w:r>
        <w:rPr>
          <w:rFonts w:ascii="Times New Roman" w:cs="Times New Roman" w:eastAsia="Times New Roman" w:hAnsi="Times New Roman"/>
          <w:sz w:val="18"/>
          <w:szCs w:val="18"/>
          <w:i w:val="1"/>
          <w:iCs w:val="1"/>
          <w:color w:val="auto"/>
        </w:rPr>
        <w:t>(U.S. 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7"/>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6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316,978</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217,120</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408,870</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finance lease amortization</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74,025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62,408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52,821</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97,743</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104,194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103,320</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deferred financing costs and original issue discount</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3,242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3,885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3,234</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investment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38,006</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4,861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3,743</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(60,615)</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(34,478)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(95,465)</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49,248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35,492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29,481</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Loss (gain) on disposal of assets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138</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(592)</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noncash charges</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5,780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18,339</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Excess tax benefits from equity awards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(5,069)</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(16,910)</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changes in operating assets and liabilities, net of acquisitions:</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(82,816)</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(18,272)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6,547</w:t>
            </w:r>
          </w:p>
        </w:tc>
      </w:tr>
      <w:tr>
        <w:trPr>
          <w:trHeight w:val="216"/>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122,952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262,670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(319,274)</w:t>
            </w:r>
          </w:p>
        </w:tc>
      </w:tr>
      <w:tr>
        <w:trPr>
          <w:trHeight w:val="216"/>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546</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24,266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4,766</w:t>
            </w:r>
          </w:p>
        </w:tc>
      </w:tr>
      <w:tr>
        <w:trPr>
          <w:trHeight w:val="216"/>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123,571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(120,900)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(223,031)</w:t>
            </w:r>
          </w:p>
        </w:tc>
      </w:tr>
      <w:tr>
        <w:trPr>
          <w:trHeight w:val="216"/>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wages and employee benefits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26,870</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7,962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(27,369)</w:t>
            </w:r>
          </w:p>
        </w:tc>
      </w:tr>
      <w:tr>
        <w:trPr>
          <w:trHeight w:val="216"/>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25,841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(27,337)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110,036</w:t>
            </w:r>
          </w:p>
        </w:tc>
      </w:tr>
      <w:tr>
        <w:trPr>
          <w:trHeight w:val="20"/>
        </w:trPr>
        <w:tc>
          <w:tcPr>
            <w:tcW w:w="60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741,301</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521,670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58,516</w:t>
            </w:r>
          </w:p>
        </w:tc>
      </w:tr>
      <w:tr>
        <w:trPr>
          <w:trHeight w:val="216"/>
        </w:trPr>
        <w:tc>
          <w:tcPr>
            <w:tcW w:w="6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2,896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2,077</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beneficial interest in securitization transactions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3,294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3,566</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 to tax equity investment</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(1,629)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(6,627)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(14,930)</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long-term investments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(37,821)</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(32,592)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long-term investments</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2,000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1,308</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Expenditures for property and equipment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(136,733)</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(129,060)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(86,188)</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businesses, net of cash acquired</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(34,740)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(15,974)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(25,065)</w:t>
            </w:r>
          </w:p>
        </w:tc>
      </w:tr>
      <w:tr>
        <w:trPr>
          <w:trHeight w:val="20"/>
        </w:trPr>
        <w:tc>
          <w:tcPr>
            <w:tcW w:w="60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(208,712)</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(178,063)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(134,232)</w:t>
            </w:r>
          </w:p>
        </w:tc>
      </w:tr>
      <w:tr>
        <w:trPr>
          <w:trHeight w:val="216"/>
        </w:trPr>
        <w:tc>
          <w:tcPr>
            <w:tcW w:w="6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short-term borrowings</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29,219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64,257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248,209</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long-term borrowings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541,475</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348,827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1,026,284</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short-term borrowings</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(54,548)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(37,104)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(268,133)</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Repayments of long-term borrowings and finance lease obligations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(794,600)</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(288,699)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(542,191)</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repurchases</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(152,743)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(251,513)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(345,840)</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(3,616)</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(10,330)</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contingent acquisition consideration</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(4,979)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(16,135)</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Payment of deferred acquisition consideration</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(7,421)</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additional ownership interest</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(9,117)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(104,844)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(375)</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paid to noncontrolling interest of subsidiary</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(273)</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(309)</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paid related to equity awards</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(24,769)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(10,897)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(40,923)</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27,558</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7,815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13,786</w:t>
            </w:r>
          </w:p>
        </w:tc>
      </w:tr>
      <w:tr>
        <w:trPr>
          <w:trHeight w:val="20"/>
        </w:trPr>
        <w:tc>
          <w:tcPr>
            <w:tcW w:w="6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(448,835)</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(277,137)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64,043</w:t>
            </w:r>
          </w:p>
        </w:tc>
      </w:tr>
      <w:tr>
        <w:trPr>
          <w:trHeight w:val="216"/>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(3,471)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1,801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(2,943)</w:t>
            </w:r>
          </w:p>
        </w:tc>
      </w:tr>
      <w:tr>
        <w:trPr>
          <w:trHeight w:val="216"/>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80,283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68,271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(14,616)</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200,994</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132,723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147,339</w:t>
            </w:r>
          </w:p>
        </w:tc>
      </w:tr>
      <w:tr>
        <w:trPr>
          <w:trHeight w:val="20"/>
        </w:trPr>
        <w:tc>
          <w:tcPr>
            <w:tcW w:w="6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281,277</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200,994</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132,723</w:t>
            </w:r>
          </w:p>
        </w:tc>
      </w:tr>
      <w:tr>
        <w:trPr>
          <w:trHeight w:val="196"/>
        </w:trPr>
        <w:tc>
          <w:tcPr>
            <w:tcW w:w="60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paid during the period</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89,420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84,027</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48,912</w:t>
            </w:r>
          </w:p>
        </w:tc>
      </w:t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148,828</w:t>
            </w:r>
          </w:p>
        </w:tc>
        <w:tc>
          <w:tcPr>
            <w:tcW w:w="3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100,082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150,893</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ectPr>
          <w:pgSz w:w="11900" w:h="16838" w:orient="portrait"/>
          <w:cols w:equalWidth="0" w:num="1">
            <w:col w:w="11240"/>
          </w:cols>
          <w:pgMar w:left="320" w:top="121" w:right="339" w:bottom="852" w:gutter="0" w:footer="0" w:header="0"/>
        </w:sect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852"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Generac Holdings Inc.</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i w:val="1"/>
          <w:iCs w:val="1"/>
          <w:color w:val="auto"/>
        </w:rPr>
        <w:t>(U.S. Dollars in Thousands, Except Share and Per Share Data)</w:t>
      </w:r>
    </w:p>
    <w:p>
      <w:pPr>
        <w:spacing w:after="0" w:line="200" w:lineRule="exact"/>
        <w:rPr>
          <w:sz w:val="20"/>
          <w:szCs w:val="20"/>
          <w:color w:val="auto"/>
        </w:rPr>
      </w:pPr>
    </w:p>
    <w:p>
      <w:pPr>
        <w:spacing w:after="0" w:line="246"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Founded in 1959, Generac Holdings Inc. (the Company) is a leading global designer and manufacturer of a wide range of energy technology solutions. The Company provides power generation equipment, energy storage systems, energy management devices &amp; solutions, and other power products and services serving the residential, light commercial, and industrial markets. Generac’s power products and solutions are available globally through a broad network of independent dealers, distributors, retailers, e-commerce partners, wholesalers, and equipment rental companies, as well as sold direct to certain end user customers.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Over the years, the Company has executed a number of acquisitions that support its strategic plan (refer to Item 1 in this Annual Report on Form 10-K for discussion of the Company's “Powering a Smarter World” strategic plan). A summary of acquisitions affecting the reporting periods presented include:</w:t>
      </w:r>
    </w:p>
    <w:p>
      <w:pPr>
        <w:spacing w:after="0" w:line="162" w:lineRule="exact"/>
        <w:rPr>
          <w:sz w:val="20"/>
          <w:szCs w:val="20"/>
          <w:color w:val="auto"/>
        </w:rPr>
      </w:pPr>
    </w:p>
    <w:p>
      <w:pPr>
        <w:ind w:left="720" w:hanging="388"/>
        <w:spacing w:after="0" w:line="261" w:lineRule="auto"/>
        <w:tabs>
          <w:tab w:leader="none" w:pos="7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2024, the Company acquired Wolverine Power Systems (Wolverine), headquartered in Zeeland, Michigan. Wolverine is an industrial and residential generator distributor as well as a provider of maintenance and repair services.</w:t>
      </w:r>
    </w:p>
    <w:p>
      <w:pPr>
        <w:ind w:left="720" w:hanging="388"/>
        <w:spacing w:after="0" w:line="250" w:lineRule="auto"/>
        <w:tabs>
          <w:tab w:leader="none" w:pos="7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2024, the Company acquired the assets and liabilities of Ageto, LLC (Ageto). Ageto designs and integrates microgrid control solutions and is headquartered in Fort Collins, Colorado.</w:t>
      </w:r>
    </w:p>
    <w:p>
      <w:pPr>
        <w:ind w:left="720" w:hanging="388"/>
        <w:spacing w:after="0" w:line="250" w:lineRule="auto"/>
        <w:tabs>
          <w:tab w:leader="none" w:pos="7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2024, the Company closed on the acquisition of the Commercial &amp; Industrial Battery Energy Storage System (C&amp;I BESS) product offering from SunGrid Solutions Inc. located in Cambridge, Canada.</w:t>
      </w:r>
    </w:p>
    <w:p>
      <w:pPr>
        <w:ind w:left="720" w:hanging="388"/>
        <w:spacing w:after="0" w:line="250" w:lineRule="auto"/>
        <w:tabs>
          <w:tab w:leader="none" w:pos="7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2024, the Company acquired Huntington Power Equipment, Inc. (Huntington), headquartered in Shelton, Connecticut. Huntington is an industrial and residential generator distributor as well as a provider of maintenance and repair services.</w:t>
      </w:r>
    </w:p>
    <w:p>
      <w:pPr>
        <w:ind w:left="720" w:hanging="388"/>
        <w:spacing w:after="0" w:line="250" w:lineRule="auto"/>
        <w:tabs>
          <w:tab w:leader="none" w:pos="7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2023, the Company acquired REFUstor, headquartered in Pfullingen, Germany. REFUstor is a developer and supplier of battery storage hardware products, advanced software, and platform services for the commercial and industrial energy storage market.</w:t>
      </w:r>
    </w:p>
    <w:p>
      <w:pPr>
        <w:ind w:left="720" w:hanging="388"/>
        <w:spacing w:after="0" w:line="250" w:lineRule="auto"/>
        <w:tabs>
          <w:tab w:leader="none" w:pos="7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2022, the Company acquired Blue Pillar, an industrial IoT platform developer that designs, deploys, and manages industrial IoT network solutions to enable distributed energy generation monitoring and control.</w:t>
      </w:r>
    </w:p>
    <w:p>
      <w:pPr>
        <w:jc w:val="both"/>
        <w:ind w:left="720" w:right="20" w:hanging="388"/>
        <w:spacing w:after="0" w:line="255" w:lineRule="auto"/>
        <w:tabs>
          <w:tab w:leader="none" w:pos="7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2022, the Company acquired Electronic Environments Co. LLC and related subsidiaries (collectively EEC). Headquartered in Marlborough, Massachusetts, EEC is an industrial generator distributor as well as a provider of design, build, maintenance, and repair services for data center and telecom facilities.</w:t>
      </w:r>
    </w:p>
    <w:p>
      <w:pPr>
        <w:spacing w:after="0" w:line="200" w:lineRule="exact"/>
        <w:rPr>
          <w:rFonts w:ascii="Times New Roman" w:cs="Times New Roman" w:eastAsia="Times New Roman" w:hAnsi="Times New Roman"/>
          <w:sz w:val="18"/>
          <w:szCs w:val="18"/>
          <w:color w:val="auto"/>
        </w:rPr>
      </w:pPr>
    </w:p>
    <w:p>
      <w:pPr>
        <w:spacing w:after="0" w:line="22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subsidiaries that are consolidated in conformity with U.S. GAAP. All intercompany amounts and transactions have been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three months or less to be cash equivalents.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the majority of its domestic cash in a few commercial banks in multiple operating and investment accounts. Balances on deposit are insured by the Federal Deposit Insurance Corporation (FDIC) up to specified limits. Balances in excess of FDIC limits are uninsured. One customer accounted for approximately 10% and 7% of accounts receivable as of December 31, 2024 and 2023, respectively. No one customer accounted for greater than 5%, 4%, and 4%, of net sales during the years ended December 31, 2024, 2023, and 2022,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and Allowance for Credit Losses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trade and other receivables primarily arise from the sale of its products and services to independent residential dealers, industrial distributors and dealers, national and regional retailers, electrical/HVAC/solar wholesalers, e-commerce partners, equipment rental companies, equipment distributors, EPC companies, telecommunications customers, and certain end users with payment terms generally ranging from 30 to 90 days. The Company evaluates the credit risk of a customer when extending credit based on a combination of various financial and qualitative factors that may affect the customers' ability to pay. These factors include the customer's financial condition, past payment experience, credit bureau information, and regional considerations.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Receivables are recorded at their face value amount less an allowance for credit losses. The Company maintains an allowance for credit losses, which represents an estimate of expected losses over the remaining contractual life of its receivables considering current market conditions and estimates for supportable forecasts when appropriate. The Company measures expected credit losses on its trade receivables on an entity-by-entity basis. The estimate of expected credit losses considers a historical loss experience rate that is adjusted for delinquency trends, collection experience, and/or economic risk where appropriate based on current market conditions. Additionally, management develops a specific allowance for trade receivables known to have a high risk of expected future credit loss.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holds various credit insurance plans that cover the risk of loss up to specified amounts on certain trade receivables. As of December 31, 2024, the Company had gross receivables of $647,572 and an allowance for credit losses of $35,465.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stated at the lower of cost or market, with cost determined using the first-in, first-out method.</w:t>
      </w:r>
    </w:p>
    <w:p>
      <w:pPr>
        <w:sectPr>
          <w:pgSz w:w="11900" w:h="16838" w:orient="portrait"/>
          <w:cols w:equalWidth="0" w:num="1">
            <w:col w:w="11240"/>
          </w:cols>
          <w:pgMar w:left="320" w:top="121" w:right="339" w:bottom="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Property and equipment, including internal use software, is recorded at cost and depreciated using the straight-line method over the estimated useful lives of the assets, which are summarized below (in years). Costs of leasehold improvements are amortized over the lesser of the term of the lease (including renewal option periods) or the estimated useful lives of the improvements. The Company capitalizes internal use software and significant enhancements when the Company obtains a software license or develops the software internally. The Company capitalizes cloud computing arrangements that qualify as service contracts if the Company has the contractual right to take possession of the software at any time during the contract period, without significant penalty and if it is feasible for the Company to either operate the software internally or contract with a third party to host the software on our behalf. Implementation costs incurred in cloud computing arrangements that are service contracts are recorded in prepaid expenses and other assets and operating lease and other assets in the Consolidated Balance Sheets and are amortized over the expected service period of the cloud computing arrangements. Finance lease right of use assets are included in property and equipment.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improvements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Dies and tools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Office &amp; information technology equipment and internal use software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depreciation and finance lease amortization expense was $74,025, $62,408, and $52,821 for the years ended December 31, 2024, 2023 and 2022,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Other Indefinite-Lived Intangible Assets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the purchase price over fair value of identifiable net assets acquired from business acquisitions. Goodwill is not amortized, but is reviewed for impairment on an annual basis and between annual tests if indicators of impairment are present. The Company evaluates goodwill for impairment annually as of October 31 or more frequently when an event occurs or circumstances change that indicates the carrying value may not be recoverable. The Company has the option to assess goodwill for impairment by performing either a qualitative assessment or quantitative test. The qualitative assessment determines whether it is more likely than not that the fair value of a reporting unit is less than its carrying amount. If the Company determines that it is not more likely than not that the fair value of a reporting unit is less than its carrying amount, then the quantitative test is not required to be performed. If the Company determines that it is more likely than not that the fair value of a reporting unit is less than its carrying amount, the Company is required to perform the quantitative test. In the quantitative test, the calculated fair value of the reporting unit is compared to its book value including goodwill. If the fair value of the reporting unit is in excess of its book value, the related goodwill is not impaired. If the fair value of the reporting unit is less than its book value, an impairment loss is recognized in an amount equal to that excess, limited to the total amount of goodwill allocated to that reporting unit.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indefinite-lived intangible assets consist of certain tradenames. The Company tests the carrying value of these tradenames annually as of October 31, or more frequently when an event occurs or circumstances change that indicates the carrying value may not be recoverable, by comparing the assets’ fair value to its carrying value. Fair value is measured using a relief-from-royalty approach, which assumes the fair value of the tradename is the discounted cash flows of the amount that would be paid had the Company not owned the tradename and instead licensed the tradename from another company.</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performed the required annual impairment tests for goodwill and other indefinite-lived intangible assets for the fiscal years 2024, 2023 and 2022, and found no impairment.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periodically evaluates the carrying value of long-lived assets (excluding goodwill and indefinite-lived tradenames). Long-lived assets are reviewed for impairment whenever events or changes in circumstances indicate that the carrying amount may not be recoverable. If the sum of the expected future undiscounted cash flows is less than the carrying amount of an asset, a loss is recognized for the difference between the fair value and carrying value of the asset.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Debt discounts and direct costs incurred in connection with the issuance or amendment of long-term debt are deferred and recorded as a reduction of outstanding debt and amortized to interest expense using the effective interest method over the terms of the related credit agreements. $3,242, $3,885, and $3,234 of deferred financing costs and original issue discount were amortized to interest expense during fiscal years 2024, 2023 and 2022, respectively. Excluding the impact of any future long-term debt issuances or prepayments, estimated amortization to interest expense for the next five years is as follows: 2025 - $2,573; 2026 - $2,544; 2027 - $1,434; 2028 - $437; 2029 - $463.</w:t>
      </w:r>
    </w:p>
    <w:p>
      <w:pPr>
        <w:sectPr>
          <w:pgSz w:w="11900" w:h="16838" w:orient="portrait"/>
          <w:cols w:equalWidth="0" w:num="1">
            <w:col w:w="11240"/>
          </w:cols>
          <w:pgMar w:left="320" w:top="121"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a C Corporation and therefore accounts for income taxes pursuant to the liability method. Accordingly, the current or deferred tax consequences of a transaction are measured by applying the provision of enacted tax laws to determine the amount of taxes payable currently or in future years. Deferred income taxes are provided for temporary differences between the income tax basis of assets and liabilities and their carrying amounts for financial reporting purposes. In assessing the realizability of deferred tax assets, the Company considers whether it is more likely than not that some portion or all of the deferred tax assets will not be realized. The ultimate realization of deferred tax assets is dependent upon the generation of future taxable income during the years in which those temporary differences become deductible. The Company considers taxable income in prior carryback years, the scheduled reversal of deferred tax liabilities, projected future taxable income and tax planning strategies, as appropriate, in making this assessment.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revenues primarily consist of the sale of products to its customers. The Company considers the purchase orders, which in some cases are governed by master sales agreements, to be the contracts with the customers. For each contract, the Company considers the commitment to transfer products, each of which is distinct, to be the identified performance obligations. Revenue is measured as the amount of consideration the Company expects to be entitled in exchange for the transfer of product, which is generally the price stated in the contract specific for each item sold, adjusted for the value of expected returns, discounts, rebates, or other promotional incentives or allowances offered to our customers. Expected returns for damaged or defective product are estimated using the expected value method based on historical product return experience. Discounts and rebates offered to customers are typically defined in the master sales agreements with customers and, therefore, are recorded using the most likely amount method based on the terms of the contract. Promotional incentives are defined programs offered for short, specific periods of time and are estimated using the expected value method based on historical experience. The Company does not expect the transaction price for revenue recognized will be subject to a significant revenue reversal. As the Company’s product sale contracts and standard payment terms have a duration of less than one year, it uses the practical expedient applicable to such contracts and does not consider the time value of money. Sales, use, value add, and other similar taxes assessed by governmental authorities and collected concurrently with revenue-producing activities are excluded from revenue. The Company has elected to recognize the cost for freight activities when control of the product has transferred to the customer as an expense within cost of goods sold in the consolidated statements of comprehensive income. Product revenues are recognized at the point in time when control of the product is transferred to the customer, which typically occurs upon shipment or delivery to the customer. To determine when control has transferred, the Company considers if there is a present right to payment and if legal title, physical possession, and the significant risks and rewards of ownership of the asset has transferred to the customer. As a substantial portion of the Company’s product revenues are recognized at a point in time, the amount of unsatisfied performance obligations at each period end is not material. The Company’s contracts have an original expected duration of one year or less. As a result, the Company has elected to use the practical expedient to not disclose its remaining performance obligations.</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the Company’s standard payment terms are less than one year, the specific payment terms and conditions in its customer contracts vary. In some cases, customers prepay for their goods; in other cases, after appropriate credit evaluation, an open credit line is granted and payment is due in arrears after shipment of the product to the customer. Contracts with payment in arrears are recognized in the consolidated balance sheets as accounts receivable upon revenue recognition, while contracts where customers pay in advance are recognized as customer deposits and recorded in other accrued liabilities in the consolidated balance sheets until revenue is recognized. The balance of customer deposits (contract liabilities) was $26,858 and $19,173 as of December 31, 2024, and December 31, 2023, respectively. During the year ended December 31, 2024, the Company recognized revenue of $19,173 related to amounts included in the December 31, 2023, customer deposit balance. The Company typically recognizes revenue within one year of the receipt of the customer deposit.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offers standard warranty coverage on substantially all products that it sells and accounts for this standard warranty coverage as an assurance warranty. As such, no transaction price is allocated to the standard warranty, and the Company records a liability for product warranty obligations at the time of sale to a customer based on historical warranty experience. Refer to Note 11, “Product Warranty Obligations,” to the consolidated financial statements of this Annual Report on Form 10-K for further information regarding the Company’s standard warranties.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also sells extended warranty coverage for certain products, which it accounts for as service warranties. In most cases, the extended warranty is sold as a separate contract. As such, extended warranty sales are considered a separate performance obligation, and the extended warranty transaction is separate and distinct from the product. The extended warranty transaction price is initially recorded as deferred revenue in the consolidated balance sheets and amortized on a straight-line basis to net sales in the consolidated statements of comprehensive income over the life of the contracts, following the standard warranty period. For extended warranty contracts that the Company sells under a third-party marketing agreement, it is required to pay fees to the third-party service provider and classifies these fees as costs to obtain a contract. The contract costs are deferred and recorded as other assets in the consolidated balance sheets. The deferred contract costs are amortized as an offset to net sales in the consolidated statements of comprehensive income consistent with how the related deferred revenue is recognized. Refer to Note 11, “Product Warranty Obligations,” to the consolidated financial statements of this Annual Report on Form 10-K for further information regarding the Company’s extended warranties.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extended warranties, the Company offers other services, including remote monitoring, installation, maintenance, data center and telecom facility design and build, and grid services to utilities in certain circumstances. Total service revenues accounted for less than 4%, 4%, and 3% of net sales during the years ended December 31, 2024, 2023 and 2022,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Note 7, “Segment Reporting,” to the consolidated financial statements of this Annual Report on Form 10-K for the Company’s disaggregated revenue disclosure. The information discussed above is applicable to each of the Company’s product classes.</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and Co-Op Advertising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Expenditures for advertising, included in selling and service expenses in the consolidated statements of comprehensive income, are expensed as incurred. Expenditures for advertising production costs are expensed when the related advertisement is first run. Expenditures for Co-Op advertising are expensed when claimed by the customer. Total expenditures for advertising were $116,550, $118,303, and $100,589 for the years ended December 31, 2024, 2023 and 2022,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expenses research and development costs as incurred. Total expenditures incurred for research and development were $219,600, $173,443, and $159,774 for the years ended December 31, 2024, 2023 and 2022,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 and Transactions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Balance sheet amounts for non-U.S. Dollar functional currency subsidiaries are translated into U.S. Dollars at the rates of exchange in effect at the end of the fiscal year. Income and expenses incurred in a foreign currency are translated at the average rates of exchange in effect during the year. The related balance sheet translation adjustments are made directly to accumulated other comprehensive loss, a component of stockholders’ equity, in the consolidated balance sheets. Gains and losses from foreign currency transactions are recognized as incurred in the consolidated statements of comprehensive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ASC 820-10,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defines fair value, establishes a consistent framework for measuring fair value, and expands disclosure for each major asset and liability category measured at fair value on either a recurring basis or nonrecurring basis. ASC 820-10 clarifies that fair value is an exit price, representing the amount that would be received in the sale of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pronouncement establishes a three-tier fair value hierarchy, which prioritizes the inputs used in measuring fair value as follows: (Level 1) observable inputs such as quoted prices in active markets; (Level 2) inputs, other than the quoted prices in active markets, that are observable either directly or indirectly; and (Level 3) unobservable inputs in which there is little or no market data, which require the reporting entity to develop its own assumptions.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believes the carrying amount of its financial instruments (cash and cash equivalents, accounts receivable, accounts payable, accrued liabilities, short-term borrowings, and revolving facility (Revolving Facility) borrowings), excluding Term Loan borrowings, approximates the fair value of these instruments based on their short-term nature. The fair value of the Tranche A Term Loan Facility borrowing, which has a net carrying value of $710,715, was approximately $705,375 (Level 2) as of December 31, 2024. The fair value of the Tranche B Term Loan Facility borrowing, which has a net carrying value of $495,936, was approximately $501,244 (Level 2) as of December 31, 2024. These Term Loan fair values were calculated based on independent valuations which contain inputs and significant value drivers that are observable.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fair value of the assets and liabilities measured on a recurring basis, excluding the contingent consideration discussed below, refer to the fair value table in Note 5, “Derivative Instruments and Hedging Activities,” to the consolidated financial statements of this Annual Report on Form 10-K. The fair value of the Company's interest rate swaps and commodity and foreign currency derivative contracts are classified as Level 2. The valuation techniques used to measure the fair value of these derivative contracts, all of which have counterparties with high credit ratings, were based on quoted market prices or model driven valuations using significant inputs derived from or corroborated by observable market data. The fair value of the derivative contracts discussed above considers the Company’s credit risk in accordance with ASC 820-10.</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Wallbox stock warrants is classified as Level 3. The fair value of these contracts is measured using a Black Scholes option pricing model, with significant inputs derived from or corroborated by observable market data as well as internal estimates, specifically the time period until exercise. The warrants received in the third quarter of 2024 and fourth quarter of 2023 expire at the earlier of when the price per share equals or exceeds $6.00 or in 2028 and 2029, respectively. The time period until exercise assumption has a significant impact on the fair value of the warrants.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Securities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Equity securities consist of shares of Wallbox N.V's (Wallbox) Class A common stock (Wallbox Shares). The Wallbox Shares are classified as Level 1 in the fair value hierarchy and are recognized at fair value using the closing price of Wallbox common stock quoted on the New York Stock Exchange (NYSE) on the last trading day of the quarter. The investment in Wallbox Shares is included in operating lease and other assets in the consolidated balance sheets. The fair value of the investment in Wallbox Shares was $19,075 and $17,213 as of December 31, 2024, and December 31, 2023, respectively. Gains and losses attributable to the Wallbox Shares are recognized in other expense, net in the consolidated statements of comprehensive income. The loss recognized on the investment in Wallbox Shares was $30,679 for the year ended December 31, 2024. For additional information regarding the Company's investment in Wallbox, see Note 5, “Derivative Instruments and Hedging Activities,” to the consolidated financial statements of this Annual Report on Form 10-K</w:t>
      </w:r>
    </w:p>
    <w:p>
      <w:pPr>
        <w:sectPr>
          <w:pgSz w:w="11900" w:h="16838" w:orient="portrait"/>
          <w:cols w:equalWidth="0" w:num="1">
            <w:col w:w="11240"/>
          </w:cols>
          <w:pgMar w:left="320" w:top="121" w:right="339"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9" w:name="page60"/>
    <w:bookmarkEnd w:id="59"/>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the Company's business combinations involve potential payment of future consideration that is contingent upon the achievement of certain milestones. As part of purchase accounting, a liability is recorded for the estimated fair value of the contingent consideration on the acquisition date. The fair value of the contingent consideration is remeasured at each reporting period, and the change in fair value is recognized within general and administrative expenses in the Company's consolidated statements of comprehensive income. The fair value measurement of contingent consideration is typically categorized as a Level 3 liability, as the measurement amount is based primarily on significant inputs that are not observable in the market.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combined fair value of contingent consideration for Chilicon and Ageto as of December 31, 2024, and for Chilicon and Pramac as of December 31, 2023, was $34,114 and $38,937, respectively. The contingent consideration period for Chilicon extends through December 31, 2028, while the contingent consideration period for Pramac extends through December 31, 2025. The contingent consideration for Ageto can be earned in equal increments with one third of the contingent consideration capable of being earned each year as of August 1, 2025, August 1, 2026, and August 1, 2027. The current portion of contingent consideration is reported in other accrued liabilities and the non-current portion is reported in operating lease and other long-term liabilities in the consolidated balance sheets.</w:t>
      </w:r>
    </w:p>
    <w:p>
      <w:pPr>
        <w:sectPr>
          <w:pgSz w:w="11900" w:h="16851" w:orient="portrait"/>
          <w:cols w:equalWidth="0" w:num="1">
            <w:col w:w="11240"/>
          </w:cols>
          <w:pgMar w:left="320" w:top="121" w:right="339" w:bottom="0" w:gutter="0" w:footer="0" w:header="0"/>
        </w:sectPr>
      </w:pP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the activity for contingent consideration: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Beginning balance, January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6772275"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fair value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6772275"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Additional contingent consideration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of 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6772275"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72275"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Present value interest accretion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Ending balance, December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ind w:left="1000" w:hanging="1000"/>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38,937</w:t>
      </w:r>
    </w:p>
    <w:p>
      <w:pPr>
        <w:spacing w:after="0" w:line="27"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(11,627)</w:t>
      </w:r>
    </w:p>
    <w:p>
      <w:pPr>
        <w:spacing w:after="0" w:line="20"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5,911</w:t>
      </w:r>
    </w:p>
    <w:p>
      <w:pPr>
        <w:spacing w:after="0" w:line="9" w:lineRule="exact"/>
        <w:rPr>
          <w:rFonts w:ascii="Times New Roman" w:cs="Times New Roman" w:eastAsia="Times New Roman" w:hAnsi="Times New Roman"/>
          <w:sz w:val="18"/>
          <w:szCs w:val="18"/>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893</w:t>
      </w:r>
    </w:p>
    <w:p>
      <w:pPr>
        <w:spacing w:after="0" w:line="9" w:lineRule="exact"/>
        <w:rPr>
          <w:sz w:val="20"/>
          <w:szCs w:val="20"/>
          <w:color w:val="auto"/>
        </w:rPr>
      </w:pPr>
    </w:p>
    <w:p>
      <w:pPr>
        <w:ind w:left="1020" w:hanging="1020"/>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9512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512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95123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35" w:lineRule="exact"/>
        <w:rPr>
          <w:sz w:val="20"/>
          <w:szCs w:val="20"/>
          <w:color w:val="auto"/>
        </w:rPr>
      </w:pPr>
    </w:p>
    <w:p>
      <w:pPr>
        <w:sectPr>
          <w:pgSz w:w="11900" w:h="16851" w:orient="portrait"/>
          <w:cols w:equalWidth="0" w:num="2">
            <w:col w:w="8360" w:space="720"/>
            <w:col w:w="2160"/>
          </w:cols>
          <w:pgMar w:left="320" w:top="121" w:right="339" w:bottom="0" w:gutter="0" w:footer="0" w:header="0"/>
          <w:type w:val="continuous"/>
        </w:sectPr>
      </w:pPr>
    </w:p>
    <w:p>
      <w:pPr>
        <w:spacing w:after="0" w:line="25" w:lineRule="exact"/>
        <w:rPr>
          <w:sz w:val="20"/>
          <w:szCs w:val="20"/>
          <w:color w:val="auto"/>
        </w:rPr>
      </w:pPr>
    </w:p>
    <w:p>
      <w:pPr>
        <w:ind w:firstLine="8"/>
        <w:spacing w:after="0" w:line="261" w:lineRule="auto"/>
        <w:tabs>
          <w:tab w:leader="none" w:pos="25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change in fair value of the contingent deferred consideration for the Pramac buyout. See Note 4, "Redeemable Noncontrolling Interest", to the consolidated financial statements of this Annual Report on Form 10-K.</w:t>
      </w:r>
    </w:p>
    <w:p>
      <w:pPr>
        <w:ind w:left="260" w:hanging="252"/>
        <w:spacing w:after="0"/>
        <w:tabs>
          <w:tab w:leader="none" w:pos="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$5,911 of contingent consideration related to the Ageto acquisition.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Actual results could differ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 and Hedging Activities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records all derivatives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which requires derivative instruments to be reported in the consolidated balance sheets at fair value and establishes criteria for designation and effectiveness of hedging relationships. The Company is exposed to market risk such as changes in commodity prices, foreign currencies and interest rates. The Company does not hold or trade derivative financial instruments for trading purposes.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Share-based compensation expense, including stock options and restricted stock awards, is generally recognized on a straight-line basis over the vesting period based on the fair value of awards which are expected to vest. The fair value of all share-based awards is estimated on the date of grant. Refer to Note 17, “Share Plans,” to the consolidated financial statements of this Annual Report on Form 10-K for further information on the Company’s share-based compensation plans and accounting.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Changes to GAAP are established by the Financial Accounting Standards Board (FASB) in the form of accounting standard updates (ASUs) to the FASB Accounting Standards Codification.</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w:t>
      </w:r>
      <w:r>
        <w:rPr>
          <w:rFonts w:ascii="Times New Roman" w:cs="Times New Roman" w:eastAsia="Times New Roman" w:hAnsi="Times New Roman"/>
          <w:sz w:val="18"/>
          <w:szCs w:val="18"/>
          <w:i w:val="1"/>
          <w:iCs w:val="1"/>
          <w:color w:val="auto"/>
        </w:rPr>
        <w:t>ASU 2024-03 Income Statement - Reporting Comprehensive Income -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 Disaggregation of Income Statement Expenses</w:t>
      </w:r>
      <w:r>
        <w:rPr>
          <w:rFonts w:ascii="Times New Roman" w:cs="Times New Roman" w:eastAsia="Times New Roman" w:hAnsi="Times New Roman"/>
          <w:sz w:val="18"/>
          <w:szCs w:val="18"/>
          <w:color w:val="auto"/>
        </w:rPr>
        <w:t>. The new guidance is intended to provide investors more detailed disclosures around specific types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expenses. The new disclosures require additional quantitative and qualitative information for certain expenses contained within the Consolidated Statements of Comprehensive Income to be presented in the notes to the financial statements. The update is effective for fiscal years beginning after December 15, 2026, and interim periods within fiscal years beginning after December 15, 2027, with early adoption permitted. The disclosure updates are required to be applied prospectively with the option for retrospective application. The Company is currently assessing the impact and timing of adopting the updated provisions.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2024, the Securities and Exchange Commission (SEC) adopted a final rule under SEC Release No. 33-11275, The Enhancement and Standardization of Climate-Related Disclosures for Investors, to enhance and standardize climate-related disclosures. The rule will require companies to disclose material Scope 1 and Scope 2 greenhouse gas emissions; climate-related risks, governance, and oversight; and the financial effects of severe weather events and other natural conditions. These disclosures will begin to be phased in beginning with the Company's annual report for the year ending December 31, 2025. While this rule has been stayed pending the outcome of legal challenges, the Company is currently assessing the impact of adoption on the Company's consolidated financial statements and related disclosures in the event the stay is lifted.</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w:t>
      </w:r>
      <w:r>
        <w:rPr>
          <w:rFonts w:ascii="Times New Roman" w:cs="Times New Roman" w:eastAsia="Times New Roman" w:hAnsi="Times New Roman"/>
          <w:sz w:val="18"/>
          <w:szCs w:val="18"/>
          <w:i w:val="1"/>
          <w:iCs w:val="1"/>
          <w:color w:val="auto"/>
        </w:rPr>
        <w:t>ASU 2023-09 Improvements to Income Tax Disclosures</w:t>
      </w:r>
      <w:r>
        <w:rPr>
          <w:rFonts w:ascii="Times New Roman" w:cs="Times New Roman" w:eastAsia="Times New Roman" w:hAnsi="Times New Roman"/>
          <w:sz w:val="18"/>
          <w:szCs w:val="18"/>
          <w:color w:val="auto"/>
        </w:rPr>
        <w:t>. The ASU establishes new income tax disclosure requirements in addition to modifying and eliminating certain existing requirements. Under the new guidance, the Company must consistently categorize and provide greater disaggregation of information in the rate reconciliation. It must also further disaggregate income taxes paid. The update is effective for fiscal years beginning after December 15, 2024. Entities may apply the new disclosures prospectively or may elect retrospective application. The Company is evaluating the impact of the new required disclosures, but does not expect the adoption of ASU 2023-09 to have a material impact on the Company's consolidated financial statements.</w:t>
      </w:r>
    </w:p>
    <w:p>
      <w:pPr>
        <w:sectPr>
          <w:pgSz w:w="11900" w:h="16851" w:orient="portrait"/>
          <w:cols w:equalWidth="0" w:num="1">
            <w:col w:w="11240"/>
          </w:cols>
          <w:pgMar w:left="320" w:top="121" w:right="339" w:bottom="0" w:gutter="0" w:footer="0" w:header="0"/>
          <w:type w:val="continuous"/>
        </w:sectPr>
      </w:pPr>
    </w:p>
    <w:bookmarkStart w:id="60" w:name="page61"/>
    <w:bookmarkEnd w:id="60"/>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 Improving Reportable Segment Disclosures (Topic 280)</w:t>
      </w:r>
      <w:r>
        <w:rPr>
          <w:rFonts w:ascii="Times New Roman" w:cs="Times New Roman" w:eastAsia="Times New Roman" w:hAnsi="Times New Roman"/>
          <w:sz w:val="18"/>
          <w:szCs w:val="18"/>
          <w:color w:val="auto"/>
        </w:rPr>
        <w:t>. The update is intended to improve reportable segment disclosure requirements, primarily through enhanced disclosures about significant expenses. The ASU requires disclosures to include significant segment expenses that are regularly provided to the chief operating decision maker (CODM), a description of other segment items by reportable segment, and any additional measures of a segment's profit or loss used by the CODM when deciding how to allocate resources. The ASU also requires all annual disclosures currently required by Topic 280 to be included in interim periods. The update is effective for fiscal years beginning after December 15, 2023, and interim periods within fiscal years beginning after December 15, 2024, with early adoption permitted and requires retrospective application to all prior periods presented in the financial statements. The required annual disclosures are reflected in Note 7, "Segment Reporting," to this Annual Report on Form 10-K and the Company will disclose the required quarterly information beginning with the Form 10-Q for the three months ending March 31, 2025.</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other recent accounting pronouncements, changes in accounting pronouncements, or recently adopted accounting guidance during 2024 that are of significance or potential significance to the Company's consolidated financial statements or disclosures.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61" w:name="page62"/>
    <w:bookmarkEnd w:id="61"/>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2024 Acquisitions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1, 2024, the Company acquired Wolverine, headquartered in Zeeland, Michigan. Wolverine is an industrial and residential generator distributor as well as a provider of maintenance and repair services.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August 1, 2024, the Company acquired the assets and liabilities of Ageto. Ageto designs and integrates microgrid control solutions and is headquartered in Fort Collins, Colorado.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26, 2024, the Company closed on the acquisition of the C&amp;I BESS product offering from SunGrid Solutions Inc. located in Cambridge, Canada.</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1, 2024, the Company acquired Huntington, headquartered in Shelton, Connecticut. Huntington is an industrial and residential generator distributor as well as a provider of maintenance and repair services.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combined preliminary purchase price for these acquisitions was $45,825, net of cash acquired and inclusive of holdbacks and estimated contingent consideration. The Company recorded its preliminary purchase price allocations based on its estimates of the fair value of the acquired assets and assumed liabilities. Purchase accounting for C&amp;I BESS and Huntington will be finalized prior to June 30, 2025, while purchase accounting for Ageto will be finalized prior to September 30, 2025. Purchase accounting for Wolverine will be finalized prior to December 31, 2025. There have not been any material changes to the preliminary purchase price allocation for Wolverine, Ageto, C&amp;I BESS, or Huntington as of December 31, 2024. The accompanying consolidated financial statements include the results of these acquisitions from their dates of acquisition.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2023 Acquisitions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1, 2023, the Company acquired REFUstor, headquartered in Pfullingen, Germany. REFUstor is a developer and supplier of battery storage hardware products, advanced software, and platform services for the commercial and industrial energy storage market.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its preliminary purchase price allocation for REFUstor during the first quarter of 2023, based on its estimates of the fair value of the acquired assets and assumed liabilities. Purchase accounting for REFUstor was finalized in the first quarter of 2024 and did not result in material adjustments to the Company's preliminary estimates. The final purchase price was $16,127. The accompanying consolidated financial statements include the results of REFUstor since the date of acquisition.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2022 Acquisitions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30, 2022, the Company acquired EEC. Headquartered in Marlborough, Massachusetts, EEC is an industrial generator distributor as well as a provider design, build, maintenance, and repair services for data center and telecom facilities.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3, 2022, the Company acquired Blue Pillar, an industrial IoT platform developer that designs, deploys, and manages industrial IoT network solutions to enable distributed energy generation monitoring and control.</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recorded its preliminary purchase price allocation for EEC and Blue Pillar during the second quarter and fourth quarter of 2022, respectively, based on its estimates of the fair value of the acquired assets and assumed liabilities. Purchase accounting for EEC was finalized in the second quarter of 2023, and purchase accounting for Blue Pillar was finalized in the fourth quarter of 2023, neither of which resulted in material adjustments to the Company's preliminary estimates. The final combined purchase price for EEC and Blue Pillar was $27,658. The accompanying consolidated financial statements include the results of the acquired businesses since their dates of acquisition.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 forma and other financial information are not presented as the effects of the Company's acquisitions since 2022 are not material to the Company's results of operations or financial position.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Purchase Price Allocations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assigned to certain assets acquired and liabilities assumed for all acquisitions completed since January 1, 2022,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2024 Acquisitions</w:t>
            </w:r>
          </w:p>
        </w:tc>
        <w:tc>
          <w:tcPr>
            <w:tcW w:w="2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2023 Acquisitions</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2022 Acquisitions</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52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9,528</w:t>
            </w:r>
          </w:p>
        </w:tc>
        <w:tc>
          <w:tcPr>
            <w:tcW w:w="24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w:t>
            </w:r>
          </w:p>
        </w:tc>
        <w:tc>
          <w:tcPr>
            <w:tcW w:w="6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11,965</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10,150</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2,955</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4,456</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5,843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708</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14,551</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6,174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10,032</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22,536</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5,363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8,714</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2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100" w:type="dxa"/>
            <w:vAlign w:val="bottom"/>
          </w:tcPr>
          <w:p>
            <w:pPr>
              <w:spacing w:after="0"/>
              <w:rPr>
                <w:sz w:val="18"/>
                <w:szCs w:val="18"/>
                <w:color w:val="auto"/>
              </w:rPr>
            </w:pPr>
          </w:p>
        </w:tc>
      </w:tr>
      <w:tr>
        <w:trPr>
          <w:trHeight w:val="209"/>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 acquired</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61,165</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19,969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40,784</w:t>
            </w:r>
          </w:p>
        </w:tc>
      </w:tr>
      <w:tr>
        <w:trPr>
          <w:trHeight w:val="209"/>
        </w:trPr>
        <w:tc>
          <w:tcPr>
            <w:tcW w:w="6320" w:type="dxa"/>
            <w:vAlign w:val="bottom"/>
            <w:tcBorders>
              <w:top w:val="single" w:sz="8" w:color="CCEEFF"/>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1,826</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Accrued wages and employee benefits</w:t>
            </w: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1,662</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9,043</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7,917</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borrowings and finance lease obligations</w:t>
            </w: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564</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1,157</w:t>
            </w:r>
          </w:p>
        </w:tc>
      </w:tr>
      <w:tr>
        <w:trPr>
          <w:trHeight w:val="216"/>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5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assets acquired</w:t>
            </w:r>
          </w:p>
        </w:tc>
        <w:tc>
          <w:tcPr>
            <w:tcW w:w="52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45,825</w:t>
            </w:r>
          </w:p>
        </w:tc>
        <w:tc>
          <w:tcPr>
            <w:tcW w:w="24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16,127</w:t>
            </w:r>
          </w:p>
        </w:tc>
        <w:tc>
          <w:tcPr>
            <w:tcW w:w="6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27,658</w:t>
            </w:r>
          </w:p>
        </w:tc>
      </w:tr>
      <w:tr>
        <w:trPr>
          <w:trHeight w:val="20"/>
        </w:trPr>
        <w:tc>
          <w:tcPr>
            <w:tcW w:w="6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77" w:orient="portrait"/>
          <w:cols w:equalWidth="0" w:num="1">
            <w:col w:w="11240"/>
          </w:cols>
          <w:pgMar w:left="320" w:top="121" w:right="339" w:bottom="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77" w:orient="portrait"/>
          <w:cols w:equalWidth="0" w:num="1">
            <w:col w:w="11240"/>
          </w:cols>
          <w:pgMar w:left="320" w:top="121" w:right="339" w:bottom="0" w:gutter="0" w:footer="0" w:header="0"/>
          <w:type w:val="continuous"/>
        </w:sectPr>
      </w:pPr>
    </w:p>
    <w:bookmarkStart w:id="62" w:name="page63"/>
    <w:bookmarkEnd w:id="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Noncontrolling Interest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1, 2016, the Company acquired a 65% ownership interest in PR Industrial S.r.l. and its subsidiaries (Pramac). The 35% noncontrolling interest in Pramac had an acquisition date fair value of $34,253 and was recorded as a redeemable noncontrolling interest in the consolidated balance sheets, as the noncontrolling interest holder had within its control the right to require the Company to redeem its interest in Pramac. In May 2021, the Company exercised its call option rights and paid a purchase price of $27,164 to purchase an additional 15% ownership interest in Pramac, bringing the Company's total ownership interest in Pramac to 80%. On March 8, 2023, the Company and the noncontrolling interest holder entered into an agreement whereby the Company acquired the remaining 20% ownership interest in Pramac for a purchase price of $116,754, which brought the Company's total ownership interest in Pramac to 100%. The purchase price for the remaining 20% ownership interest included $105,264 of initial consideration, which included a cash payment of $104,844 and a $420 gain on a foreign currency settlement in the first quarter of 2023, and $11,490 of contingent deferred consideration of up to 135,205 restricted shares that were issued based on the twenty day volume weighted average price of the Company’s stock ending on December 31, 2022, and which shall vest upon achievement of certain earnings targets at the end of the earn-out period, December 31, 2025. Accordingly, there was no redeemable noncontrolling interest related to Pramac as of December 31, 2023. This contingent deferred consideration was reduced to zero in the fourth quarter of 2024. Refer to Note 2, "Summary of Accounting Policies", to the consolidated financial statements of this Annual Report on Form 10-K for further information regarding the contingent deferred consideration.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1, 2019, the Company acquired a 51% ownership interest in Captiva Energy Solutions Private Limited (Captiva). The 49% noncontrolling interest in Captiva had an acquisition date fair value of $3,165 and was recorded as a redeemable noncontrolling interest in the consolidated balance sheets, as the noncontrolling interest holder had within its control the right to require the Company to redeem its interest in Captiva. The noncontrolling interest holder had a put option to sell his interest to the Company any time after five years from the date of acquisition, or earlier upon the occurrence of certain circumstances. Further, the Company had a call option that may be redeemed any time after five years from the date of acquisition, or earlier upon the occurrence of certain circumstances. The put and call option price was based on a multiple of earnings, subject to the terms of the acquisition agreement. In May 2022, the Company purchased an additional 15% ownership interest in Captiva for $375, which was paid with cash on hand, bringing the Company's total ownership interest in Captiva to 66%. On April 5, 2024, the Company acquired the remaining 34% ownership interest in Captiva for $9,117 of cash.</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redeemable noncontrolling interests were recorded at the greater of the initial fair value, increased or decreased for the noncontrolling interests’ share of comprehensive income (loss), or the estimated redemption value, with any adjustments to the redemption value impacting retained earnings, but not net income. However, the redemption value adjustments are reflected in the earnings per share calculation, as detailed in Note 14, “Earnings Per Share,” to the consolidated financial statements of this Annual Report on Form 10-K. The following table presents the changes in the redeemable noncontrolling interest for both Captiva and Pramac:</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0"/>
        </w:trPr>
        <w:tc>
          <w:tcPr>
            <w:tcW w:w="4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380" w:type="dxa"/>
            <w:vAlign w:val="bottom"/>
            <w:gridSpan w:val="2"/>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6,549</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110,471</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58,050</w:t>
            </w:r>
          </w:p>
        </w:tc>
        <w:tc>
          <w:tcPr>
            <w:tcW w:w="560" w:type="dxa"/>
            <w:vAlign w:val="bottom"/>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Share of net income</w:t>
            </w:r>
          </w:p>
        </w:tc>
        <w:tc>
          <w:tcPr>
            <w:tcW w:w="1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1,864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7,543</w:t>
            </w:r>
          </w:p>
        </w:tc>
        <w:tc>
          <w:tcPr>
            <w:tcW w:w="56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rate changes</w:t>
            </w:r>
          </w:p>
        </w:tc>
        <w:tc>
          <w:tcPr>
            <w:tcW w:w="142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(176)</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(3,982)</w:t>
            </w:r>
          </w:p>
        </w:tc>
        <w:tc>
          <w:tcPr>
            <w:tcW w:w="560" w:type="dxa"/>
            <w:vAlign w:val="bottom"/>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additional ownership interest</w:t>
            </w:r>
          </w:p>
        </w:tc>
        <w:tc>
          <w:tcPr>
            <w:tcW w:w="1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(9,117)</w:t>
            </w: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(116,754)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(375)</w:t>
            </w:r>
          </w:p>
        </w:tc>
        <w:tc>
          <w:tcPr>
            <w:tcW w:w="56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Redemption value adjustment</w:t>
            </w:r>
          </w:p>
        </w:tc>
        <w:tc>
          <w:tcPr>
            <w:tcW w:w="142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2,686</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11,517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49,235</w:t>
            </w:r>
          </w:p>
        </w:tc>
        <w:tc>
          <w:tcPr>
            <w:tcW w:w="560" w:type="dxa"/>
            <w:vAlign w:val="bottom"/>
          </w:tcPr>
          <w:p>
            <w:pPr>
              <w:spacing w:after="0"/>
              <w:rPr>
                <w:sz w:val="18"/>
                <w:szCs w:val="18"/>
                <w:color w:val="auto"/>
              </w:rPr>
            </w:pPr>
          </w:p>
        </w:tc>
      </w:tr>
      <w:tr>
        <w:trPr>
          <w:trHeight w:val="20"/>
        </w:trPr>
        <w:tc>
          <w:tcPr>
            <w:tcW w:w="4260" w:type="dxa"/>
            <w:vAlign w:val="bottom"/>
            <w:shd w:val="clear" w:color="auto" w:fill="CCEEFF"/>
          </w:tcPr>
          <w:p>
            <w:pPr>
              <w:spacing w:after="0" w:line="20" w:lineRule="exact"/>
              <w:rPr>
                <w:sz w:val="1"/>
                <w:szCs w:val="1"/>
                <w:color w:val="auto"/>
              </w:rPr>
            </w:pPr>
          </w:p>
        </w:tc>
        <w:tc>
          <w:tcPr>
            <w:tcW w:w="1420" w:type="dxa"/>
            <w:vAlign w:val="bottom"/>
            <w:tcBorders>
              <w:right w:val="single" w:sz="8" w:color="CCEEFF"/>
            </w:tcBorders>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4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420" w:type="dxa"/>
            <w:vAlign w:val="bottom"/>
          </w:tcPr>
          <w:p>
            <w:pPr>
              <w:spacing w:after="0"/>
              <w:rPr>
                <w:sz w:val="18"/>
                <w:szCs w:val="18"/>
                <w:color w:val="auto"/>
              </w:rPr>
            </w:pPr>
          </w:p>
        </w:tc>
        <w:tc>
          <w:tcPr>
            <w:tcW w:w="960" w:type="dxa"/>
            <w:vAlign w:val="bottom"/>
          </w:tcPr>
          <w:p>
            <w:pPr>
              <w:jc w:val="right"/>
              <w:ind w:right="79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6,549</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110,471</w:t>
            </w:r>
          </w:p>
        </w:tc>
        <w:tc>
          <w:tcPr>
            <w:tcW w:w="560" w:type="dxa"/>
            <w:vAlign w:val="bottom"/>
          </w:tcPr>
          <w:p>
            <w:pPr>
              <w:spacing w:after="0"/>
              <w:rPr>
                <w:sz w:val="18"/>
                <w:szCs w:val="18"/>
                <w:color w:val="auto"/>
              </w:rPr>
            </w:pPr>
          </w:p>
        </w:tc>
      </w:tr>
      <w:tr>
        <w:trPr>
          <w:trHeight w:val="20"/>
        </w:trPr>
        <w:tc>
          <w:tcPr>
            <w:tcW w:w="4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3"/>
        </w:trPr>
        <w:tc>
          <w:tcPr>
            <w:tcW w:w="4260" w:type="dxa"/>
            <w:vAlign w:val="bottom"/>
          </w:tcPr>
          <w:p>
            <w:pPr>
              <w:spacing w:after="0"/>
              <w:rPr>
                <w:sz w:val="24"/>
                <w:szCs w:val="24"/>
                <w:color w:val="auto"/>
              </w:rPr>
            </w:pPr>
          </w:p>
        </w:tc>
        <w:tc>
          <w:tcPr>
            <w:tcW w:w="2380" w:type="dxa"/>
            <w:vAlign w:val="bottom"/>
            <w:gridSpan w:val="2"/>
          </w:tcPr>
          <w:p>
            <w:pPr>
              <w:jc w:val="right"/>
              <w:ind w:right="833"/>
              <w:spacing w:after="0"/>
              <w:rPr>
                <w:sz w:val="20"/>
                <w:szCs w:val="20"/>
                <w:color w:val="auto"/>
              </w:rPr>
            </w:pPr>
            <w:r>
              <w:rPr>
                <w:rFonts w:ascii="Times New Roman" w:cs="Times New Roman" w:eastAsia="Times New Roman" w:hAnsi="Times New Roman"/>
                <w:sz w:val="18"/>
                <w:szCs w:val="18"/>
                <w:color w:val="auto"/>
              </w:rPr>
              <w:t>47</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426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Instruments and Hedging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periodically utilizes commodity derivatives and foreign currency forward purchase and sales contracts in the normal course of business. Because these contracts do not qualify for hedge accounting, the related gains and losses are recorded in the Company’s consolidated statements of comprehensive income. The commodity and foreign currency forward contract gains and losses are not material to the Company’s consolidated financial statements for the periods presented.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 Company maintains interest rate swap agreements and owns stock warrants described in more detail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2017, the Company entered into twenty interest rate swap agreements, the final four of which expired in May 2023. In March 2020, the Company entered into three additional interest rate swap agreements, which were still outstanding as of December 31, 2024.</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2022, in conjunction with the amendments to the Company's credit agreements discussed further in Note 12, “Credit Agreements,” to the consolidated financial statements of this Annual Report on Form 10-K, the Company amended its interest rate swaps to match the underlying debt and reconfirmed hedge effectiveness. The Company formally documented all relationships between interest rate hedging instruments and the related hedged items, as well as its risk-management objectives and strategies for undertaking various hedge transactions. These interest rate swap agreements qualify as cash flow hedges and therefore, the effective portions of their gains or losses are reported as a component of accumulated other comprehensive loss (AOCL) in the consolidated balance sheets.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amount of after-tax unrealized gains (losses) recognized for the years ended December 31, 2024, 2023 and 2022 we</w:t>
      </w:r>
      <w:r>
        <w:rPr>
          <w:rFonts w:ascii="Times New Roman" w:cs="Times New Roman" w:eastAsia="Times New Roman" w:hAnsi="Times New Roman"/>
          <w:sz w:val="18"/>
          <w:szCs w:val="18"/>
          <w:color w:val="444444"/>
        </w:rPr>
        <w:t>re</w:t>
      </w:r>
      <w:r>
        <w:rPr>
          <w:rFonts w:ascii="Times New Roman" w:cs="Times New Roman" w:eastAsia="Times New Roman" w:hAnsi="Times New Roman"/>
          <w:sz w:val="18"/>
          <w:szCs w:val="18"/>
          <w:color w:val="auto"/>
        </w:rPr>
        <w:t xml:space="preserve"> $(7,672), $(8,004), and $38,494, respectively. The cash flows of the swaps are recognized as adjustments to interest expense each period. The ineffective portions of the derivatives’ changes in fair value, if any, are immediately recognized in earnings.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Item 7A “Quantitative and Qualitative Disclosures About Market Risk” of this Annual Report on Form 10-K for additional information on these interest rate swaps.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Warrants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fourth quarter of 2023, the Company entered into a $30,000 agreement with Wallbox to purchase 5% of its Class A common stock and acquire stock warrants, the latter of which provide the rights to an incremental approximate 5% ownership in the Class A common stock outstanding of Wallbox upon exercise at a fixed price with anti-dilution protections for a period of time. During the third quarter of 2024, the Company received additional warrants in connection with an additional round of funding performed by Wallbox through the Company's anti-dilution protection rights. In accordance with U.S. GAAP, the Company is required to adjust the carrying value of these warrants to market value on a quarterly basis. Gains and losses attributable to the stock warrants are recognized in other expense, net in the consolidated statements of comprehensive income.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The loss attributable to the stock warrants was $7,327 for the year ended December 31, 2024.</w:t>
            </w: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fair value of the Company’s derivatives:</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1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814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18"/>
                <w:szCs w:val="18"/>
                <w:color w:val="auto"/>
              </w:rPr>
            </w:pPr>
          </w:p>
        </w:tc>
      </w:tr>
      <w:tr>
        <w:trPr>
          <w:trHeight w:val="210"/>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92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28,367</w:t>
            </w:r>
          </w:p>
        </w:tc>
        <w:tc>
          <w:tcPr>
            <w:tcW w:w="5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38,601</w:t>
            </w:r>
          </w:p>
        </w:tc>
      </w:tr>
      <w:tr>
        <w:trPr>
          <w:trHeight w:val="234"/>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Stock warrants</w:t>
            </w:r>
          </w:p>
        </w:tc>
        <w:tc>
          <w:tcPr>
            <w:tcW w:w="92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7,919</w:t>
            </w: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14,862</w:t>
            </w:r>
          </w:p>
        </w:tc>
      </w:tr>
    </w:tbl>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values of the interest rate swaps and stock warrants are included in operating lease and other assets in the consolidated balance sheet as of December 31, 2024 and December 31, 2023. Excluding the impact of credit risk, the fair value of the interest rate swaps as of December 31, 2024, and December 31, 2023, is an asset of $29,254 and $39,796, respectively, which represents the net amount the Company would receive to exit all of the agreements on that date.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Accumulated Other Comprehensive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presents a tabular disclosure of changes in AOCL during the years ended December 31, 2024 and 2023, net of tax: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Foreign Currency</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Unrealized Gain</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(Loss) on Cash</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Flow Hedges</w:t>
            </w:r>
          </w:p>
        </w:tc>
        <w:tc>
          <w:tcPr>
            <w:tcW w:w="4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 January 1,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(43,582)</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28,439</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(15,143)</w:t>
            </w: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Current-period comprehensive income (loss)</w:t>
            </w:r>
          </w:p>
        </w:tc>
        <w:tc>
          <w:tcPr>
            <w:tcW w:w="16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(62,584)</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(7,672) (2)</w:t>
            </w:r>
          </w:p>
        </w:tc>
        <w:tc>
          <w:tcPr>
            <w:tcW w:w="3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(70,256)</w:t>
            </w:r>
          </w:p>
        </w:tc>
      </w:tr>
      <w:tr>
        <w:trPr>
          <w:trHeight w:val="20"/>
        </w:trPr>
        <w:tc>
          <w:tcPr>
            <w:tcW w:w="5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 December 31,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(106,166)</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20,767</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(85,399)</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Foreign Currency</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Unrealized Gain</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(Loss) on Cash</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Flow Hedges</w:t>
            </w:r>
          </w:p>
        </w:tc>
        <w:tc>
          <w:tcPr>
            <w:tcW w:w="4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 January 1, 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(101,545)</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36,443</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(65,102)</w:t>
            </w: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Current-period comprehensive income (loss)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57,963</w:t>
            </w:r>
          </w:p>
        </w:tc>
        <w:tc>
          <w:tcPr>
            <w:tcW w:w="80" w:type="dxa"/>
            <w:vAlign w:val="bottom"/>
          </w:tcPr>
          <w:p>
            <w:pPr>
              <w:spacing w:after="0"/>
              <w:rPr>
                <w:sz w:val="18"/>
                <w:szCs w:val="18"/>
                <w:color w:val="auto"/>
              </w:rPr>
            </w:pP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(8,004) (4)</w:t>
            </w: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49,959</w:t>
            </w:r>
          </w:p>
        </w:tc>
      </w:tr>
      <w:tr>
        <w:trPr>
          <w:trHeight w:val="20"/>
        </w:trPr>
        <w:tc>
          <w:tcPr>
            <w:tcW w:w="5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 December 31, 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(43,582)</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28,439</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(15,143)</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660" w:hanging="328"/>
        <w:spacing w:after="0" w:line="261"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unfavorable impact from the strengthening of the U.S. dollar against foreign currencies during the year ended December 31, 2024, particularly the Euro, British Pound, and Mexican Peso.</w:t>
      </w: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unrealized losses of $(10,235) on the interest rate swaps, net of tax effect of $2,563 for the year ended December 31, 2024.</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favorable impact from the weakening of the U.S. dollar against foreign currencies during the year ended December 31, 2023, particularly the Euro, British Pound, and Mexican Peso.</w:t>
      </w: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unrealized losses of $(10,678) on the interest rate swaps, net of tax effect of $2,674 for the year ended December 31, 2023.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two reportable segments for financial reporting purposes – domestic and international. The domestic segment includes the legacy Generac business and all historical acquisitions based in the U.S. and Canada, all of which have revenues substantially derived from the U.S. and Canada. The international segment includes all historical acquisitions not based in the U.S and Canada, all of which have revenues substantially derived from outside the U.S and Canada. Both reportable segments design and manufacture a wide range of energy technology solutions and other power products. The Company has multiple operating segments, which it aggregates into the two reportable segments, based on materially similar economic characteristics, products, production processes, classes of customers, distribution methods, organizational structure, and regional considerations. Intersegment sales are at an appropriate transfer price.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product offerings consist primarily of power generation equipment, energy storage systems, energy management devices &amp; solutions, and other power products geared for varying end customer uses. While Residential products and Commercial &amp; Industrial (C&amp;I) products include similar products, they differ based on power output and end customer. The composition of net sales between residential, C&amp;I, and other products &amp; services by reportable segment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Net Sales by Segment</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6"/>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11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Product Classes</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Domestic</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18"/>
                <w:szCs w:val="18"/>
                <w:color w:val="auto"/>
              </w:rPr>
            </w:pPr>
          </w:p>
        </w:tc>
      </w:tr>
      <w:tr>
        <w:trPr>
          <w:trHeight w:val="20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products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2,352,629</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80,845</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2,433,474</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Commercial &amp; Industrial products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828,586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560,883</w:t>
            </w:r>
          </w:p>
        </w:tc>
        <w:tc>
          <w:tcPr>
            <w:tcW w:w="3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1,389,469</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417,934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54,957</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472,891</w:t>
            </w:r>
          </w:p>
        </w:tc>
      </w:tr>
      <w:tr>
        <w:trPr>
          <w:trHeight w:val="20"/>
        </w:trPr>
        <w:tc>
          <w:tcPr>
            <w:tcW w:w="50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net sales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3,599,149</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696,685</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4,295,834</w:t>
            </w:r>
          </w:p>
        </w:tc>
      </w:tr>
      <w:tr>
        <w:trPr>
          <w:trHeight w:val="20"/>
        </w:trPr>
        <w:tc>
          <w:tcPr>
            <w:tcW w:w="5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6"/>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11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Product Classes</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Domestic</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18"/>
                <w:szCs w:val="18"/>
                <w:color w:val="auto"/>
              </w:rPr>
            </w:pPr>
          </w:p>
        </w:tc>
      </w:tr>
      <w:tr>
        <w:trPr>
          <w:trHeight w:val="21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products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1,945,273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117,656</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2,062,929</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Commercial &amp; Industrial products</w:t>
            </w:r>
          </w:p>
        </w:tc>
        <w:tc>
          <w:tcPr>
            <w:tcW w:w="2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916,118</w:t>
            </w:r>
          </w:p>
        </w:tc>
        <w:tc>
          <w:tcPr>
            <w:tcW w:w="16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578,681</w:t>
            </w:r>
          </w:p>
        </w:tc>
        <w:tc>
          <w:tcPr>
            <w:tcW w:w="3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1,494,799</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414,933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50,006</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464,939</w:t>
            </w:r>
          </w:p>
        </w:tc>
      </w:tr>
      <w:tr>
        <w:trPr>
          <w:trHeight w:val="20"/>
        </w:trPr>
        <w:tc>
          <w:tcPr>
            <w:tcW w:w="50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net sales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3,276,324</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746,343</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4,022,667</w:t>
            </w:r>
          </w:p>
        </w:tc>
      </w:tr>
      <w:tr>
        <w:trPr>
          <w:trHeight w:val="20"/>
        </w:trPr>
        <w:tc>
          <w:tcPr>
            <w:tcW w:w="5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6"/>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11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Product Classes</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Domestic</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18"/>
                <w:szCs w:val="18"/>
                <w:color w:val="auto"/>
              </w:rPr>
            </w:pPr>
          </w:p>
        </w:tc>
      </w:tr>
      <w:tr>
        <w:trPr>
          <w:trHeight w:val="21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products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2,782,037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129,834</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2,911,871</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Commercial &amp; Industrial products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746,172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514,565</w:t>
            </w:r>
          </w:p>
        </w:tc>
        <w:tc>
          <w:tcPr>
            <w:tcW w:w="3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1,260,737</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339,657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52,472</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392,129</w:t>
            </w:r>
          </w:p>
        </w:tc>
      </w:tr>
      <w:tr>
        <w:trPr>
          <w:trHeight w:val="20"/>
        </w:trPr>
        <w:tc>
          <w:tcPr>
            <w:tcW w:w="50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net sales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3,867,866</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696,871</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4,564,737</w:t>
            </w:r>
          </w:p>
        </w:tc>
      </w:tr>
      <w:tr>
        <w:trPr>
          <w:trHeight w:val="20"/>
        </w:trPr>
        <w:tc>
          <w:tcPr>
            <w:tcW w:w="5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Residential products consist primarily of automatic home standby generators ranging in output from 7.5kW to 150kW, portable generators, residential energy storage systems, energy management devices &amp; solutions, and other outdoor power equipment. These products are predominantly sold through independent residential dealers, national and regional retailers, e-commerce merchants, electrical/HVAC/solar wholesalers, solar installers, and outdoor power equipment dealers. The residential products revenue consists of the sale of the product to the Company's distribution partners, who in turn sell the product to the end consumer, including installation and maintenance services. In some cases, residential products are sold directly to the end consumer. Substantially all of the residential products' revenues are transferred to the customer at a point in time.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C&amp;I products consist of larger output stationary generators used in C&amp;I applications, with power outputs up to 3,250kW. Also included in C&amp;I products are mobile generators, light towers, C&amp;I battery energy storage systems, mobile heaters, mobile pumps, and related controls for power generation equipment. These products are sold globally through industrial distributors and dealers, Engineering, Procurement, and Construction (EPC) companies, equipment rental companies, and equipment distributors. The C&amp;I products revenue consists of the sale of the product to the Company's distribution partners, who in turn sell or rent the product to the end customer, including installation and maintenance services. In some cases, C&amp;I products are sold directly to the end customer. Substantially all of the C&amp;I products' revenues are transferred to the customer at a point in time.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consists primarily of aftermarket service parts and product accessories sold to the Company's distribution partners, the amortization of extended warranty deferred revenue, remote monitoring and grid services subscription revenue, as well as certain design, build, installation, and maintenance service revenue. The aftermarket service parts and product accessories are generally transferred to the customer at a point in time, while the extended warranty and subscription revenue are recognized over the life of the contract. Other service revenue is recognized when the service is performed, sometimes after certain milestones are met.</w:t>
      </w:r>
    </w:p>
    <w:p>
      <w:pPr>
        <w:sectPr>
          <w:pgSz w:w="11900" w:h="16838" w:orient="portrait"/>
          <w:cols w:equalWidth="0" w:num="1">
            <w:col w:w="11240"/>
          </w:cols>
          <w:pgMar w:left="320" w:top="121"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views Adjusted EBITDA as a key measure of the Company's performance. The computation of Adjusted EBITDA is based primarily on the definition that is contained in the Company’s credit agreements. The Company presents Adjusted EBITDA not only due to its importance for purposes of the Company's credit agreements, but also because it assists the Company in comparing performance across reporting periods on a consistent basis as it excludes items the Company's management does not believe are indicative of the Company's core operating performance. The Company's Chief Operating Decision Maker (CODM) is Aaron Jagdfeld, President and Chief Executive Officer (CEO). He uses Adjusted EBITDA, along with the Company's management:</w:t>
      </w:r>
    </w:p>
    <w:p>
      <w:pPr>
        <w:spacing w:after="0" w:line="187" w:lineRule="exact"/>
        <w:rPr>
          <w:sz w:val="20"/>
          <w:szCs w:val="20"/>
          <w:color w:val="auto"/>
        </w:rPr>
      </w:pPr>
    </w:p>
    <w:p>
      <w:pPr>
        <w:ind w:left="680" w:hanging="321"/>
        <w:spacing w:after="0" w:line="261" w:lineRule="auto"/>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planning purposes, including the preparation of the Company's annual operating budget and developing and refining internal projections for future periods;</w:t>
      </w: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allocate resources to enhance the financial performance of the Company's business;</w:t>
      </w:r>
    </w:p>
    <w:p>
      <w:pPr>
        <w:spacing w:after="0" w:line="9" w:lineRule="exact"/>
        <w:rPr>
          <w:rFonts w:ascii="Times New Roman" w:cs="Times New Roman" w:eastAsia="Times New Roman" w:hAnsi="Times New Roman"/>
          <w:sz w:val="18"/>
          <w:szCs w:val="18"/>
          <w:color w:val="auto"/>
        </w:rPr>
      </w:pPr>
    </w:p>
    <w:p>
      <w:pPr>
        <w:ind w:left="680" w:hanging="321"/>
        <w:spacing w:after="0" w:line="250" w:lineRule="auto"/>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target for the determination of the bonus component of compensation for the Company's senior executives under the Company's management incentive plan, as described further in the Company's Proxy Statement;</w:t>
      </w:r>
    </w:p>
    <w:p>
      <w:pPr>
        <w:ind w:left="680" w:hanging="321"/>
        <w:spacing w:after="0" w:line="250" w:lineRule="auto"/>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evaluate the effectiveness of the Company's business strategies and as a supplemental tool in evaluating the Company's performance against the Company's budget for each period; and</w:t>
      </w: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communications with the Company's Board and investors concerning the Company's financial performance.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"Non-GAAP measures - Adjusted EBITDA" in Item 7 of this Annual Report on Form 10-K for more information on the Company's use of Adjusted EBITDA. The table below presents sales (external and intersegment), significant segment expenses, and Adjusted EBITDA by reportable segment, reconciled to consolidated income before provision for income taxes.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gridSpan w:val="8"/>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100" w:type="dxa"/>
            <w:vAlign w:val="bottom"/>
          </w:tcPr>
          <w:p>
            <w:pPr>
              <w:spacing w:after="0"/>
              <w:rPr>
                <w:sz w:val="16"/>
                <w:szCs w:val="16"/>
                <w:color w:val="auto"/>
              </w:rPr>
            </w:pPr>
          </w:p>
        </w:tc>
        <w:tc>
          <w:tcPr>
            <w:tcW w:w="2780" w:type="dxa"/>
            <w:vAlign w:val="bottom"/>
            <w:gridSpan w:val="8"/>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100" w:type="dxa"/>
            <w:vAlign w:val="bottom"/>
          </w:tcPr>
          <w:p>
            <w:pPr>
              <w:spacing w:after="0"/>
              <w:rPr>
                <w:sz w:val="16"/>
                <w:szCs w:val="16"/>
                <w:color w:val="auto"/>
              </w:rPr>
            </w:pPr>
          </w:p>
        </w:tc>
        <w:tc>
          <w:tcPr>
            <w:tcW w:w="2680" w:type="dxa"/>
            <w:vAlign w:val="bottom"/>
            <w:gridSpan w:val="8"/>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0" w:type="dxa"/>
            <w:vAlign w:val="bottom"/>
          </w:tcPr>
          <w:p>
            <w:pPr>
              <w:spacing w:after="0"/>
              <w:rPr>
                <w:sz w:val="1"/>
                <w:szCs w:val="1"/>
                <w:color w:val="auto"/>
              </w:rPr>
            </w:pPr>
          </w:p>
        </w:tc>
      </w:tr>
      <w:tr>
        <w:trPr>
          <w:trHeight w:val="169"/>
        </w:trPr>
        <w:tc>
          <w:tcPr>
            <w:tcW w:w="2700" w:type="dxa"/>
            <w:vAlign w:val="bottom"/>
          </w:tcPr>
          <w:p>
            <w:pPr>
              <w:spacing w:after="0"/>
              <w:rPr>
                <w:sz w:val="14"/>
                <w:szCs w:val="14"/>
                <w:color w:val="auto"/>
              </w:rPr>
            </w:pPr>
          </w:p>
        </w:tc>
        <w:tc>
          <w:tcPr>
            <w:tcW w:w="920" w:type="dxa"/>
            <w:vAlign w:val="bottom"/>
            <w:tcBorders>
              <w:top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Domestic</w:t>
            </w:r>
          </w:p>
        </w:tc>
        <w:tc>
          <w:tcPr>
            <w:tcW w:w="104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4"/>
                <w:szCs w:val="14"/>
                <w:color w:val="auto"/>
              </w:rPr>
            </w:pPr>
          </w:p>
        </w:tc>
        <w:tc>
          <w:tcPr>
            <w:tcW w:w="920" w:type="dxa"/>
            <w:vAlign w:val="bottom"/>
            <w:tcBorders>
              <w:top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Domestic</w:t>
            </w:r>
          </w:p>
        </w:tc>
        <w:tc>
          <w:tcPr>
            <w:tcW w:w="104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4"/>
                <w:szCs w:val="14"/>
                <w:color w:val="auto"/>
              </w:rPr>
            </w:pPr>
          </w:p>
        </w:tc>
        <w:tc>
          <w:tcPr>
            <w:tcW w:w="920" w:type="dxa"/>
            <w:vAlign w:val="bottom"/>
            <w:tcBorders>
              <w:top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Domestic</w:t>
            </w:r>
          </w:p>
        </w:tc>
        <w:tc>
          <w:tcPr>
            <w:tcW w:w="104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External net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3,599,149</w:t>
            </w:r>
          </w:p>
        </w:tc>
        <w:tc>
          <w:tcPr>
            <w:tcW w:w="200" w:type="dxa"/>
            <w:vAlign w:val="bottom"/>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696,685</w:t>
            </w:r>
          </w:p>
        </w:tc>
        <w:tc>
          <w:tcPr>
            <w:tcW w:w="2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4,295,834</w:t>
            </w:r>
          </w:p>
        </w:tc>
        <w:tc>
          <w:tcPr>
            <w:tcW w:w="2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3,276,324</w:t>
            </w:r>
          </w:p>
        </w:tc>
        <w:tc>
          <w:tcPr>
            <w:tcW w:w="200" w:type="dxa"/>
            <w:vAlign w:val="bottom"/>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746,343</w:t>
            </w:r>
          </w:p>
        </w:tc>
        <w:tc>
          <w:tcPr>
            <w:tcW w:w="2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4,022,667</w:t>
            </w:r>
          </w:p>
        </w:tc>
        <w:tc>
          <w:tcPr>
            <w:tcW w:w="2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3,867,866</w:t>
            </w:r>
          </w:p>
        </w:tc>
        <w:tc>
          <w:tcPr>
            <w:tcW w:w="200" w:type="dxa"/>
            <w:vAlign w:val="bottom"/>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696,871</w:t>
            </w:r>
          </w:p>
        </w:tc>
        <w:tc>
          <w:tcPr>
            <w:tcW w:w="2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4,564,737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Intersegment sales</w:t>
            </w: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35,932</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28,700</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64,632</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43,937</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91,552</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135,489</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60,731</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93,699</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154,430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sales</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3,635,081</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725,385</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4,360,466</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3,320,261</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837,895</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4,158,156</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3,928,597</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790,570</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4,719,167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Elimination of intersegment sales</w:t>
            </w:r>
          </w:p>
        </w:tc>
        <w:tc>
          <w:tcPr>
            <w:tcW w:w="12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(64,632)</w:t>
            </w:r>
          </w:p>
        </w:tc>
        <w:tc>
          <w:tcPr>
            <w:tcW w:w="10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(135,489)</w:t>
            </w:r>
          </w:p>
        </w:tc>
        <w:tc>
          <w:tcPr>
            <w:tcW w:w="10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(154,430)</w:t>
            </w:r>
          </w:p>
        </w:tc>
        <w:tc>
          <w:tcPr>
            <w:tcW w:w="0" w:type="dxa"/>
            <w:vAlign w:val="bottom"/>
          </w:tcPr>
          <w:p>
            <w:pPr>
              <w:spacing w:after="0"/>
              <w:rPr>
                <w:sz w:val="1"/>
                <w:szCs w:val="1"/>
                <w:color w:val="auto"/>
              </w:rPr>
            </w:pPr>
          </w:p>
        </w:tc>
      </w:tr>
      <w:tr>
        <w:trPr>
          <w:trHeight w:val="176"/>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Costs of goods sold</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2,155,269</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539,571</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2,694,840</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2,168,210</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624,515</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2,792,725</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2,604,124</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593,039</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3,197,163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7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Elimination of intersegment cost of goods</w:t>
            </w:r>
          </w:p>
        </w:tc>
        <w:tc>
          <w:tcPr>
            <w:tcW w:w="12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(64,632)</w:t>
            </w:r>
          </w:p>
        </w:tc>
        <w:tc>
          <w:tcPr>
            <w:tcW w:w="100" w:type="dxa"/>
            <w:vAlign w:val="bottom"/>
          </w:tcPr>
          <w:p>
            <w:pPr>
              <w:spacing w:after="0"/>
              <w:rPr>
                <w:sz w:val="10"/>
                <w:szCs w:val="10"/>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(135,489)</w:t>
            </w:r>
          </w:p>
        </w:tc>
        <w:tc>
          <w:tcPr>
            <w:tcW w:w="100" w:type="dxa"/>
            <w:vAlign w:val="bottom"/>
          </w:tcPr>
          <w:p>
            <w:pPr>
              <w:spacing w:after="0"/>
              <w:rPr>
                <w:sz w:val="10"/>
                <w:szCs w:val="10"/>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(154,430)</w:t>
            </w:r>
          </w:p>
        </w:tc>
        <w:tc>
          <w:tcPr>
            <w:tcW w:w="0" w:type="dxa"/>
            <w:vAlign w:val="bottom"/>
          </w:tcPr>
          <w:p>
            <w:pPr>
              <w:spacing w:after="0"/>
              <w:rPr>
                <w:sz w:val="1"/>
                <w:szCs w:val="1"/>
                <w:color w:val="auto"/>
              </w:rPr>
            </w:pPr>
          </w:p>
        </w:tc>
      </w:tr>
      <w:tr>
        <w:trPr>
          <w:trHeight w:val="171"/>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sold</w:t>
            </w: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991,042</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137,842</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1,128,884</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839,827</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139,405</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979,232</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833,896</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121,778</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955,674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segment items (1)</w:t>
            </w:r>
          </w:p>
        </w:tc>
        <w:tc>
          <w:tcPr>
            <w:tcW w:w="1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(204,433 )</w:t>
            </w:r>
          </w:p>
        </w:tc>
        <w:tc>
          <w:tcPr>
            <w:tcW w:w="22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(47,926 )</w:t>
            </w:r>
          </w:p>
        </w:tc>
        <w:tc>
          <w:tcPr>
            <w:tcW w:w="1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(252,359 )</w:t>
            </w:r>
          </w:p>
        </w:tc>
        <w:tc>
          <w:tcPr>
            <w:tcW w:w="10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(211,113 )</w:t>
            </w:r>
          </w:p>
        </w:tc>
        <w:tc>
          <w:tcPr>
            <w:tcW w:w="22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(40,547 )</w:t>
            </w:r>
          </w:p>
        </w:tc>
        <w:tc>
          <w:tcPr>
            <w:tcW w:w="10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(251,660 )</w:t>
            </w:r>
          </w:p>
        </w:tc>
        <w:tc>
          <w:tcPr>
            <w:tcW w:w="10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(225,725 )</w:t>
            </w:r>
          </w:p>
        </w:tc>
        <w:tc>
          <w:tcPr>
            <w:tcW w:w="22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(33,312 )</w:t>
            </w:r>
          </w:p>
        </w:tc>
        <w:tc>
          <w:tcPr>
            <w:tcW w:w="10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(259,037 )</w:t>
            </w:r>
          </w:p>
        </w:tc>
        <w:tc>
          <w:tcPr>
            <w:tcW w:w="0" w:type="dxa"/>
            <w:vAlign w:val="bottom"/>
          </w:tcPr>
          <w:p>
            <w:pPr>
              <w:spacing w:after="0"/>
              <w:rPr>
                <w:sz w:val="1"/>
                <w:szCs w:val="1"/>
                <w:color w:val="auto"/>
              </w:rPr>
            </w:pPr>
          </w:p>
        </w:tc>
      </w:tr>
      <w:tr>
        <w:trPr>
          <w:trHeight w:val="16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 by reportable segment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693,203</w:t>
            </w:r>
          </w:p>
        </w:tc>
        <w:tc>
          <w:tcPr>
            <w:tcW w:w="200" w:type="dxa"/>
            <w:vAlign w:val="bottom"/>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95,898</w:t>
            </w:r>
          </w:p>
        </w:tc>
        <w:tc>
          <w:tcPr>
            <w:tcW w:w="2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789,101</w:t>
            </w:r>
          </w:p>
        </w:tc>
        <w:tc>
          <w:tcPr>
            <w:tcW w:w="2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523,337</w:t>
            </w:r>
          </w:p>
        </w:tc>
        <w:tc>
          <w:tcPr>
            <w:tcW w:w="200" w:type="dxa"/>
            <w:vAlign w:val="bottom"/>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114,522</w:t>
            </w:r>
          </w:p>
        </w:tc>
        <w:tc>
          <w:tcPr>
            <w:tcW w:w="2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637,859</w:t>
            </w:r>
          </w:p>
        </w:tc>
        <w:tc>
          <w:tcPr>
            <w:tcW w:w="2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716,302</w:t>
            </w:r>
          </w:p>
        </w:tc>
        <w:tc>
          <w:tcPr>
            <w:tcW w:w="200" w:type="dxa"/>
            <w:vAlign w:val="bottom"/>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109,065</w:t>
            </w:r>
          </w:p>
        </w:tc>
        <w:tc>
          <w:tcPr>
            <w:tcW w:w="2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825,367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(89,713 )</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(97,627 )</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(54,826 )</w:t>
            </w:r>
          </w:p>
        </w:tc>
        <w:tc>
          <w:tcPr>
            <w:tcW w:w="0" w:type="dxa"/>
            <w:vAlign w:val="bottom"/>
          </w:tcPr>
          <w:p>
            <w:pPr>
              <w:spacing w:after="0"/>
              <w:rPr>
                <w:sz w:val="1"/>
                <w:szCs w:val="1"/>
                <w:color w:val="auto"/>
              </w:rPr>
            </w:pPr>
          </w:p>
        </w:tc>
      </w:tr>
      <w:tr>
        <w:trPr>
          <w:trHeight w:val="175"/>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(171,768 )</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(166,602 )</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(156,141 )</w:t>
            </w:r>
          </w:p>
        </w:tc>
        <w:tc>
          <w:tcPr>
            <w:tcW w:w="0" w:type="dxa"/>
            <w:vAlign w:val="bottom"/>
          </w:tcPr>
          <w:p>
            <w:pPr>
              <w:spacing w:after="0"/>
              <w:rPr>
                <w:sz w:val="1"/>
                <w:szCs w:val="1"/>
                <w:color w:val="auto"/>
              </w:rPr>
            </w:pPr>
          </w:p>
        </w:tc>
      </w:tr>
      <w:tr>
        <w:trPr>
          <w:trHeight w:val="139"/>
        </w:trPr>
        <w:tc>
          <w:tcPr>
            <w:tcW w:w="27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Non-cash write-down and other adjustments</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(4,757 )</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5,953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0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Non-cash share-based compensation</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(49,248 )</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(35,492 )</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(29,481 )</w:t>
            </w:r>
          </w:p>
        </w:tc>
        <w:tc>
          <w:tcPr>
            <w:tcW w:w="0" w:type="dxa"/>
            <w:vAlign w:val="bottom"/>
          </w:tcPr>
          <w:p>
            <w:pPr>
              <w:spacing w:after="0"/>
              <w:rPr>
                <w:sz w:val="1"/>
                <w:szCs w:val="1"/>
                <w:color w:val="auto"/>
              </w:rPr>
            </w:pPr>
          </w:p>
        </w:tc>
      </w:tr>
      <w:tr>
        <w:trPr>
          <w:trHeight w:val="185"/>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expense (3)</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Transaction costs and credit facility fees (4)</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(5,097 )</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(4,054 )</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(5,026 )</w:t>
            </w:r>
          </w:p>
        </w:tc>
        <w:tc>
          <w:tcPr>
            <w:tcW w:w="0" w:type="dxa"/>
            <w:vAlign w:val="bottom"/>
          </w:tcPr>
          <w:p>
            <w:pPr>
              <w:spacing w:after="0"/>
              <w:rPr>
                <w:sz w:val="1"/>
                <w:szCs w:val="1"/>
                <w:color w:val="auto"/>
              </w:rPr>
            </w:pPr>
          </w:p>
        </w:tc>
      </w:tr>
      <w:tr>
        <w:trPr>
          <w:trHeight w:val="175"/>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Business optimization and other charges (5)</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(4,752 )</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(10,551 )</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(4,371 )</w:t>
            </w:r>
          </w:p>
        </w:tc>
        <w:tc>
          <w:tcPr>
            <w:tcW w:w="0" w:type="dxa"/>
            <w:vAlign w:val="bottom"/>
          </w:tcPr>
          <w:p>
            <w:pPr>
              <w:spacing w:after="0"/>
              <w:rPr>
                <w:sz w:val="1"/>
                <w:szCs w:val="1"/>
                <w:color w:val="auto"/>
              </w:rPr>
            </w:pPr>
          </w:p>
        </w:tc>
      </w:tr>
      <w:tr>
        <w:trPr>
          <w:trHeight w:val="139"/>
        </w:trPr>
        <w:tc>
          <w:tcPr>
            <w:tcW w:w="27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Provision for legal, regulatory, and clean</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(10,931 )</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(38,490 )</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(65,265 )</w:t>
            </w:r>
          </w:p>
        </w:tc>
        <w:tc>
          <w:tcPr>
            <w:tcW w:w="0" w:type="dxa"/>
            <w:vAlign w:val="bottom"/>
          </w:tcPr>
          <w:p>
            <w:pPr>
              <w:spacing w:after="0"/>
              <w:rPr>
                <w:sz w:val="1"/>
                <w:szCs w:val="1"/>
                <w:color w:val="auto"/>
              </w:rPr>
            </w:pPr>
          </w:p>
        </w:tc>
      </w:tr>
      <w:tr>
        <w:trPr>
          <w:trHeight w:val="185"/>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energy product charges (6)</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investment (7)</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(38,006 )</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extinguishment of debt (8)</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(4,861 )</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(3,743 )</w:t>
            </w:r>
          </w:p>
        </w:tc>
        <w:tc>
          <w:tcPr>
            <w:tcW w:w="0" w:type="dxa"/>
            <w:vAlign w:val="bottom"/>
          </w:tcPr>
          <w:p>
            <w:pPr>
              <w:spacing w:after="0"/>
              <w:rPr>
                <w:sz w:val="1"/>
                <w:szCs w:val="1"/>
                <w:color w:val="auto"/>
              </w:rPr>
            </w:pPr>
          </w:p>
        </w:tc>
      </w:tr>
      <w:tr>
        <w:trPr>
          <w:trHeight w:val="175"/>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(530 )</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(696 )</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(139 )</w:t>
            </w:r>
          </w:p>
        </w:tc>
        <w:tc>
          <w:tcPr>
            <w:tcW w:w="0" w:type="dxa"/>
            <w:vAlign w:val="bottom"/>
          </w:tcPr>
          <w:p>
            <w:pPr>
              <w:spacing w:after="0"/>
              <w:rPr>
                <w:sz w:val="1"/>
                <w:szCs w:val="1"/>
                <w:color w:val="auto"/>
              </w:rPr>
            </w:pPr>
          </w:p>
        </w:tc>
      </w:tr>
      <w:tr>
        <w:trPr>
          <w:trHeight w:val="169"/>
        </w:trPr>
        <w:tc>
          <w:tcPr>
            <w:tcW w:w="2700" w:type="dxa"/>
            <w:vAlign w:val="bottom"/>
            <w:tcBorders>
              <w:top w:val="single" w:sz="8" w:color="CCEEFF"/>
            </w:tcBorders>
          </w:tcPr>
          <w:p>
            <w:pPr>
              <w:ind w:left="20"/>
              <w:spacing w:after="0" w:line="155" w:lineRule="exact"/>
              <w:rPr>
                <w:sz w:val="20"/>
                <w:szCs w:val="20"/>
                <w:color w:val="auto"/>
              </w:rPr>
            </w:pPr>
            <w:r>
              <w:rPr>
                <w:rFonts w:ascii="Times New Roman" w:cs="Times New Roman" w:eastAsia="Times New Roman" w:hAnsi="Times New Roman"/>
                <w:sz w:val="14"/>
                <w:szCs w:val="14"/>
                <w:color w:val="auto"/>
              </w:rPr>
              <w:t>Income before provision for income taxes</w:t>
            </w:r>
          </w:p>
        </w:tc>
        <w:tc>
          <w:tcPr>
            <w:tcW w:w="12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6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409,438</w:t>
            </w:r>
          </w:p>
        </w:tc>
        <w:tc>
          <w:tcPr>
            <w:tcW w:w="2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6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6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290,300</w:t>
            </w:r>
          </w:p>
        </w:tc>
        <w:tc>
          <w:tcPr>
            <w:tcW w:w="2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6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6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508,466</w:t>
            </w: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60" w:hanging="328"/>
        <w:spacing w:after="0" w:line="257"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primarily represent depreciation and amortization and the following items defined below: Non-cash write-down and other adjustments; Non-cash shared-based compensation expense; Transaction costs and credit facility fees; Business optimization and other charges; Provision for legal, regulatory, and clean energy product charges.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gains/(losses) on dispositions of assets other than in the ordinary course of business, gains/(losses) on sales of certain investments, unrealized mark-to-market adjustments on commodity contracts, certain foreign currency related adjustments, and certain purchase accounting and contingent consideration adjustments.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share-based compensation expense to account for stock options, restricted stock, and other stock awards over their respective vesting periods.</w:t>
      </w:r>
    </w:p>
    <w:p>
      <w:pPr>
        <w:jc w:val="both"/>
        <w:ind w:left="660" w:hanging="328"/>
        <w:spacing w:after="0" w:line="250"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transaction costs incurred directly in connection with any investment, as defined in the Company's credit agreement, equity issuance or debt issuance or refinancing, together with certain fees relating to the Company's senior secured credit facilities, such as administrative agent fees and credit facility commitment fees under the Company's Amended Credit Agreement.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severance and other restructuring charges related to the consolidation of certain operating facilities and organizational functions.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following litigation, regulatory, and other matters that are not indicative of our ongoing operations:</w:t>
      </w:r>
    </w:p>
    <w:p>
      <w:pPr>
        <w:spacing w:after="0" w:line="9" w:lineRule="exact"/>
        <w:rPr>
          <w:rFonts w:ascii="Times New Roman" w:cs="Times New Roman" w:eastAsia="Times New Roman" w:hAnsi="Times New Roman"/>
          <w:sz w:val="18"/>
          <w:szCs w:val="18"/>
          <w:color w:val="auto"/>
        </w:rPr>
      </w:pPr>
    </w:p>
    <w:p>
      <w:pPr>
        <w:ind w:left="940" w:hanging="95"/>
        <w:spacing w:after="0"/>
        <w:tabs>
          <w:tab w:leader="none" w:pos="9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for judgments, settlements, and legal expenses related to certain patent lawsuits - $9,299 in 2024; $27,289 in 2023.</w:t>
      </w:r>
    </w:p>
    <w:p>
      <w:pPr>
        <w:spacing w:after="0" w:line="9" w:lineRule="exact"/>
        <w:rPr>
          <w:rFonts w:ascii="Times New Roman" w:cs="Times New Roman" w:eastAsia="Times New Roman" w:hAnsi="Times New Roman"/>
          <w:sz w:val="18"/>
          <w:szCs w:val="18"/>
          <w:color w:val="auto"/>
        </w:rPr>
      </w:pPr>
    </w:p>
    <w:p>
      <w:pPr>
        <w:ind w:left="960" w:hanging="115"/>
        <w:spacing w:after="0"/>
        <w:tabs>
          <w:tab w:leader="none" w:pos="9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expenses related to certain class action lawsuits - $1,267 in 2024; $1,051 in 2023.</w:t>
      </w:r>
    </w:p>
    <w:p>
      <w:pPr>
        <w:spacing w:after="0" w:line="9" w:lineRule="exact"/>
        <w:rPr>
          <w:rFonts w:ascii="Times New Roman" w:cs="Times New Roman" w:eastAsia="Times New Roman" w:hAnsi="Times New Roman"/>
          <w:sz w:val="18"/>
          <w:szCs w:val="18"/>
          <w:color w:val="auto"/>
        </w:rPr>
      </w:pPr>
    </w:p>
    <w:p>
      <w:pPr>
        <w:ind w:left="800" w:firstLine="61"/>
        <w:spacing w:after="0" w:line="250" w:lineRule="auto"/>
        <w:tabs>
          <w:tab w:leader="none" w:pos="976"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bad debt provision and additional customer support costs related to a clean energy product customer that filed for bankruptcy in 2022 – $365 and $4,350 additional customer support costs in 2024 and 2023, respectively; $17,926 bad debt provision in 2022.</w:t>
      </w:r>
    </w:p>
    <w:p>
      <w:pPr>
        <w:ind w:left="940" w:hanging="95"/>
        <w:spacing w:after="0"/>
        <w:tabs>
          <w:tab w:leader="none" w:pos="9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warranty provision to address clean energy product warranty-related matters - $37,338 in 2022.</w:t>
      </w:r>
    </w:p>
    <w:p>
      <w:pPr>
        <w:spacing w:after="0" w:line="9" w:lineRule="exact"/>
        <w:rPr>
          <w:rFonts w:ascii="Times New Roman" w:cs="Times New Roman" w:eastAsia="Times New Roman" w:hAnsi="Times New Roman"/>
          <w:sz w:val="18"/>
          <w:szCs w:val="18"/>
          <w:color w:val="auto"/>
        </w:rPr>
      </w:pPr>
    </w:p>
    <w:p>
      <w:pPr>
        <w:ind w:left="800" w:firstLine="66"/>
        <w:spacing w:after="0" w:line="250" w:lineRule="auto"/>
        <w:tabs>
          <w:tab w:leader="none" w:pos="986"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for a matter with the CPSC concerning the imposition of civil fines for allegedly failing to timely submit a report under the CPSA in relation to certain portable generators that were subject to a voluntary recall previously</w:t>
      </w:r>
    </w:p>
    <w:p>
      <w:pPr>
        <w:ind w:left="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on July 29, 2021 - $5,800 in 2023 and $10,000 in 2022.</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losses from changes in the fair value of the Company's investment in Wallbox warrants and equity securities.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fees paid to creditors and the write-off of the unamortized original issue discount and deferred financing costs in connection with the 2024 and 2022 credit agreement refinancings. Refer to Note 12, “Credit Agreements,” to the consolidated financial statements of this Annual Report on Form 10-K for further information on the losses on extinguishment of debt.</w:t>
      </w:r>
    </w:p>
    <w:p>
      <w:pPr>
        <w:sectPr>
          <w:pgSz w:w="11900" w:h="16838" w:orient="portrait"/>
          <w:cols w:equalWidth="0" w:num="1">
            <w:col w:w="11240"/>
          </w:cols>
          <w:pgMar w:left="320" w:top="121" w:right="339" w:bottom="825"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825"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207"/>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0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79"/>
        </w:trPr>
        <w:tc>
          <w:tcPr>
            <w:tcW w:w="7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tables summarize additional financial information by reportable segment:</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1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3,873,904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3,770,883</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4,032,086</w:t>
            </w:r>
          </w:p>
        </w:tc>
      </w:tr>
      <w:tr>
        <w:trPr>
          <w:trHeight w:val="216"/>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1,235,427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1,322,429</w:t>
            </w:r>
          </w:p>
        </w:tc>
        <w:tc>
          <w:tcPr>
            <w:tcW w:w="1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1,137,376</w:t>
            </w:r>
          </w:p>
        </w:tc>
        <w:tc>
          <w:tcPr>
            <w:tcW w:w="100" w:type="dxa"/>
            <w:vAlign w:val="bottom"/>
          </w:tcPr>
          <w:p>
            <w:pPr>
              <w:spacing w:after="0"/>
              <w:rPr>
                <w:sz w:val="18"/>
                <w:szCs w:val="18"/>
                <w:color w:val="auto"/>
              </w:rPr>
            </w:pPr>
          </w:p>
        </w:tc>
      </w:tr>
      <w:tr>
        <w:trPr>
          <w:trHeight w:val="249"/>
        </w:trPr>
        <w:tc>
          <w:tcPr>
            <w:tcW w:w="57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5,109,331</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5,093,312</w:t>
            </w: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5,169,462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13"/>
        </w:trPr>
        <w:tc>
          <w:tcPr>
            <w:tcW w:w="12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7"/>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Depreciation and Amortization</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1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7"/>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1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135,434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129,648</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123,768</w:t>
            </w:r>
          </w:p>
        </w:tc>
      </w:tr>
      <w:tr>
        <w:trPr>
          <w:trHeight w:val="216"/>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36,334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36,954</w:t>
            </w:r>
          </w:p>
        </w:tc>
        <w:tc>
          <w:tcPr>
            <w:tcW w:w="1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32,373</w:t>
            </w:r>
          </w:p>
        </w:tc>
        <w:tc>
          <w:tcPr>
            <w:tcW w:w="100" w:type="dxa"/>
            <w:vAlign w:val="bottom"/>
          </w:tcPr>
          <w:p>
            <w:pPr>
              <w:spacing w:after="0"/>
              <w:rPr>
                <w:sz w:val="18"/>
                <w:szCs w:val="18"/>
                <w:color w:val="auto"/>
              </w:rPr>
            </w:pPr>
          </w:p>
        </w:tc>
      </w:tr>
      <w:tr>
        <w:trPr>
          <w:trHeight w:val="250"/>
        </w:trPr>
        <w:tc>
          <w:tcPr>
            <w:tcW w:w="57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171,768</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166,602</w:t>
            </w: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156,141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13"/>
        </w:trPr>
        <w:tc>
          <w:tcPr>
            <w:tcW w:w="12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Capital Expenditures</w:t>
            </w: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1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7"/>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117,836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103,036</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69,680</w:t>
            </w:r>
          </w:p>
        </w:tc>
      </w:tr>
      <w:tr>
        <w:trPr>
          <w:trHeight w:val="216"/>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26,024</w:t>
            </w:r>
          </w:p>
        </w:tc>
        <w:tc>
          <w:tcPr>
            <w:tcW w:w="1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16,508</w:t>
            </w:r>
          </w:p>
        </w:tc>
        <w:tc>
          <w:tcPr>
            <w:tcW w:w="100" w:type="dxa"/>
            <w:vAlign w:val="bottom"/>
          </w:tcPr>
          <w:p>
            <w:pPr>
              <w:spacing w:after="0"/>
              <w:rPr>
                <w:sz w:val="18"/>
                <w:szCs w:val="18"/>
                <w:color w:val="auto"/>
              </w:rPr>
            </w:pPr>
          </w:p>
        </w:tc>
      </w:tr>
      <w:tr>
        <w:trPr>
          <w:trHeight w:val="249"/>
        </w:trPr>
        <w:tc>
          <w:tcPr>
            <w:tcW w:w="57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136,733</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129,060</w:t>
            </w: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86,188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sales in the United States represent approximately 79%, 77%, and 80% of total sales for the years ended December 31, 2024, 2023 and 2022, respectively. Approximately 76% and 74% of the Company’s identifiable long-lived assets are located in the United States as of December 31, 2024 and 2023, respectively.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07"/>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  Balance Sheet Details</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consist of the following:</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611,735</w:t>
            </w:r>
          </w:p>
        </w:tc>
        <w:tc>
          <w:tcPr>
            <w:tcW w:w="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677,428</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6,814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10,877</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413,098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479,179</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9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1,031,647</w:t>
            </w:r>
          </w:p>
        </w:tc>
        <w:tc>
          <w:tcPr>
            <w:tcW w:w="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1,167,484</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Property and equipment consists of the following:</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2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improvements</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30,220</w:t>
            </w:r>
          </w:p>
        </w:tc>
        <w:tc>
          <w:tcPr>
            <w:tcW w:w="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22,556</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358,055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298,483</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296,409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271,879</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Dies and tools</w:t>
            </w: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48,681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45,998</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13,887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11,411</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&amp; information technology equipment and internal use software</w:t>
            </w: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213,003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185,601</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9,776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8,772</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110,651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98,083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property and equipment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1,080,682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942,783</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(390,659)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(344,206)</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690,023</w:t>
            </w:r>
          </w:p>
        </w:tc>
        <w:tc>
          <w:tcPr>
            <w:tcW w:w="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598,577</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49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Total property and equipment included finance leases of $61,214 and $68,079 as of December 31, 2024 and 2023, respectively, primarily comprised of buildings and improvements. Amortization of finance lease right of use assets is recorded within depreciation expense in the consolidated statements of comprehensive income. The initial measurement of new finance lease right of use assets is accounted for as a non-cash item in the consolidated statements of cash flows. Similarly, the buyout of finance lease obligations is accounted for as a non-cash exchange of the ROU asset for the underlying leased asset. In 2024, the Company purchased the property under lease from a related party previously determined to be an arm’s length transaction. Refer to Note 10, “Leases,” to the consolidated financial statements of this Annual Report on Form 10-K for further information regarding the Company’s accounting for leases under ASC 842, </w:t>
      </w:r>
      <w:r>
        <w:rPr>
          <w:rFonts w:ascii="Times New Roman" w:cs="Times New Roman" w:eastAsia="Times New Roman" w:hAnsi="Times New Roman"/>
          <w:sz w:val="18"/>
          <w:szCs w:val="18"/>
          <w:i w:val="1"/>
          <w:iCs w:val="1"/>
          <w:color w:val="auto"/>
        </w:rPr>
        <w:t>Leases.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by reportable segment for the years ended December 31, 2024 and 2023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Domestic</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5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1,016,657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384,223</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1,400,880</w:t>
            </w:r>
          </w:p>
        </w:tc>
      </w:tr>
      <w:tr>
        <w:trPr>
          <w:trHeight w:val="216"/>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Acquisitions of businesses, net</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1,376</w:t>
            </w: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5,363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6,739</w:t>
            </w:r>
          </w:p>
        </w:tc>
      </w:tr>
      <w:tr>
        <w:trPr>
          <w:trHeight w:val="216"/>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rate changes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495</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24,270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24,765</w:t>
            </w:r>
          </w:p>
        </w:tc>
      </w:tr>
      <w:tr>
        <w:trPr>
          <w:trHeight w:val="20"/>
        </w:trPr>
        <w:tc>
          <w:tcPr>
            <w:tcW w:w="440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1,018,528</w:t>
            </w: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413,856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1,432,384</w:t>
            </w:r>
          </w:p>
        </w:tc>
      </w:tr>
      <w:tr>
        <w:trPr>
          <w:trHeight w:val="216"/>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Acquisitions of businesses, net</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22,641</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22,641</w:t>
            </w:r>
          </w:p>
        </w:tc>
      </w:tr>
      <w:tr>
        <w:trPr>
          <w:trHeight w:val="216"/>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rate changes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(18,742)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(18,764)</w:t>
            </w:r>
          </w:p>
        </w:tc>
      </w:tr>
      <w:tr>
        <w:trPr>
          <w:trHeight w:val="20"/>
        </w:trPr>
        <w:tc>
          <w:tcPr>
            <w:tcW w:w="4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1,041,147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395,114</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1,436,261</w:t>
            </w:r>
          </w:p>
        </w:tc>
      </w:tr>
      <w:tr>
        <w:trPr>
          <w:trHeight w:val="20"/>
        </w:trPr>
        <w:tc>
          <w:tcPr>
            <w:tcW w:w="44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Note 3, “Acquisitions,” to the consolidated financial statements of this Annual Report on Form 10-K for further information regarding the Company’s acquisitions.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applicable to each reportable segment as of December 31, 2024 and 2023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40" w:type="dxa"/>
            <w:vAlign w:val="bottom"/>
            <w:gridSpan w:val="13"/>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00" w:type="dxa"/>
            <w:vAlign w:val="bottom"/>
            <w:gridSpan w:val="11"/>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2023</w:t>
            </w:r>
          </w:p>
        </w:tc>
        <w:tc>
          <w:tcPr>
            <w:tcW w:w="0" w:type="dxa"/>
            <w:vAlign w:val="bottom"/>
          </w:tcPr>
          <w:p>
            <w:pPr>
              <w:spacing w:after="0"/>
              <w:rPr>
                <w:sz w:val="1"/>
                <w:szCs w:val="1"/>
                <w:color w:val="auto"/>
              </w:rPr>
            </w:pPr>
          </w:p>
        </w:tc>
      </w:tr>
      <w:tr>
        <w:trPr>
          <w:trHeight w:val="191"/>
        </w:trPr>
        <w:tc>
          <w:tcPr>
            <w:tcW w:w="34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5"/>
          </w:tcPr>
          <w:p>
            <w:pPr>
              <w:jc w:val="center"/>
              <w:ind w:right="120"/>
              <w:spacing w:after="0" w:line="191" w:lineRule="exact"/>
              <w:rPr>
                <w:sz w:val="20"/>
                <w:szCs w:val="20"/>
                <w:color w:val="auto"/>
              </w:rPr>
            </w:pPr>
            <w:r>
              <w:rPr>
                <w:rFonts w:ascii="Times New Roman" w:cs="Times New Roman" w:eastAsia="Times New Roman" w:hAnsi="Times New Roman"/>
                <w:sz w:val="18"/>
                <w:szCs w:val="18"/>
                <w:color w:val="auto"/>
                <w:w w:val="99"/>
              </w:rPr>
              <w:t>Accumulated</w:t>
            </w: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5"/>
          </w:tcPr>
          <w:p>
            <w:pPr>
              <w:jc w:val="center"/>
              <w:ind w:right="200"/>
              <w:spacing w:after="0" w:line="191" w:lineRule="exact"/>
              <w:rPr>
                <w:sz w:val="20"/>
                <w:szCs w:val="20"/>
                <w:color w:val="auto"/>
              </w:rPr>
            </w:pPr>
            <w:r>
              <w:rPr>
                <w:rFonts w:ascii="Times New Roman" w:cs="Times New Roman" w:eastAsia="Times New Roman" w:hAnsi="Times New Roman"/>
                <w:sz w:val="18"/>
                <w:szCs w:val="18"/>
                <w:color w:val="auto"/>
                <w:w w:val="99"/>
              </w:rPr>
              <w:t>Accumulated</w:t>
            </w: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8"/>
                <w:szCs w:val="18"/>
                <w:color w:val="auto"/>
              </w:rPr>
              <w:t>Gross</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4"/>
          </w:tcPr>
          <w:p>
            <w:pPr>
              <w:jc w:val="center"/>
              <w:ind w:right="220"/>
              <w:spacing w:after="0"/>
              <w:rPr>
                <w:sz w:val="20"/>
                <w:szCs w:val="20"/>
                <w:color w:val="auto"/>
              </w:rPr>
            </w:pPr>
            <w:r>
              <w:rPr>
                <w:rFonts w:ascii="Times New Roman" w:cs="Times New Roman" w:eastAsia="Times New Roman" w:hAnsi="Times New Roman"/>
                <w:sz w:val="18"/>
                <w:szCs w:val="18"/>
                <w:color w:val="auto"/>
                <w:w w:val="99"/>
              </w:rPr>
              <w:t>Impairment</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Net</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Borders>
              <w:bottom w:val="single" w:sz="8" w:color="auto"/>
            </w:tcBorders>
            <w:gridSpan w:val="4"/>
          </w:tcPr>
          <w:p>
            <w:pPr>
              <w:jc w:val="right"/>
              <w:ind w:right="560"/>
              <w:spacing w:after="0"/>
              <w:rPr>
                <w:sz w:val="20"/>
                <w:szCs w:val="20"/>
                <w:color w:val="auto"/>
              </w:rPr>
            </w:pPr>
            <w:r>
              <w:rPr>
                <w:rFonts w:ascii="Times New Roman" w:cs="Times New Roman" w:eastAsia="Times New Roman" w:hAnsi="Times New Roman"/>
                <w:sz w:val="18"/>
                <w:szCs w:val="18"/>
                <w:color w:val="auto"/>
              </w:rPr>
              <w:t>Gross</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center"/>
              <w:ind w:right="340"/>
              <w:spacing w:after="0"/>
              <w:rPr>
                <w:sz w:val="20"/>
                <w:szCs w:val="20"/>
                <w:color w:val="auto"/>
              </w:rPr>
            </w:pPr>
            <w:r>
              <w:rPr>
                <w:rFonts w:ascii="Times New Roman" w:cs="Times New Roman" w:eastAsia="Times New Roman" w:hAnsi="Times New Roman"/>
                <w:sz w:val="18"/>
                <w:szCs w:val="18"/>
                <w:color w:val="auto"/>
                <w:w w:val="99"/>
              </w:rPr>
              <w:t>Impairment</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Net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4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1,544,340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(503,193)</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1,041,147</w:t>
            </w:r>
          </w:p>
        </w:tc>
        <w:tc>
          <w:tcPr>
            <w:tcW w:w="560" w:type="dxa"/>
            <w:vAlign w:val="bottom"/>
            <w:tcBorders>
              <w:left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lef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1,521,721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(503,193)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1,018,528</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399,725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(4,611)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395,114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418,467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413,856</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1,944,065</w:t>
            </w:r>
          </w:p>
        </w:tc>
        <w:tc>
          <w:tcPr>
            <w:tcW w:w="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shd w:val="clear" w:color="auto" w:fill="CCEEFF"/>
          </w:tcPr>
          <w:p>
            <w:pPr>
              <w:jc w:val="right"/>
              <w:ind w:right="40"/>
              <w:spacing w:after="0" w:line="210" w:lineRule="exact"/>
              <w:rPr>
                <w:sz w:val="20"/>
                <w:szCs w:val="20"/>
                <w:color w:val="auto"/>
              </w:rPr>
            </w:pPr>
            <w:r>
              <w:rPr>
                <w:rFonts w:ascii="Times New Roman" w:cs="Times New Roman" w:eastAsia="Times New Roman" w:hAnsi="Times New Roman"/>
                <w:sz w:val="14"/>
                <w:szCs w:val="14"/>
                <w:color w:val="auto"/>
              </w:rPr>
              <w:t>(507,804</w:t>
            </w:r>
            <w:r>
              <w:rPr>
                <w:rFonts w:ascii="Times New Roman" w:cs="Times New Roman" w:eastAsia="Times New Roman" w:hAnsi="Times New Roman"/>
                <w:sz w:val="24"/>
                <w:szCs w:val="24"/>
                <w:color w:val="auto"/>
                <w:vertAlign w:val="subscript"/>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1,436,261</w:t>
            </w:r>
          </w:p>
        </w:tc>
        <w:tc>
          <w:tcPr>
            <w:tcW w:w="560" w:type="dxa"/>
            <w:vAlign w:val="bottom"/>
            <w:tcBorders>
              <w:left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lef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1,940,188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line="210" w:lineRule="exact"/>
              <w:rPr>
                <w:sz w:val="20"/>
                <w:szCs w:val="20"/>
                <w:color w:val="auto"/>
              </w:rPr>
            </w:pPr>
            <w:r>
              <w:rPr>
                <w:rFonts w:ascii="Times New Roman" w:cs="Times New Roman" w:eastAsia="Times New Roman" w:hAnsi="Times New Roman"/>
                <w:sz w:val="14"/>
                <w:szCs w:val="14"/>
                <w:color w:val="auto"/>
              </w:rPr>
              <w:t>(507,804</w:t>
            </w:r>
            <w:r>
              <w:rPr>
                <w:rFonts w:ascii="Times New Roman" w:cs="Times New Roman" w:eastAsia="Times New Roman" w:hAnsi="Times New Roman"/>
                <w:sz w:val="24"/>
                <w:szCs w:val="24"/>
                <w:color w:val="auto"/>
                <w:vertAlign w:val="subscript"/>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1,432,384</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The following table summarizes intangible assets by major category as of December 31, 2024 and 2023:</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8"/>
                <w:szCs w:val="18"/>
                <w:color w:val="auto"/>
                <w:w w:val="97"/>
              </w:rPr>
              <w:t>Weighted</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8"/>
              </w:rPr>
              <w:t>Average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114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color w:val="auto"/>
                <w:w w:val="95"/>
              </w:rPr>
              <w:t>Amortization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Accumulated</w:t>
            </w:r>
          </w:p>
        </w:tc>
        <w:tc>
          <w:tcPr>
            <w:tcW w:w="1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7"/>
              </w:rPr>
              <w:t>Net Book</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7"/>
              </w:rPr>
              <w:t>Accumulated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Net Book</w:t>
            </w:r>
          </w:p>
        </w:tc>
        <w:tc>
          <w:tcPr>
            <w:tcW w:w="0" w:type="dxa"/>
            <w:vAlign w:val="bottom"/>
          </w:tcPr>
          <w:p>
            <w:pPr>
              <w:spacing w:after="0"/>
              <w:rPr>
                <w:sz w:val="1"/>
                <w:szCs w:val="1"/>
                <w:color w:val="auto"/>
              </w:rPr>
            </w:pPr>
          </w:p>
        </w:tc>
      </w:tr>
      <w:tr>
        <w:trPr>
          <w:trHeight w:val="234"/>
        </w:trPr>
        <w:tc>
          <w:tcPr>
            <w:tcW w:w="3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5"/>
              </w:rPr>
              <w:t>Years</w:t>
            </w:r>
          </w:p>
        </w:tc>
        <w:tc>
          <w:tcPr>
            <w:tcW w:w="200" w:type="dxa"/>
            <w:vAlign w:val="bottom"/>
          </w:tcPr>
          <w:p>
            <w:pPr>
              <w:spacing w:after="0"/>
              <w:rPr>
                <w:sz w:val="20"/>
                <w:szCs w:val="20"/>
                <w:color w:val="auto"/>
              </w:rPr>
            </w:pP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Gross</w:t>
            </w:r>
          </w:p>
        </w:tc>
        <w:tc>
          <w:tcPr>
            <w:tcW w:w="1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tcPr>
          <w:p>
            <w:pPr>
              <w:spacing w:after="0"/>
              <w:rPr>
                <w:sz w:val="20"/>
                <w:szCs w:val="20"/>
                <w:color w:val="auto"/>
              </w:rPr>
            </w:pPr>
          </w:p>
        </w:tc>
        <w:tc>
          <w:tcPr>
            <w:tcW w:w="78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Value</w:t>
            </w:r>
          </w:p>
        </w:tc>
        <w:tc>
          <w:tcPr>
            <w:tcW w:w="22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Gross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7"/>
              </w:rPr>
              <w:t>Amortization</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Value</w:t>
            </w:r>
          </w:p>
        </w:tc>
        <w:tc>
          <w:tcPr>
            <w:tcW w:w="0" w:type="dxa"/>
            <w:vAlign w:val="bottom"/>
          </w:tcPr>
          <w:p>
            <w:pPr>
              <w:spacing w:after="0"/>
              <w:rPr>
                <w:sz w:val="1"/>
                <w:szCs w:val="1"/>
                <w:color w:val="auto"/>
              </w:rPr>
            </w:pPr>
          </w:p>
        </w:tc>
      </w:tr>
      <w:tr>
        <w:trPr>
          <w:trHeight w:val="210"/>
        </w:trPr>
        <w:tc>
          <w:tcPr>
            <w:tcW w:w="34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left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Tradenames</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160,473</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(81,083)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79,390</w:t>
            </w: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159,671</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(70,997)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88,674</w:t>
            </w:r>
          </w:p>
        </w:tc>
        <w:tc>
          <w:tcPr>
            <w:tcW w:w="0" w:type="dxa"/>
            <w:vAlign w:val="bottom"/>
          </w:tcPr>
          <w:p>
            <w:pPr>
              <w:spacing w:after="0"/>
              <w:rPr>
                <w:sz w:val="1"/>
                <w:szCs w:val="1"/>
                <w:color w:val="auto"/>
              </w:rPr>
            </w:pPr>
          </w:p>
        </w:tc>
      </w:tr>
      <w:tr>
        <w:trPr>
          <w:trHeight w:val="216"/>
        </w:trPr>
        <w:tc>
          <w:tcPr>
            <w:tcW w:w="34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lists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591,745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(439,008)</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152,737</w:t>
            </w:r>
          </w:p>
        </w:tc>
        <w:tc>
          <w:tcPr>
            <w:tcW w:w="1120" w:type="dxa"/>
            <w:vAlign w:val="bottom"/>
            <w:tcBorders>
              <w:lef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589,318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(404,805)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184,513</w:t>
            </w:r>
          </w:p>
        </w:tc>
        <w:tc>
          <w:tcPr>
            <w:tcW w:w="0" w:type="dxa"/>
            <w:vAlign w:val="bottom"/>
          </w:tcPr>
          <w:p>
            <w:pPr>
              <w:spacing w:after="0"/>
              <w:rPr>
                <w:sz w:val="1"/>
                <w:szCs w:val="1"/>
                <w:color w:val="auto"/>
              </w:rPr>
            </w:pPr>
          </w:p>
        </w:tc>
      </w:tr>
      <w:tr>
        <w:trPr>
          <w:trHeight w:val="216"/>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Patents and technology</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673,425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(294,330)</w:t>
            </w:r>
          </w:p>
        </w:tc>
        <w:tc>
          <w:tcPr>
            <w:tcW w:w="1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379,095</w:t>
            </w: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670,099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(252,658)</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417,441</w:t>
            </w:r>
          </w:p>
        </w:tc>
        <w:tc>
          <w:tcPr>
            <w:tcW w:w="0" w:type="dxa"/>
            <w:vAlign w:val="bottom"/>
          </w:tcPr>
          <w:p>
            <w:pPr>
              <w:spacing w:after="0"/>
              <w:rPr>
                <w:sz w:val="1"/>
                <w:szCs w:val="1"/>
                <w:color w:val="auto"/>
              </w:rPr>
            </w:pPr>
          </w:p>
        </w:tc>
      </w:tr>
      <w:tr>
        <w:trPr>
          <w:trHeight w:val="216"/>
        </w:trPr>
        <w:tc>
          <w:tcPr>
            <w:tcW w:w="34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Software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(1,046)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lef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Non-compete/other</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76,251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(56,225)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20,026</w:t>
            </w: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71,570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(44,443)</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27,127</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$ 1,502,940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(871,692)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631,248</w:t>
            </w:r>
          </w:p>
        </w:tc>
        <w:tc>
          <w:tcPr>
            <w:tcW w:w="1120" w:type="dxa"/>
            <w:vAlign w:val="bottom"/>
            <w:tcBorders>
              <w:lef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$ 1,491,704</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(773,949)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717,755</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Indefinite-lived tradenames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127,274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127,274</w:t>
            </w: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128,321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128,321</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$ 1,630,214</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(871,692)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758,522</w:t>
            </w:r>
          </w:p>
        </w:tc>
        <w:tc>
          <w:tcPr>
            <w:tcW w:w="1120" w:type="dxa"/>
            <w:vAlign w:val="bottom"/>
            <w:tcBorders>
              <w:lef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$ 1,620,025</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(773,949)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846,076</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expense of intangible assets was $97,743, $104,194, and $103,320 in 2024, 2023 and 2022, respectively. Excluding the impact of future acquisitions or divestitures, the Company estimates amortization expense for the next five years to be as follows: 2025 - $93,975; 2026 - $87,236; 2027 - $60,387; 2028 - $53,620; 2029 - $50,234.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leases certain manufacturing facilities, distribution centers, office space, warehouses, automobiles, machinery and computer equipment globally under both finance and operating leases. The Company’s leases have remaining lease terms of up to approximately 16 years, of which certain leases, primarily within the buildings and improvements asset class, include options to extend for up to 10 additional years.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at contract inception. The Company recognizes a right of use (ROU) asset and lease liability at the lease commencement date based on the present value of the lease payments over the lease term. As the Company’s leases generally do not provide an implicit interest rate, the incremental borrowing rate is used to determine the present value of lease payments. The incremental borrowing rate is a collateralized rate determined based on the lease term, the Company’s credit rating, and other market information available at the commencement date. The ROU asset also includes any lease payments made prior to the commencement date and is reduced by any lease incentives. The lease term may include options to extend or terminate the lease when it is reasonably certain that the Company will exercise that option. Lease expense for operating leases is recognized on a straight-line basis over the lease term, while lease expense for finance leases is recognized as depreciation and interest expense using the effective interest method. The Company’s variable lease expense generally consists of property tax and insurance payments that are variable in nature, however, these amounts are immaterial to the consolidated financial statements and are therefore not separately reported.</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lease agreements with both lease and non-lease components, which it elected to account for as a single lease component. However, the Company did not elect to apply the recognition exception for short-term leases. The Company is applying these elections to all asset classes.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a lessor of certain of its C&amp;I mobile products as part of a rental fleet, as well as three of its buildings that it leases to third parties. The lease income related to these arrangements is not material to the consolidated financial statements.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records its operating lease cost and amortization of finance lease ROU assets within cost of goods sold or operating expenses in the consolidated statements of comprehensive income depending on the cost center of the underlying asset. The Company records its finance lease interest cost within interest expense in the consolidated statements of comprehensive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total lease cost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7"/>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40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8"/>
                <w:szCs w:val="18"/>
                <w:color w:val="auto"/>
              </w:rPr>
            </w:pPr>
          </w:p>
        </w:tc>
      </w:tr>
      <w:tr>
        <w:trPr>
          <w:trHeight w:val="210"/>
        </w:trPr>
        <w:tc>
          <w:tcPr>
            <w:tcW w:w="4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46,887</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38,980</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36,292</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10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7,639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4,142</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3,298</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0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2,540</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1,945</w:t>
            </w:r>
          </w:p>
        </w:tc>
      </w:tr>
      <w:tr>
        <w:trPr>
          <w:trHeight w:val="20"/>
        </w:trPr>
        <w:tc>
          <w:tcPr>
            <w:tcW w:w="40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lease cost</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59,849</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45,662</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41,535</w:t>
            </w:r>
          </w:p>
        </w:tc>
      </w:tr>
      <w:tr>
        <w:trPr>
          <w:trHeight w:val="20"/>
        </w:trPr>
        <w:tc>
          <w:tcPr>
            <w:tcW w:w="40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the Company’s leases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6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8"/>
                <w:szCs w:val="18"/>
                <w:color w:val="auto"/>
              </w:rPr>
            </w:pPr>
          </w:p>
        </w:tc>
      </w:tr>
      <w:tr>
        <w:trPr>
          <w:trHeight w:val="209"/>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ROU assets (1)</w:t>
            </w:r>
          </w:p>
        </w:tc>
        <w:tc>
          <w:tcPr>
            <w:tcW w:w="960" w:type="dxa"/>
            <w:vAlign w:val="bottom"/>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57,999</w:t>
            </w:r>
          </w:p>
        </w:tc>
        <w:tc>
          <w:tcPr>
            <w:tcW w:w="50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70,937</w:t>
            </w:r>
          </w:p>
        </w:tc>
      </w:tr>
      <w:tr>
        <w:trPr>
          <w:trHeight w:val="216"/>
        </w:trPr>
        <w:tc>
          <w:tcPr>
            <w:tcW w:w="5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 current (2)</w:t>
            </w:r>
          </w:p>
        </w:tc>
        <w:tc>
          <w:tcPr>
            <w:tcW w:w="9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29,316</w:t>
            </w:r>
          </w:p>
        </w:tc>
        <w:tc>
          <w:tcPr>
            <w:tcW w:w="5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29,388</w:t>
            </w: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 noncurrent (3)</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29,173</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44,760</w:t>
            </w:r>
          </w:p>
        </w:tc>
      </w:tr>
      <w:tr>
        <w:trPr>
          <w:trHeight w:val="20"/>
        </w:trPr>
        <w:tc>
          <w:tcPr>
            <w:tcW w:w="56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58,489</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74,148</w:t>
            </w:r>
          </w:p>
        </w:tc>
      </w:tr>
      <w:tr>
        <w:trPr>
          <w:trHeight w:val="20"/>
        </w:trPr>
        <w:tc>
          <w:tcPr>
            <w:tcW w:w="56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56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ROU assets, gross</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78,801</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82,744</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 - finance lease ROU assets</w:t>
            </w:r>
          </w:p>
        </w:tc>
        <w:tc>
          <w:tcPr>
            <w:tcW w:w="9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(17,587)</w:t>
            </w:r>
          </w:p>
        </w:tc>
        <w:tc>
          <w:tcPr>
            <w:tcW w:w="5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(14,665)</w:t>
            </w:r>
          </w:p>
        </w:tc>
      </w:tr>
      <w:tr>
        <w:trPr>
          <w:trHeight w:val="20"/>
        </w:trPr>
        <w:tc>
          <w:tcPr>
            <w:tcW w:w="56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9"/>
        </w:trPr>
        <w:tc>
          <w:tcPr>
            <w:tcW w:w="5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Finance lease ROU assets, net (4)</w:t>
            </w:r>
          </w:p>
        </w:tc>
        <w:tc>
          <w:tcPr>
            <w:tcW w:w="9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61,214</w:t>
            </w:r>
          </w:p>
        </w:tc>
        <w:tc>
          <w:tcPr>
            <w:tcW w:w="1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68,079</w:t>
            </w:r>
          </w:p>
        </w:tc>
      </w:tr>
      <w:tr>
        <w:trPr>
          <w:trHeight w:val="196"/>
        </w:trPr>
        <w:tc>
          <w:tcPr>
            <w:tcW w:w="568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liabilities - current (5)</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6,845</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3,785</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liabilities - noncurrent (6)</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59,510</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67,523</w:t>
            </w:r>
          </w:p>
        </w:tc>
      </w:tr>
      <w:tr>
        <w:trPr>
          <w:trHeight w:val="20"/>
        </w:trPr>
        <w:tc>
          <w:tcPr>
            <w:tcW w:w="56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5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96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66,355</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71,308</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in the operating lease and other assets line within the consolidated balance sheets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in the other accrued liabilities line within the consolidated balance sheets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in the operating lease and other long-term liabilities line within the consolidated balance sheets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in the property and equipment, net line within the consolidated balance sheets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in the current portion of long-term borrowings and finance lease obligations line within the consolidated balance sheets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in the long-term borrowings and finance lease obligations line within the consolidated balance sheets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the Company’s leases is as follows:</w:t>
      </w:r>
    </w:p>
    <w:p>
      <w:pPr>
        <w:sectPr>
          <w:pgSz w:w="11900" w:h="16838" w:orient="portrait"/>
          <w:cols w:equalWidth="0" w:num="1">
            <w:col w:w="11240"/>
          </w:cols>
          <w:pgMar w:left="320" w:top="121" w:right="339" w:bottom="717"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717" w:gutter="0" w:footer="0" w:header="0"/>
          <w:type w:val="continuous"/>
        </w:sectPr>
      </w:pPr>
    </w:p>
    <w:bookmarkStart w:id="72" w:name="page73"/>
    <w:bookmarkEnd w:id="72"/>
    <w:tbl>
      <w:tblPr>
        <w:tblLayout w:type="fixed"/>
        <w:tblInd w:w="0" w:type="dxa"/>
        <w:tblCellMar>
          <w:top w:w="0" w:type="dxa"/>
          <w:left w:w="0" w:type="dxa"/>
          <w:bottom w:w="0" w:type="dxa"/>
          <w:right w:w="0" w:type="dxa"/>
        </w:tblCellMar>
      </w:tblPr>
      <w:tr>
        <w:trPr>
          <w:trHeight w:val="207"/>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79"/>
        </w:trPr>
        <w:tc>
          <w:tcPr>
            <w:tcW w:w="1280" w:type="dxa"/>
            <w:vAlign w:val="bottom"/>
            <w:tcBorders>
              <w:top w:val="single" w:sz="8" w:color="0000EE"/>
            </w:tcBorders>
          </w:tcPr>
          <w:p>
            <w:pPr>
              <w:spacing w:after="0"/>
              <w:rPr>
                <w:sz w:val="24"/>
                <w:szCs w:val="24"/>
                <w:color w:val="auto"/>
              </w:rPr>
            </w:pPr>
          </w:p>
        </w:tc>
        <w:tc>
          <w:tcPr>
            <w:tcW w:w="4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12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cash flows - operating leases</w:t>
            </w:r>
          </w:p>
        </w:tc>
        <w:tc>
          <w:tcPr>
            <w:tcW w:w="128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48,089</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39,073</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36,020</w:t>
            </w:r>
          </w:p>
        </w:tc>
      </w:tr>
      <w:tr>
        <w:trPr>
          <w:trHeight w:val="216"/>
        </w:trPr>
        <w:tc>
          <w:tcPr>
            <w:tcW w:w="5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cash flows - finance leases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4,924</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1,919</w:t>
            </w:r>
          </w:p>
        </w:tc>
      </w:tr>
      <w:tr>
        <w:trPr>
          <w:trHeight w:val="216"/>
        </w:trPr>
        <w:tc>
          <w:tcPr>
            <w:tcW w:w="5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Financing cash flows - finance leases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45,906</w:t>
            </w: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4,931</w:t>
            </w:r>
          </w:p>
        </w:tc>
      </w:tr>
      <w:tr>
        <w:trPr>
          <w:trHeight w:val="216"/>
        </w:trPr>
        <w:tc>
          <w:tcPr>
            <w:tcW w:w="12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ROU assets obtained in exchange for lease liabilities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128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41,389</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17,830</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28,766</w:t>
            </w:r>
          </w:p>
        </w:tc>
      </w:tr>
      <w:tr>
        <w:trPr>
          <w:trHeight w:val="234"/>
        </w:trPr>
        <w:tc>
          <w:tcPr>
            <w:tcW w:w="5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43,799</w:t>
            </w:r>
          </w:p>
        </w:tc>
        <w:tc>
          <w:tcPr>
            <w:tcW w:w="32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47,715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2,874</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remaining lease term and discount rate information related to the Company’s leases as of December 31, 2024 and 2023 is as follows:</w:t>
      </w:r>
    </w:p>
    <w:p>
      <w:pPr>
        <w:spacing w:after="0" w:line="2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4.27</w:t>
            </w:r>
          </w:p>
        </w:tc>
        <w:tc>
          <w:tcPr>
            <w:tcW w:w="1680" w:type="dxa"/>
            <w:vAlign w:val="bottom"/>
            <w:gridSpan w:val="4"/>
          </w:tcPr>
          <w:p>
            <w:pPr>
              <w:ind w:left="1200"/>
              <w:spacing w:after="0"/>
              <w:rPr>
                <w:sz w:val="20"/>
                <w:szCs w:val="20"/>
                <w:color w:val="auto"/>
              </w:rPr>
            </w:pPr>
            <w:r>
              <w:rPr>
                <w:rFonts w:ascii="Times New Roman" w:cs="Times New Roman" w:eastAsia="Times New Roman" w:hAnsi="Times New Roman"/>
                <w:sz w:val="18"/>
                <w:szCs w:val="18"/>
                <w:color w:val="auto"/>
              </w:rPr>
              <w:t>4.55</w:t>
            </w:r>
          </w:p>
        </w:tc>
        <w:tc>
          <w:tcPr>
            <w:tcW w:w="1680" w:type="dxa"/>
            <w:vAlign w:val="bottom"/>
          </w:tcPr>
          <w:p>
            <w:pPr>
              <w:spacing w:after="0"/>
              <w:rPr>
                <w:sz w:val="18"/>
                <w:szCs w:val="18"/>
                <w:color w:val="auto"/>
              </w:rPr>
            </w:pPr>
          </w:p>
        </w:tc>
      </w:tr>
      <w:tr>
        <w:trPr>
          <w:trHeight w:val="216"/>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8.92</w:t>
            </w:r>
          </w:p>
        </w:tc>
        <w:tc>
          <w:tcPr>
            <w:tcW w:w="1680" w:type="dxa"/>
            <w:vAlign w:val="bottom"/>
            <w:gridSpan w:val="4"/>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5.34</w:t>
            </w:r>
          </w:p>
        </w:tc>
        <w:tc>
          <w:tcPr>
            <w:tcW w:w="1680" w:type="dxa"/>
            <w:vAlign w:val="bottom"/>
          </w:tcPr>
          <w:p>
            <w:pPr>
              <w:spacing w:after="0"/>
              <w:rPr>
                <w:sz w:val="18"/>
                <w:szCs w:val="18"/>
                <w:color w:val="auto"/>
              </w:rPr>
            </w:pPr>
          </w:p>
        </w:tc>
      </w:tr>
      <w:tr>
        <w:trPr>
          <w:trHeight w:val="216"/>
        </w:trPr>
        <w:tc>
          <w:tcPr>
            <w:tcW w:w="4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6.03%</w:t>
            </w:r>
          </w:p>
        </w:tc>
        <w:tc>
          <w:tcPr>
            <w:tcW w:w="1680" w:type="dxa"/>
            <w:vAlign w:val="bottom"/>
            <w:gridSpan w:val="4"/>
          </w:tcPr>
          <w:p>
            <w:pPr>
              <w:ind w:left="1200"/>
              <w:spacing w:after="0"/>
              <w:rPr>
                <w:sz w:val="20"/>
                <w:szCs w:val="20"/>
                <w:color w:val="auto"/>
              </w:rPr>
            </w:pPr>
            <w:r>
              <w:rPr>
                <w:rFonts w:ascii="Times New Roman" w:cs="Times New Roman" w:eastAsia="Times New Roman" w:hAnsi="Times New Roman"/>
                <w:sz w:val="18"/>
                <w:szCs w:val="18"/>
                <w:color w:val="auto"/>
                <w:w w:val="98"/>
              </w:rPr>
              <w:t>4.63%</w:t>
            </w:r>
          </w:p>
        </w:tc>
        <w:tc>
          <w:tcPr>
            <w:tcW w:w="1680" w:type="dxa"/>
            <w:vAlign w:val="bottom"/>
          </w:tcPr>
          <w:p>
            <w:pPr>
              <w:spacing w:after="0"/>
              <w:rPr>
                <w:sz w:val="18"/>
                <w:szCs w:val="18"/>
                <w:color w:val="auto"/>
              </w:rPr>
            </w:pPr>
          </w:p>
        </w:tc>
      </w:tr>
      <w:tr>
        <w:trPr>
          <w:trHeight w:val="216"/>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7.03%</w:t>
            </w:r>
          </w:p>
        </w:tc>
        <w:tc>
          <w:tcPr>
            <w:tcW w:w="1680" w:type="dxa"/>
            <w:vAlign w:val="bottom"/>
            <w:gridSpan w:val="4"/>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w w:val="98"/>
              </w:rPr>
              <w:t>6.64%</w:t>
            </w:r>
          </w:p>
        </w:tc>
        <w:tc>
          <w:tcPr>
            <w:tcW w:w="1680" w:type="dxa"/>
            <w:vAlign w:val="bottom"/>
          </w:tcPr>
          <w:p>
            <w:pPr>
              <w:spacing w:after="0"/>
              <w:rPr>
                <w:sz w:val="18"/>
                <w:szCs w:val="18"/>
                <w:color w:val="auto"/>
              </w:rPr>
            </w:pPr>
          </w:p>
        </w:tc>
      </w:tr>
      <w:tr>
        <w:trPr>
          <w:trHeight w:val="432"/>
        </w:trPr>
        <w:tc>
          <w:tcPr>
            <w:tcW w:w="73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maturities of the Company’s lease liabilities as of December 31, 2024, are as follows: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32"/>
        </w:trPr>
        <w:tc>
          <w:tcPr>
            <w:tcW w:w="4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660" w:type="dxa"/>
            <w:vAlign w:val="bottom"/>
            <w:gridSpan w:val="3"/>
          </w:tcPr>
          <w:p>
            <w:pPr>
              <w:spacing w:after="0"/>
              <w:rPr>
                <w:sz w:val="24"/>
                <w:szCs w:val="24"/>
                <w:color w:val="auto"/>
              </w:rPr>
            </w:pPr>
          </w:p>
        </w:tc>
        <w:tc>
          <w:tcPr>
            <w:tcW w:w="1680" w:type="dxa"/>
            <w:vAlign w:val="bottom"/>
          </w:tcPr>
          <w:p>
            <w:pPr>
              <w:spacing w:after="0"/>
              <w:rPr>
                <w:sz w:val="24"/>
                <w:szCs w:val="24"/>
                <w:color w:val="auto"/>
              </w:rPr>
            </w:pPr>
          </w:p>
        </w:tc>
      </w:tr>
      <w:tr>
        <w:trPr>
          <w:trHeight w:val="21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11,118</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31,427</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10,395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7,963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10,156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7,205</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9,593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5,712</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8,327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4,035</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After 2029</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41,520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11,211</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
        </w:trPr>
        <w:tc>
          <w:tcPr>
            <w:tcW w:w="4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09"/>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91,109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67,553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Interest component</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(24,754)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(9,064)</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
        </w:trPr>
        <w:tc>
          <w:tcPr>
            <w:tcW w:w="4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29"/>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Present value of minimum lease payments</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66,355</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58,489</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0"/>
        </w:trPr>
        <w:tc>
          <w:tcPr>
            <w:tcW w:w="45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13"/>
        </w:trPr>
        <w:tc>
          <w:tcPr>
            <w:tcW w:w="4560" w:type="dxa"/>
            <w:vAlign w:val="bottom"/>
          </w:tcPr>
          <w:p>
            <w:pPr>
              <w:spacing w:after="0"/>
              <w:rPr>
                <w:sz w:val="24"/>
                <w:szCs w:val="24"/>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45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Product Warranty Obligations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records a liability for standard product warranty obligations accounted for as assurance warranties at the time of sale of the related product to a customer based on historical warranty experience. The Company also records a liability for specific warranty matters when they become known and are reasonably estimable. The following is a tabular reconciliation of the Company’s standard product warranty liability accounted for as an assurance warranty: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beginning of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for warranty issued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estimates for pre-existing warranties (1)</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end of period</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18"/>
                <w:szCs w:val="18"/>
                <w:color w:val="auto"/>
              </w:rPr>
            </w:pPr>
          </w:p>
        </w:tc>
      </w:tr>
      <w:tr>
        <w:trPr>
          <w:trHeight w:val="191"/>
        </w:trPr>
        <w:tc>
          <w:tcPr>
            <w:tcW w:w="20" w:type="dxa"/>
            <w:vAlign w:val="bottom"/>
          </w:tcPr>
          <w:p>
            <w:pPr>
              <w:spacing w:after="0"/>
              <w:rPr>
                <w:sz w:val="16"/>
                <w:szCs w:val="16"/>
                <w:color w:val="auto"/>
              </w:rPr>
            </w:pPr>
          </w:p>
        </w:tc>
        <w:tc>
          <w:tcPr>
            <w:tcW w:w="320" w:type="dxa"/>
            <w:vAlign w:val="bottom"/>
          </w:tcPr>
          <w:p>
            <w:pPr>
              <w:jc w:val="right"/>
              <w:ind w:right="15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116,408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jc w:val="right"/>
              <w:ind w:right="15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138,011</w:t>
            </w:r>
          </w:p>
        </w:tc>
        <w:tc>
          <w:tcPr>
            <w:tcW w:w="220" w:type="dxa"/>
            <w:vAlign w:val="bottom"/>
          </w:tcPr>
          <w:p>
            <w:pPr>
              <w:spacing w:after="0"/>
              <w:rPr>
                <w:sz w:val="16"/>
                <w:szCs w:val="16"/>
                <w:color w:val="auto"/>
              </w:rPr>
            </w:pPr>
          </w:p>
        </w:tc>
        <w:tc>
          <w:tcPr>
            <w:tcW w:w="320" w:type="dxa"/>
            <w:vAlign w:val="bottom"/>
          </w:tcPr>
          <w:p>
            <w:pPr>
              <w:jc w:val="right"/>
              <w:ind w:right="15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94,213</w:t>
            </w:r>
          </w:p>
        </w:tc>
        <w:tc>
          <w:tcPr>
            <w:tcW w:w="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(88,990)</w:t>
            </w:r>
          </w:p>
        </w:tc>
        <w:tc>
          <w:tcPr>
            <w:tcW w:w="3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(92,200)</w:t>
            </w:r>
          </w:p>
        </w:tc>
        <w:tc>
          <w:tcPr>
            <w:tcW w:w="3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(77,476)</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77,802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67,104</w:t>
            </w:r>
          </w:p>
        </w:tc>
        <w:tc>
          <w:tcPr>
            <w:tcW w:w="3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80,340</w:t>
            </w: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5,767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3,493</w:t>
            </w:r>
          </w:p>
        </w:tc>
        <w:tc>
          <w:tcPr>
            <w:tcW w:w="32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40,934</w:t>
            </w:r>
          </w:p>
        </w:tc>
      </w:tr>
      <w:tr>
        <w:trPr>
          <w:trHeight w:val="210"/>
        </w:trPr>
        <w:tc>
          <w:tcPr>
            <w:tcW w:w="2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110,987</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116,408</w:t>
            </w: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138,011</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-719455</wp:posOffset>
            </wp:positionV>
            <wp:extent cx="6772275"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-445135</wp:posOffset>
            </wp:positionV>
            <wp:extent cx="6772275"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-161925</wp:posOffset>
            </wp:positionV>
            <wp:extent cx="6772275" cy="1625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72275" cy="1625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940" w:space="720"/>
            <w:col w:w="5580"/>
          </w:cols>
          <w:pgMar w:left="320" w:top="121" w:right="339" w:bottom="1440" w:gutter="0" w:footer="0" w:header="0"/>
          <w:type w:val="continuous"/>
        </w:sectPr>
      </w:pPr>
    </w:p>
    <w:p>
      <w:pPr>
        <w:ind w:left="340" w:right="20" w:hanging="332"/>
        <w:spacing w:after="0" w:line="282"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specific warranty provision of $37,338 recorded during the third quarter of 2022 to address certain clean energy product warranty related matters.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also sells extended warranty coverage for certain products, which it accounts for as a service warranty. The sales of extended warranties are recorded as deferred revenue, and typically have a duration of five to ten years. The deferred revenue related to extended warranty coverage is amortized over the duration of the extended warranty contract period, following the standard warranty period, using the straight-line method. The Company believes the straight-line method is appropriate because the performance obligation is satisfied based on the passage of time. The amortization of deferred revenue is recorded to net sales in the consolidated statements of comprehensive income. The following is a tabular reconciliation of the deferred revenue related to extended warranty coverage: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7"/>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6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155,870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132,813</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111,647</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contracts issued</w:t>
            </w: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60,651</w:t>
            </w: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48,107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42,869</w:t>
            </w: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deferred revenue contracts</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(29,599)</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(21,703)</w:t>
            </w:r>
          </w:p>
        </w:tc>
      </w:tr>
      <w:tr>
        <w:trPr>
          <w:trHeight w:val="20"/>
        </w:trPr>
        <w:tc>
          <w:tcPr>
            <w:tcW w:w="56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186,922</w:t>
            </w:r>
          </w:p>
        </w:tc>
        <w:tc>
          <w:tcPr>
            <w:tcW w:w="22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155,870</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132,813</w:t>
            </w:r>
          </w:p>
        </w:tc>
      </w:tr>
      <w:tr>
        <w:trPr>
          <w:trHeight w:val="20"/>
        </w:trPr>
        <w:tc>
          <w:tcPr>
            <w:tcW w:w="56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timing of recognition of the Company’s deferred revenue balance related to extended warranties as of December 31, 2024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34,069</w:t>
            </w: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35,267</w:t>
            </w: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32,315</w:t>
            </w: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25,822</w:t>
            </w: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19,897</w:t>
            </w: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After 2029</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39,552</w:t>
            </w:r>
          </w:p>
        </w:tc>
      </w:tr>
      <w:tr>
        <w:trPr>
          <w:trHeight w:val="20"/>
        </w:trPr>
        <w:tc>
          <w:tcPr>
            <w:tcW w:w="7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186,922</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 post-sale extended warranty marketing agreement with a third party, pursuant to which the Company is required to pay fees to the third-party service provider based on the number of extended warranty contracts the provider sells, which it classifies as costs to obtain a contract. These fees are deferred and recorded as other assets in the consolidated balance sheets, and are then amortized to net sales in the consolidated statements of comprehensive income over the same period that the underlying deferred revenue is recognized. Deferred contract costs as of December 31, 2024 and 2023 were $17,140 and $10,153, respectively. Amortization of deferred contract costs recorded during the years ended December 31, 2024, 2023 and 2022 was $2,958, $2,306, and $1,932,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Standard product warranty obligations and extended warranty related deferred revenues are included in the consolidated balance sheets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67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8"/>
                <w:szCs w:val="18"/>
                <w:color w:val="auto"/>
              </w:rPr>
            </w:pPr>
          </w:p>
        </w:tc>
      </w:tr>
      <w:tr>
        <w:trPr>
          <w:trHeight w:val="21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warranty liability:</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 Accrued product warranty</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56,127</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65,298</w:t>
            </w:r>
          </w:p>
        </w:tc>
      </w:tr>
      <w:tr>
        <w:trPr>
          <w:trHeight w:val="216"/>
        </w:trPr>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portion - other long-term liabilities</w:t>
            </w:r>
          </w:p>
        </w:tc>
        <w:tc>
          <w:tcPr>
            <w:tcW w:w="9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54,860</w:t>
            </w:r>
          </w:p>
        </w:tc>
        <w:tc>
          <w:tcPr>
            <w:tcW w:w="2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51,110</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110,987</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116,408</w:t>
            </w:r>
          </w:p>
        </w:tc>
      </w:tr>
      <w:tr>
        <w:trPr>
          <w:trHeight w:val="20"/>
        </w:trPr>
        <w:tc>
          <w:tcPr>
            <w:tcW w:w="67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67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related to extended warranties:</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 other accrued liabilities</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34,069</w:t>
            </w: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28,203</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Long-term portion - Deferred revenue</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152,853</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127,667</w:t>
            </w:r>
          </w:p>
        </w:tc>
        <w:tc>
          <w:tcPr>
            <w:tcW w:w="80" w:type="dxa"/>
            <w:vAlign w:val="bottom"/>
          </w:tcPr>
          <w:p>
            <w:pPr>
              <w:spacing w:after="0"/>
              <w:rPr>
                <w:sz w:val="18"/>
                <w:szCs w:val="18"/>
                <w:color w:val="auto"/>
              </w:rPr>
            </w:pPr>
          </w:p>
        </w:tc>
      </w:tr>
      <w:tr>
        <w:trPr>
          <w:trHeight w:val="249"/>
        </w:trPr>
        <w:tc>
          <w:tcPr>
            <w:tcW w:w="67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186,922</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155,870</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Credit Agreements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Short-term borrowings included in the consolidated balance sheets as of December 31, 2024, and December 31, 2023, consisted of borrowings by the Company’s foreign subsidiaries on local lines of credit totaling $55,848 and $81,769, respectively. As of December 31, 2024, and December 31, 2023, the weighted-average interest rates on the short-term borrowings were 5.44% and 6.54%, respectively.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Long-term borrowings are included in the consolidated balance sheets as follows: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8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68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8"/>
                <w:szCs w:val="18"/>
                <w:color w:val="auto"/>
              </w:rPr>
            </w:pPr>
          </w:p>
        </w:tc>
      </w:tr>
      <w:tr>
        <w:trPr>
          <w:trHeight w:val="209"/>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Tranche A Term Loan</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712,500</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745,313</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Tranche B Term Loan</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498,750</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530,000</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Original issue discount and deferred financing costs</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(8,203)</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(12,685)</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Revolving Facility</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150,000</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obligation</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66,355</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71,308</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8,972</w:t>
            </w:r>
          </w:p>
        </w:tc>
        <w:tc>
          <w:tcPr>
            <w:tcW w:w="2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9,512</w:t>
            </w:r>
          </w:p>
        </w:tc>
        <w:tc>
          <w:tcPr>
            <w:tcW w:w="80" w:type="dxa"/>
            <w:vAlign w:val="bottom"/>
          </w:tcPr>
          <w:p>
            <w:pPr>
              <w:spacing w:after="0"/>
              <w:rPr>
                <w:sz w:val="18"/>
                <w:szCs w:val="18"/>
                <w:color w:val="auto"/>
              </w:rPr>
            </w:pPr>
          </w:p>
        </w:tc>
      </w:tr>
      <w:tr>
        <w:trPr>
          <w:trHeight w:val="209"/>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1,278,374</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1,493,448</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debt</w:t>
            </w:r>
          </w:p>
        </w:tc>
        <w:tc>
          <w:tcPr>
            <w:tcW w:w="3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60,753</w:t>
            </w:r>
          </w:p>
        </w:tc>
        <w:tc>
          <w:tcPr>
            <w:tcW w:w="5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42,110</w:t>
            </w:r>
          </w:p>
        </w:tc>
      </w:tr>
      <w:tr>
        <w:trPr>
          <w:trHeight w:val="216"/>
        </w:trPr>
        <w:tc>
          <w:tcPr>
            <w:tcW w:w="6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finance lease obligation</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6,845</w:t>
            </w:r>
          </w:p>
        </w:tc>
        <w:tc>
          <w:tcPr>
            <w:tcW w:w="2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long-term borrowings and finance lease obligations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1,210,776</w:t>
            </w:r>
          </w:p>
        </w:tc>
        <w:tc>
          <w:tcPr>
            <w:tcW w:w="200" w:type="dxa"/>
            <w:vAlign w:val="bottom"/>
          </w:tcPr>
          <w:p>
            <w:pPr>
              <w:spacing w:after="0"/>
              <w:rPr>
                <w:sz w:val="18"/>
                <w:szCs w:val="18"/>
                <w:color w:val="auto"/>
              </w:rPr>
            </w:pPr>
          </w:p>
        </w:tc>
        <w:tc>
          <w:tcPr>
            <w:tcW w:w="50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1,447,553</w:t>
            </w:r>
          </w:p>
        </w:tc>
      </w:tr>
      <w:tr>
        <w:trPr>
          <w:trHeight w:val="20"/>
        </w:trPr>
        <w:tc>
          <w:tcPr>
            <w:tcW w:w="68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Both the Tranche A Term Loan Facility and Revolving Facility mature on June 29, 2027. The Tranche A Term Loan Facility is repayable in quarterly installments commencing September 2023, with a balloon payment due June 2027. The Tranche B Term Loan Facility matures on July 3, 2031, and is repayable in quarterly installments commencing September 2024, with a balloon payment due July 2031. Maturities of the Company's Tranche A Term Loan Facility, Tranche B Term Loan Facility, and Revolving Facility outstanding on December 31, 2024, before considering original issue discount and deferred financing costs,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Tranche B</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Tranche A Term</w:t>
            </w:r>
          </w:p>
        </w:tc>
        <w:tc>
          <w:tcPr>
            <w:tcW w:w="14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Term Loan</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Revolving</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38"/>
        </w:trPr>
        <w:tc>
          <w:tcPr>
            <w:tcW w:w="3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Loan Facility</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Facility</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Facility</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210"/>
        </w:trPr>
        <w:tc>
          <w:tcPr>
            <w:tcW w:w="3240" w:type="dxa"/>
            <w:vAlign w:val="bottom"/>
            <w:shd w:val="clear" w:color="auto" w:fill="CCEEFF"/>
          </w:tcPr>
          <w:p>
            <w:pPr>
              <w:jc w:val="right"/>
              <w:ind w:right="2790"/>
              <w:spacing w:after="0"/>
              <w:rPr>
                <w:sz w:val="20"/>
                <w:szCs w:val="20"/>
                <w:color w:val="auto"/>
              </w:rPr>
            </w:pPr>
            <w:r>
              <w:rPr>
                <w:rFonts w:ascii="Times New Roman" w:cs="Times New Roman" w:eastAsia="Times New Roman" w:hAnsi="Times New Roman"/>
                <w:sz w:val="18"/>
                <w:szCs w:val="18"/>
                <w:color w:val="auto"/>
                <w:w w:val="94"/>
              </w:rPr>
              <w:t>2025</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46,875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51,875</w:t>
            </w:r>
          </w:p>
        </w:tc>
        <w:tc>
          <w:tcPr>
            <w:tcW w:w="2260" w:type="dxa"/>
            <w:vAlign w:val="bottom"/>
          </w:tcPr>
          <w:p>
            <w:pPr>
              <w:spacing w:after="0"/>
              <w:rPr>
                <w:sz w:val="18"/>
                <w:szCs w:val="18"/>
                <w:color w:val="auto"/>
              </w:rPr>
            </w:pPr>
          </w:p>
        </w:tc>
      </w:tr>
      <w:tr>
        <w:trPr>
          <w:trHeight w:val="216"/>
        </w:trPr>
        <w:tc>
          <w:tcPr>
            <w:tcW w:w="3240" w:type="dxa"/>
            <w:vAlign w:val="bottom"/>
          </w:tcPr>
          <w:p>
            <w:pPr>
              <w:jc w:val="right"/>
              <w:ind w:right="2790"/>
              <w:spacing w:after="0"/>
              <w:rPr>
                <w:sz w:val="20"/>
                <w:szCs w:val="20"/>
                <w:color w:val="auto"/>
              </w:rPr>
            </w:pPr>
            <w:r>
              <w:rPr>
                <w:rFonts w:ascii="Times New Roman" w:cs="Times New Roman" w:eastAsia="Times New Roman" w:hAnsi="Times New Roman"/>
                <w:sz w:val="18"/>
                <w:szCs w:val="18"/>
                <w:color w:val="auto"/>
                <w:w w:val="94"/>
              </w:rPr>
              <w:t>2026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65,625</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70,625</w:t>
            </w:r>
          </w:p>
        </w:tc>
        <w:tc>
          <w:tcPr>
            <w:tcW w:w="2260" w:type="dxa"/>
            <w:vAlign w:val="bottom"/>
          </w:tcPr>
          <w:p>
            <w:pPr>
              <w:spacing w:after="0"/>
              <w:rPr>
                <w:sz w:val="18"/>
                <w:szCs w:val="18"/>
                <w:color w:val="auto"/>
              </w:rPr>
            </w:pPr>
          </w:p>
        </w:tc>
      </w:tr>
      <w:tr>
        <w:trPr>
          <w:trHeight w:val="216"/>
        </w:trPr>
        <w:tc>
          <w:tcPr>
            <w:tcW w:w="3240" w:type="dxa"/>
            <w:vAlign w:val="bottom"/>
            <w:shd w:val="clear" w:color="auto" w:fill="CCEEFF"/>
          </w:tcPr>
          <w:p>
            <w:pPr>
              <w:jc w:val="right"/>
              <w:ind w:right="2790"/>
              <w:spacing w:after="0"/>
              <w:rPr>
                <w:sz w:val="20"/>
                <w:szCs w:val="20"/>
                <w:color w:val="auto"/>
              </w:rPr>
            </w:pPr>
            <w:r>
              <w:rPr>
                <w:rFonts w:ascii="Times New Roman" w:cs="Times New Roman" w:eastAsia="Times New Roman" w:hAnsi="Times New Roman"/>
                <w:sz w:val="18"/>
                <w:szCs w:val="18"/>
                <w:color w:val="auto"/>
                <w:w w:val="94"/>
              </w:rPr>
              <w:t>2027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600,000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605,000</w:t>
            </w:r>
          </w:p>
        </w:tc>
        <w:tc>
          <w:tcPr>
            <w:tcW w:w="2260" w:type="dxa"/>
            <w:vAlign w:val="bottom"/>
          </w:tcPr>
          <w:p>
            <w:pPr>
              <w:spacing w:after="0"/>
              <w:rPr>
                <w:sz w:val="18"/>
                <w:szCs w:val="18"/>
                <w:color w:val="auto"/>
              </w:rPr>
            </w:pPr>
          </w:p>
        </w:tc>
      </w:tr>
      <w:tr>
        <w:trPr>
          <w:trHeight w:val="216"/>
        </w:trPr>
        <w:tc>
          <w:tcPr>
            <w:tcW w:w="3240" w:type="dxa"/>
            <w:vAlign w:val="bottom"/>
          </w:tcPr>
          <w:p>
            <w:pPr>
              <w:jc w:val="right"/>
              <w:ind w:right="2790"/>
              <w:spacing w:after="0"/>
              <w:rPr>
                <w:sz w:val="20"/>
                <w:szCs w:val="20"/>
                <w:color w:val="auto"/>
              </w:rPr>
            </w:pPr>
            <w:r>
              <w:rPr>
                <w:rFonts w:ascii="Times New Roman" w:cs="Times New Roman" w:eastAsia="Times New Roman" w:hAnsi="Times New Roman"/>
                <w:sz w:val="18"/>
                <w:szCs w:val="18"/>
                <w:color w:val="auto"/>
                <w:w w:val="94"/>
              </w:rPr>
              <w:t>2028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5,000</w:t>
            </w:r>
          </w:p>
        </w:tc>
        <w:tc>
          <w:tcPr>
            <w:tcW w:w="2260" w:type="dxa"/>
            <w:vAlign w:val="bottom"/>
          </w:tcPr>
          <w:p>
            <w:pPr>
              <w:spacing w:after="0"/>
              <w:rPr>
                <w:sz w:val="18"/>
                <w:szCs w:val="18"/>
                <w:color w:val="auto"/>
              </w:rPr>
            </w:pPr>
          </w:p>
        </w:tc>
      </w:tr>
      <w:tr>
        <w:trPr>
          <w:trHeight w:val="216"/>
        </w:trPr>
        <w:tc>
          <w:tcPr>
            <w:tcW w:w="3240" w:type="dxa"/>
            <w:vAlign w:val="bottom"/>
            <w:shd w:val="clear" w:color="auto" w:fill="CCEEFF"/>
          </w:tcPr>
          <w:p>
            <w:pPr>
              <w:jc w:val="right"/>
              <w:ind w:right="2790"/>
              <w:spacing w:after="0"/>
              <w:rPr>
                <w:sz w:val="20"/>
                <w:szCs w:val="20"/>
                <w:color w:val="auto"/>
              </w:rPr>
            </w:pPr>
            <w:r>
              <w:rPr>
                <w:rFonts w:ascii="Times New Roman" w:cs="Times New Roman" w:eastAsia="Times New Roman" w:hAnsi="Times New Roman"/>
                <w:sz w:val="18"/>
                <w:szCs w:val="18"/>
                <w:color w:val="auto"/>
                <w:w w:val="94"/>
              </w:rPr>
              <w:t>2029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5,000</w:t>
            </w:r>
          </w:p>
        </w:tc>
        <w:tc>
          <w:tcPr>
            <w:tcW w:w="2260" w:type="dxa"/>
            <w:vAlign w:val="bottom"/>
          </w:tcPr>
          <w:p>
            <w:pPr>
              <w:spacing w:after="0"/>
              <w:rPr>
                <w:sz w:val="18"/>
                <w:szCs w:val="18"/>
                <w:color w:val="auto"/>
              </w:rPr>
            </w:pPr>
          </w:p>
        </w:tc>
      </w:tr>
      <w:tr>
        <w:trPr>
          <w:trHeight w:val="216"/>
        </w:trPr>
        <w:tc>
          <w:tcPr>
            <w:tcW w:w="3240" w:type="dxa"/>
            <w:vAlign w:val="bottom"/>
          </w:tcPr>
          <w:p>
            <w:pPr>
              <w:jc w:val="right"/>
              <w:ind w:right="2790"/>
              <w:spacing w:after="0"/>
              <w:rPr>
                <w:sz w:val="20"/>
                <w:szCs w:val="20"/>
                <w:color w:val="auto"/>
              </w:rPr>
            </w:pPr>
            <w:r>
              <w:rPr>
                <w:rFonts w:ascii="Times New Roman" w:cs="Times New Roman" w:eastAsia="Times New Roman" w:hAnsi="Times New Roman"/>
                <w:sz w:val="18"/>
                <w:szCs w:val="18"/>
                <w:color w:val="auto"/>
                <w:w w:val="94"/>
              </w:rPr>
              <w:t>2030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5,000</w:t>
            </w:r>
          </w:p>
        </w:tc>
        <w:tc>
          <w:tcPr>
            <w:tcW w:w="2260" w:type="dxa"/>
            <w:vAlign w:val="bottom"/>
          </w:tcPr>
          <w:p>
            <w:pPr>
              <w:spacing w:after="0"/>
              <w:rPr>
                <w:sz w:val="18"/>
                <w:szCs w:val="18"/>
                <w:color w:val="auto"/>
              </w:rPr>
            </w:pPr>
          </w:p>
        </w:tc>
      </w:tr>
      <w:tr>
        <w:trPr>
          <w:trHeight w:val="216"/>
        </w:trPr>
        <w:tc>
          <w:tcPr>
            <w:tcW w:w="3240" w:type="dxa"/>
            <w:vAlign w:val="bottom"/>
            <w:shd w:val="clear" w:color="auto" w:fill="CCEEFF"/>
          </w:tcPr>
          <w:p>
            <w:pPr>
              <w:jc w:val="right"/>
              <w:ind w:right="2790"/>
              <w:spacing w:after="0"/>
              <w:rPr>
                <w:sz w:val="20"/>
                <w:szCs w:val="20"/>
                <w:color w:val="auto"/>
              </w:rPr>
            </w:pPr>
            <w:r>
              <w:rPr>
                <w:rFonts w:ascii="Times New Roman" w:cs="Times New Roman" w:eastAsia="Times New Roman" w:hAnsi="Times New Roman"/>
                <w:sz w:val="18"/>
                <w:szCs w:val="18"/>
                <w:color w:val="auto"/>
                <w:w w:val="94"/>
              </w:rPr>
              <w:t>2031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468,750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468,750</w:t>
            </w:r>
          </w:p>
        </w:tc>
        <w:tc>
          <w:tcPr>
            <w:tcW w:w="2260" w:type="dxa"/>
            <w:vAlign w:val="bottom"/>
          </w:tcPr>
          <w:p>
            <w:pPr>
              <w:spacing w:after="0"/>
              <w:rPr>
                <w:sz w:val="18"/>
                <w:szCs w:val="18"/>
                <w:color w:val="auto"/>
              </w:rPr>
            </w:pPr>
          </w:p>
        </w:tc>
      </w:tr>
      <w:tr>
        <w:trPr>
          <w:trHeight w:val="20"/>
        </w:trPr>
        <w:tc>
          <w:tcPr>
            <w:tcW w:w="3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10"/>
        </w:trPr>
        <w:tc>
          <w:tcPr>
            <w:tcW w:w="3240" w:type="dxa"/>
            <w:vAlign w:val="bottom"/>
          </w:tcPr>
          <w:p>
            <w:pPr>
              <w:jc w:val="right"/>
              <w:ind w:right="261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712,500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498,750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1,211,250</w:t>
            </w:r>
          </w:p>
        </w:tc>
        <w:tc>
          <w:tcPr>
            <w:tcW w:w="2260" w:type="dxa"/>
            <w:vAlign w:val="bottom"/>
          </w:tcPr>
          <w:p>
            <w:pPr>
              <w:spacing w:after="0"/>
              <w:rPr>
                <w:sz w:val="18"/>
                <w:szCs w:val="18"/>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13"/>
        </w:trPr>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15"/>
        </w:trPr>
        <w:tc>
          <w:tcPr>
            <w:tcW w:w="3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June 2022, the Company’s credit agreements provided for a $1,200,000 Tranche B Term Loan Facility (Original Term Loan B Facility) and included a $300,000 uncommitted incremental term loan on that facility. After several amendments, the Original Term Loan B Facility bore interest at rates based on either a base rate plus an applicable margin of 0.75% or adjusted SOFR rate plus an applicable margin of 1.75%, subject to a SOFR floor of 0.0%, and was scheduled to mature on December 13, 2026. The Company’s credit agreements also provided for a senior secured ABL revolving credit facility (ABL Facility). ABL Facility borrowings initially bore interest at rates based on either a base rate plus an applicable margin of 1.00% or adjusted LIBOR rate plus an applicable margin of 2.00%, in each case, subject to adjustments based on average availability under the ABL Facility.</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June 2022, the Company amended and restated its existing credit agreements (Amended Credit Agreement) that resulted in a new term loan facility in an aggregate principal amount of $750,000 (Tranche A Term Loan Facility), established a new $1,250,000 revolving facility (Revolving Facility), terminated the former ABL Facility, and replaced all LIBOR provisions with SOFR provisions. Proceeds received by the Company from the Tranche A Term Loan Facility were used to retire the Company's former ABL Facility and to make a $250,000 voluntary prepayment on the original Term Loan B Facility, with the remaining funds used for future general corporate purposes. As a result of these prepayments, the Company wrote off $3,546 of original issue discount and deferred financing costs during the second quarter of 2022 as a loss on extinguishment of debt. Additionally, in accordance with ASC 470-50, the Company capitalized $10,330 of fees paid to creditors as deferred financing costs on long-term borrowings and expensed $800 of transaction fees. The Company evaluated on a lender-by-lender basis if the debt related to returning lenders on the Revolving Facility was significantly modified or not, resulting in the write-off of $197 unamortized deferred financing costs related to the former ABL Facility as a loss on extinguishment of debt.</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2022, the Tranche A Term Loan Facility and the Revolving Facility bore interest at a rate based on adjusted SOFR plus an applicable margin of 1.5% through December 31, 2022, subject to a SOFR floor of 0.0%. Beginning on January 1, 2023, the Tranche A Term Loan Facility and the Revolving Facility bear interest at a rate based on adjusted SOFR plus an applicable margin between 1.25% and 1.75%, based on the Company's total leverage ratio and subject to a SOFR floor of 0.0%. As of December 31, 2024, the interest rates for the Tranche A Term Loan Facility and Revolving Facility are 6.15% and 6.19%, respectively.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July 2024, the Company extinguished the $530,000 balance then outstanding under the former Tranche B Term Loan Facility and replaced it with a new $500,000 Tranche B Term Loan Facility maturing on July 3, 2031. The new Tranche B Term Loan Facility continues to include a $300,000 uncommitted incremental term loan on that facility. In accordance with ASC 470-50, the Company capitalized $2,991 of debt issuance costs. Additionally, the Company wrote-off $4,236 of unamortized deferred financing costs related to the former Tranche B Term Loan Facility and expensed $625 of fees paid to creditors as a loss on extinguishment of debt. The new Tranche B Term Loan Facility bears interest at the adjusted SOFR rate plus an applicable margin of 1.75%, subject to a SOFR floor of 0.0%. As of December 31, 2024, the interest rate for the Tranche B Term Loan Facility is 6.34%.</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Tranche A Term Loan Facility and the Revolving Facility contain certain financial covenants that require the Company to maintain a total leverage ratio below 3.75 to 1.00, an interest coverage ratio above 3.00 to 1.00, and may require an excess cash flow payment. As of December 31, 2024, the Company’s total leverage ratio was 1.33 to 1.00, and the Company's interest coverage ratio was 10.03 to 1.00. The Company also was not required to make an excess cash flow payment as of December 31, 2024. The Company was also in compliance with all other covenants of the Amended Credit Agreement as of December 31, 2024.</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Tranche B Term Loan Facility, Tranche A Term Loan Facility and Revolving Facility are guaranteed by substantially all of the Company’s wholly-owned domestic restricted subsidiaries and are secured by associated collateral agreements which pledge a first priority lien on virtually all of the Company’s assets, including fixed assets and intangibles, cash, trade accounts receivable, inventory, and other current assets and proceeds thereof.</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there were no borrowings under the Revolving Facility, leaving $1,249,203 of unused capacity, net of outstanding letters of credit.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 Repurchase Programs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July 2022, the Company's Board approved a stock repurchase program, which commenced on August 5, 2022, and allowed for the repurchase of up to $500,000 of the Company's common stock over a 24-month period. Additionally, on February 12, 2024, the Company’s Board approved a new stock repurchase program that authorizes repurchases of up to $500,000 of the Company’s common stock over the following 24 months. The new program replaced the prior share repurchase program, which had $26,297 remaining available for repurchase when the new program was approved. Pursuant to the approved program, the Company may repurchase its common stock from time to time, in amounts and at prices the Company deems appropriate, subject to market conditions and other considerations. The repurchases may be executed using a combination of Rule 10b5-1 trading plans, open market purchases, privately negotiated agreements, or other transactions. The actual timing, number and value of shares repurchased under the program will be determined by management at its discretion and in compliance with the terms of the Company's credit agreements. The repurchases may be funded with cash on hand, available borrowings, or proceeds from potential debt or other capital markets sources. The stock repurchase program may be suspended or discontinued at any time without prior notice. As of December 31, 2024, the remaining unused buyback authorization was $347,257.</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the Company repurchased 1,046,351 shares of its common stock for $152,743. During the year ended December 31, 2023, the Company repurchased2,188,475 shares of its common stock for $251,513. During the year ended December 31, 2022, the Company repurchased 2,722,007 shares of its common stock for $345,840. The Company has periodically reissued shares out of Treasury stock, including for acquisition contingent consideration payments.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Earnings Per Share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Basic earnings per share is calculated by dividing net income attributable to the common shareholders of the Company by the weighted average number of common shares outstanding during the period, exclusive of restricted shares. Except where the result would be anti-dilutive, diluted earnings per share is calculated by assuming the vesting of unvested restricted stock and the exercise of stock options, as well as the satisfaction of certain conditions related to acquisition contingent consideration as of the end of the period. Refer to Note 4, “Redeemable Noncontrolling Interest,” to the consolidated financial statements of this Annual Report on Form 10-K for further information regarding the accounting for redeemable noncontrolling interests within earnings per share.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numerator and the denominator used to calculate basic and diluted earnings per share: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7"/>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Generac Holdings Inc.</w:t>
            </w:r>
          </w:p>
        </w:tc>
        <w:tc>
          <w:tcPr>
            <w:tcW w:w="10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316,315</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214,606</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399,502</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Redemption value adjustment</w:t>
            </w: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8,941</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(11,517)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(49,235)</w:t>
            </w:r>
          </w:p>
        </w:tc>
      </w:tr>
      <w:tr>
        <w:trPr>
          <w:trHeight w:val="20"/>
        </w:trPr>
        <w:tc>
          <w:tcPr>
            <w:tcW w:w="49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7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325,256</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203,089</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350,267</w:t>
            </w:r>
          </w:p>
        </w:tc>
      </w:tr>
      <w:tr>
        <w:trPr>
          <w:trHeight w:val="20"/>
        </w:trPr>
        <w:tc>
          <w:tcPr>
            <w:tcW w:w="4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9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basic</w:t>
            </w: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59,559,797</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61,265,060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63,117,007</w:t>
            </w:r>
          </w:p>
        </w:tc>
      </w:tr>
      <w:tr>
        <w:trPr>
          <w:trHeight w:val="22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Dilutive effect of stock compensation awards (1)</w:t>
            </w: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790,615</w:t>
            </w:r>
          </w:p>
        </w:tc>
        <w:tc>
          <w:tcPr>
            <w:tcW w:w="32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793,327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1,087,219</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effect of contingently issued shares</w:t>
            </w: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477,131</w:t>
            </w:r>
          </w:p>
        </w:tc>
      </w:tr>
      <w:tr>
        <w:trPr>
          <w:trHeight w:val="20"/>
        </w:trPr>
        <w:tc>
          <w:tcPr>
            <w:tcW w:w="49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shares</w:t>
            </w: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60,350,412</w:t>
            </w: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62,058,387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64,681,357</w:t>
            </w:r>
          </w:p>
        </w:tc>
      </w:tr>
      <w:tr>
        <w:trPr>
          <w:trHeight w:val="20"/>
        </w:trPr>
        <w:tc>
          <w:tcPr>
            <w:tcW w:w="4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9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common shareholders per share</w:t>
            </w: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0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5.46</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3.31</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5.55</w:t>
            </w:r>
          </w:p>
        </w:tc>
      </w:t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0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5.39</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3.27</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5.42</w:t>
            </w:r>
          </w:p>
        </w:tc>
      </w:tr>
    </w:tbl>
    <w:p>
      <w:pPr>
        <w:spacing w:after="0" w:line="179" w:lineRule="exact"/>
        <w:rPr>
          <w:sz w:val="20"/>
          <w:szCs w:val="20"/>
          <w:color w:val="auto"/>
        </w:rPr>
      </w:pPr>
    </w:p>
    <w:p>
      <w:pPr>
        <w:ind w:left="66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2024, December 31, 2023, and December 31, 2022, excludes approximately 428,000, 348,000 and 76,000 stock options and restricted stock awards, respectively, as the impact of such awards was anti-dilutive.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07"/>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23"/>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15. Income Taxes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provision for income taxes consists of the following:</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7"/>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12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117,749</w:t>
            </w:r>
          </w:p>
        </w:tc>
        <w:tc>
          <w:tcPr>
            <w:tcW w:w="22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71,741</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118,320</w:t>
            </w: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13,802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25,743</w:t>
            </w: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14,356</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51,055</w:t>
            </w:r>
          </w:p>
        </w:tc>
        <w:tc>
          <w:tcPr>
            <w:tcW w:w="100" w:type="dxa"/>
            <w:vAlign w:val="bottom"/>
          </w:tcPr>
          <w:p>
            <w:pPr>
              <w:spacing w:after="0"/>
              <w:rPr>
                <w:sz w:val="18"/>
                <w:szCs w:val="18"/>
                <w:color w:val="auto"/>
              </w:rPr>
            </w:pPr>
          </w:p>
        </w:tc>
      </w:tr>
      <w:tr>
        <w:trPr>
          <w:trHeight w:val="209"/>
        </w:trPr>
        <w:tc>
          <w:tcPr>
            <w:tcW w:w="128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153,075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107,658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195,118</w:t>
            </w: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(46,526)</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(26,504)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(43,475)</w:t>
            </w: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(8,613)</w:t>
            </w: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(5,254)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(10,966)</w:t>
            </w: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(5,565)</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(3,218)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(40,109)</w:t>
            </w:r>
          </w:p>
        </w:tc>
      </w:tr>
      <w:tr>
        <w:trPr>
          <w:trHeight w:val="20"/>
        </w:trPr>
        <w:tc>
          <w:tcPr>
            <w:tcW w:w="1280" w:type="dxa"/>
            <w:vAlign w:val="bottom"/>
            <w:shd w:val="clear" w:color="auto" w:fill="CCEEFF"/>
          </w:tcPr>
          <w:p>
            <w:pPr>
              <w:spacing w:after="0" w:line="20" w:lineRule="exact"/>
              <w:rPr>
                <w:sz w:val="1"/>
                <w:szCs w:val="1"/>
                <w:color w:val="auto"/>
              </w:rPr>
            </w:pPr>
          </w:p>
        </w:tc>
        <w:tc>
          <w:tcPr>
            <w:tcW w:w="4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12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(60,704)</w:t>
            </w: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(34,976)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(94,550)</w:t>
            </w: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(972)</w:t>
            </w:r>
          </w:p>
        </w:tc>
      </w:tr>
      <w:tr>
        <w:trPr>
          <w:trHeight w:val="20"/>
        </w:trPr>
        <w:tc>
          <w:tcPr>
            <w:tcW w:w="1280" w:type="dxa"/>
            <w:vAlign w:val="bottom"/>
            <w:shd w:val="clear" w:color="auto" w:fill="CCEEFF"/>
          </w:tcPr>
          <w:p>
            <w:pPr>
              <w:spacing w:after="0" w:line="20" w:lineRule="exact"/>
              <w:rPr>
                <w:sz w:val="1"/>
                <w:szCs w:val="1"/>
                <w:color w:val="auto"/>
              </w:rPr>
            </w:pPr>
          </w:p>
        </w:tc>
        <w:tc>
          <w:tcPr>
            <w:tcW w:w="4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92,460</w:t>
            </w:r>
          </w:p>
        </w:tc>
        <w:tc>
          <w:tcPr>
            <w:tcW w:w="22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73,180</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99,596</w:t>
            </w:r>
          </w:p>
        </w:tc>
      </w:tr>
      <w:tr>
        <w:trPr>
          <w:trHeight w:val="20"/>
        </w:trPr>
        <w:tc>
          <w:tcPr>
            <w:tcW w:w="12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files U.S. federal, U.S. state and foreign jurisdiction tax returns which are subject to examination up to the expiration of the statute of limitations. The Company believes the tax positions taken on its returns would be sustained upon an exam, or where a position is uncertain, adequate reserves have been recorded. As of December 31, 2024, the Company is no longer subject to income tax examinations for United States federal income taxes for tax years prior to 2021. Due to the carryforward of net operating losses and research &amp; development credits, the Company’s Wisconsin state income tax returns for tax years 2007 through 2023 remain open for potential examination. In addition, the Company is subject to audit by various foreign taxing jurisdictions for tax years 2013 through 2023.</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regularly under tax return examination by tax authorities in the various jurisdictions in which we operate. The Company is actively managing the examinations and working to address any open matters. While the Company does not believe any material taxes or penalties are due, there is a possibility that the ultimate tax outcome of an examination may result in differences from what was recorded. Such differences may affect the provision for income taxes in the period in which the determination is made and could impact the Company’s financial results.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Significant components of deferred tax assets and liabilities are as follows:</w:t>
            </w: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7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67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8"/>
                <w:szCs w:val="18"/>
                <w:color w:val="auto"/>
              </w:rPr>
            </w:pPr>
          </w:p>
        </w:tc>
      </w:tr>
      <w:tr>
        <w:trPr>
          <w:trHeight w:val="21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52,351</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48,758</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9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43,261</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36,927</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9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14,103</w:t>
            </w:r>
          </w:p>
        </w:tc>
        <w:tc>
          <w:tcPr>
            <w:tcW w:w="4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12,549</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16,959</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14,143</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 and credit carryforwards</w:t>
            </w:r>
          </w:p>
        </w:tc>
        <w:tc>
          <w:tcPr>
            <w:tcW w:w="9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50,327</w:t>
            </w:r>
          </w:p>
        </w:tc>
        <w:tc>
          <w:tcPr>
            <w:tcW w:w="4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54,753</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Bad debt</w:t>
            </w:r>
          </w:p>
        </w:tc>
        <w:tc>
          <w:tcPr>
            <w:tcW w:w="9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1,803</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1,380</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13,031</w:t>
            </w:r>
          </w:p>
        </w:tc>
        <w:tc>
          <w:tcPr>
            <w:tcW w:w="4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8,722</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R&amp;D</w:t>
            </w:r>
          </w:p>
        </w:tc>
        <w:tc>
          <w:tcPr>
            <w:tcW w:w="9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98,323</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65,523</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9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(5,225)</w:t>
            </w:r>
          </w:p>
        </w:tc>
        <w:tc>
          <w:tcPr>
            <w:tcW w:w="4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(5,136)</w:t>
            </w:r>
          </w:p>
        </w:tc>
      </w:tr>
      <w:tr>
        <w:trPr>
          <w:trHeight w:val="210"/>
        </w:trPr>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9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284,933</w:t>
            </w:r>
          </w:p>
        </w:tc>
        <w:tc>
          <w:tcPr>
            <w:tcW w:w="2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237,619</w:t>
            </w: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Goodwill and intangible assets</w:t>
            </w:r>
          </w:p>
        </w:tc>
        <w:tc>
          <w:tcPr>
            <w:tcW w:w="9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234,271</w:t>
            </w:r>
          </w:p>
        </w:tc>
        <w:tc>
          <w:tcPr>
            <w:tcW w:w="4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253,342</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9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49,935</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45,964</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Debt refinancing costs</w:t>
            </w:r>
          </w:p>
        </w:tc>
        <w:tc>
          <w:tcPr>
            <w:tcW w:w="9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828</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swap and derivative instruments</w:t>
            </w:r>
          </w:p>
        </w:tc>
        <w:tc>
          <w:tcPr>
            <w:tcW w:w="9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6,496</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9,521</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80" w:type="dxa"/>
            <w:vAlign w:val="bottom"/>
          </w:tcPr>
          <w:p>
            <w:pPr>
              <w:spacing w:after="0"/>
              <w:rPr>
                <w:sz w:val="18"/>
                <w:szCs w:val="18"/>
                <w:color w:val="auto"/>
              </w:rPr>
            </w:pPr>
          </w:p>
        </w:tc>
      </w:tr>
      <w:tr>
        <w:trPr>
          <w:trHeight w:val="210"/>
        </w:trPr>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9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293,986</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312,099</w:t>
            </w:r>
          </w:p>
        </w:tc>
      </w:tr>
      <w:tr>
        <w:trPr>
          <w:trHeight w:val="216"/>
        </w:trPr>
        <w:tc>
          <w:tcPr>
            <w:tcW w:w="67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(9,053)</w:t>
            </w: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(74,480)</w:t>
            </w:r>
          </w:p>
        </w:tc>
      </w:tr>
      <w:tr>
        <w:trPr>
          <w:trHeight w:val="20"/>
        </w:trPr>
        <w:tc>
          <w:tcPr>
            <w:tcW w:w="67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08"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and 2023, deferred tax assets of $24,132 and $15,532, and deferred tax liabilities of $33,185 and $90,012, respectively, were reflected in the consolidated balance sheets.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a $5,225 valuation allowance against the deferred tax assets primarily related to certain tax loss carryforwards which may not be realized. Realization of the deferred income tax asset related to the tax loss carryforward is dependent upon generating sufficient taxable income in these jurisdictions prior to their expiration. During 2024, the valuation allowance increased by $89 on our deferred tax assets where we believe the tax asset may not be fully utilized.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2024, the Company had tax loss carryforwards of approximately $182,431, which have varying expiration periods ranging from 2025 to indefinite. For carryforward amounts which the Company believes the losses will expire prior to use, a valuation allowance has been established. For all other carryforwards, the Company believes it will generate sufficient taxable income in these jurisdictions to utilize its loss carryforwards.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2024, the Company had state manufacturing tax credit carryforwards of approximately $27,510, which expire between 2028 and 2040.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believes it will generate sufficient taxable income in these jurisdictions to fully utilize the credits prior to their expiration.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Company’s gross liability for unrecognized tax benefits, excluding interest and penalties,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67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8"/>
                <w:szCs w:val="18"/>
                <w:color w:val="auto"/>
              </w:rPr>
            </w:pPr>
          </w:p>
        </w:tc>
      </w:tr>
      <w:tr>
        <w:trPr>
          <w:trHeight w:val="209"/>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 beginning of period</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9,703</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8,895</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Increase in unrecognized tax benefit for positions taken in prior period</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3,081</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unrecognized tax benefit for positions taken in current period</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1,122</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Statute of limitation expirations</w:t>
            </w:r>
          </w:p>
        </w:tc>
        <w:tc>
          <w:tcPr>
            <w:tcW w:w="10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(536)</w:t>
            </w:r>
          </w:p>
        </w:tc>
        <w:tc>
          <w:tcPr>
            <w:tcW w:w="4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(3,395)</w:t>
            </w:r>
          </w:p>
        </w:tc>
      </w:tr>
      <w:tr>
        <w:trPr>
          <w:trHeight w:val="216"/>
        </w:trPr>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Settlements</w:t>
            </w:r>
          </w:p>
        </w:tc>
        <w:tc>
          <w:tcPr>
            <w:tcW w:w="10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Unrecognized tax benefit, end of period</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11,178</w:t>
            </w:r>
          </w:p>
        </w:tc>
        <w:tc>
          <w:tcPr>
            <w:tcW w:w="200" w:type="dxa"/>
            <w:vAlign w:val="bottom"/>
          </w:tcPr>
          <w:p>
            <w:pPr>
              <w:spacing w:after="0"/>
              <w:rPr>
                <w:sz w:val="18"/>
                <w:szCs w:val="18"/>
                <w:color w:val="auto"/>
              </w:rPr>
            </w:pP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9,703</w:t>
            </w:r>
          </w:p>
        </w:tc>
      </w:tr>
      <w:tr>
        <w:trPr>
          <w:trHeight w:val="20"/>
        </w:trPr>
        <w:tc>
          <w:tcPr>
            <w:tcW w:w="67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unrecognized tax benefit as of December 31, 2024 and 2023, if recognized, would favorably impact the effective tax rate.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and 2023, total accrued interest of approximately $1,142 and $532, respectively, and accrued penalties of approximately $954 and $1,275, respectively, associated with net unrecognized tax benefits are included in the consolidated balance sheets. Interest and penalties are recorded as a component of income tax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expect a significant change to the total amount of unrecognized tax benefits during the fiscal year ending December 31,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U.S. federal statutory tax rate to the effective tax rate for the years ended December 31, 2024, 2023 and 2022 is as follows:</w:t>
      </w:r>
    </w:p>
    <w:p>
      <w:pPr>
        <w:spacing w:after="0" w:line="221"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8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statutory rate</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w:t>
            </w:r>
          </w:p>
        </w:tc>
        <w:tc>
          <w:tcPr>
            <w:tcW w:w="1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1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c>
          <w:tcPr>
            <w:tcW w:w="560" w:type="dxa"/>
            <w:vAlign w:val="bottom"/>
          </w:tcPr>
          <w:p>
            <w:pPr>
              <w:spacing w:after="0"/>
              <w:rPr>
                <w:sz w:val="18"/>
                <w:szCs w:val="18"/>
                <w:color w:val="auto"/>
              </w:rPr>
            </w:pP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taxes</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w:t>
            </w:r>
          </w:p>
        </w:tc>
        <w:tc>
          <w:tcPr>
            <w:tcW w:w="102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560" w:type="dxa"/>
            <w:vAlign w:val="bottom"/>
          </w:tcPr>
          <w:p>
            <w:pPr>
              <w:spacing w:after="0"/>
              <w:rPr>
                <w:sz w:val="18"/>
                <w:szCs w:val="18"/>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tax rate differential</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(0.2)</w:t>
            </w:r>
          </w:p>
        </w:tc>
        <w:tc>
          <w:tcPr>
            <w:tcW w:w="1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c>
          <w:tcPr>
            <w:tcW w:w="560" w:type="dxa"/>
            <w:vAlign w:val="bottom"/>
          </w:tcPr>
          <w:p>
            <w:pPr>
              <w:spacing w:after="0"/>
              <w:rPr>
                <w:sz w:val="18"/>
                <w:szCs w:val="18"/>
                <w:color w:val="auto"/>
              </w:rPr>
            </w:pP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10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560" w:type="dxa"/>
            <w:vAlign w:val="bottom"/>
          </w:tcPr>
          <w:p>
            <w:pPr>
              <w:spacing w:after="0"/>
              <w:rPr>
                <w:sz w:val="18"/>
                <w:szCs w:val="18"/>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credits</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(0.5)</w:t>
            </w:r>
          </w:p>
        </w:tc>
        <w:tc>
          <w:tcPr>
            <w:tcW w:w="1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(0.9)</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560" w:type="dxa"/>
            <w:vAlign w:val="bottom"/>
          </w:tcPr>
          <w:p>
            <w:pPr>
              <w:spacing w:after="0"/>
              <w:rPr>
                <w:sz w:val="18"/>
                <w:szCs w:val="18"/>
                <w:color w:val="auto"/>
              </w:rPr>
            </w:pP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 benefit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10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(0.4)</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560" w:type="dxa"/>
            <w:vAlign w:val="bottom"/>
          </w:tcPr>
          <w:p>
            <w:pPr>
              <w:spacing w:after="0"/>
              <w:rPr>
                <w:sz w:val="18"/>
                <w:szCs w:val="18"/>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U.S. compensation expense</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w:t>
            </w:r>
          </w:p>
        </w:tc>
        <w:tc>
          <w:tcPr>
            <w:tcW w:w="1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560" w:type="dxa"/>
            <w:vAlign w:val="bottom"/>
          </w:tcPr>
          <w:p>
            <w:pPr>
              <w:spacing w:after="0"/>
              <w:rPr>
                <w:sz w:val="18"/>
                <w:szCs w:val="18"/>
                <w:color w:val="auto"/>
              </w:rPr>
            </w:pP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tax deduction</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w:t>
            </w:r>
          </w:p>
        </w:tc>
        <w:tc>
          <w:tcPr>
            <w:tcW w:w="102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c>
          <w:tcPr>
            <w:tcW w:w="560" w:type="dxa"/>
            <w:vAlign w:val="bottom"/>
          </w:tcPr>
          <w:p>
            <w:pPr>
              <w:spacing w:after="0"/>
              <w:rPr>
                <w:sz w:val="18"/>
                <w:szCs w:val="18"/>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Uncertain tax positions reserve</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0.6</w:t>
            </w:r>
          </w:p>
        </w:tc>
        <w:tc>
          <w:tcPr>
            <w:tcW w:w="1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0.9</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560" w:type="dxa"/>
            <w:vAlign w:val="bottom"/>
          </w:tcPr>
          <w:p>
            <w:pPr>
              <w:spacing w:after="0"/>
              <w:rPr>
                <w:sz w:val="18"/>
                <w:szCs w:val="18"/>
                <w:color w:val="auto"/>
              </w:rPr>
            </w:pP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Global intangible low tax income</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0.4</w:t>
            </w:r>
          </w:p>
        </w:tc>
        <w:tc>
          <w:tcPr>
            <w:tcW w:w="102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56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1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0.3</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560" w:type="dxa"/>
            <w:vAlign w:val="bottom"/>
          </w:tcPr>
          <w:p>
            <w:pPr>
              <w:spacing w:after="0"/>
              <w:rPr>
                <w:sz w:val="18"/>
                <w:szCs w:val="18"/>
                <w:color w:val="auto"/>
              </w:rPr>
            </w:pPr>
          </w:p>
        </w:tc>
      </w:tr>
      <w:tr>
        <w:trPr>
          <w:trHeight w:val="20"/>
        </w:trPr>
        <w:tc>
          <w:tcPr>
            <w:tcW w:w="558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Effective tax rate</w:t>
            </w:r>
          </w:p>
        </w:tc>
        <w:tc>
          <w:tcPr>
            <w:tcW w:w="10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22.6%</w:t>
            </w:r>
          </w:p>
        </w:tc>
        <w:tc>
          <w:tcPr>
            <w:tcW w:w="10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w:t>
            </w: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w:t>
            </w:r>
          </w:p>
        </w:tc>
        <w:tc>
          <w:tcPr>
            <w:tcW w:w="560" w:type="dxa"/>
            <w:vAlign w:val="bottom"/>
          </w:tcPr>
          <w:p>
            <w:pPr>
              <w:spacing w:after="0"/>
              <w:rPr>
                <w:sz w:val="18"/>
                <w:szCs w:val="18"/>
                <w:color w:val="auto"/>
              </w:rPr>
            </w:pPr>
          </w:p>
        </w:tc>
      </w:tr>
      <w:tr>
        <w:trPr>
          <w:trHeight w:val="20"/>
        </w:trPr>
        <w:tc>
          <w:tcPr>
            <w:tcW w:w="55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3"/>
        </w:trPr>
        <w:tc>
          <w:tcPr>
            <w:tcW w:w="6620" w:type="dxa"/>
            <w:vAlign w:val="bottom"/>
            <w:gridSpan w:val="2"/>
          </w:tcPr>
          <w:p>
            <w:pPr>
              <w:ind w:left="5540"/>
              <w:spacing w:after="0"/>
              <w:rPr>
                <w:sz w:val="20"/>
                <w:szCs w:val="20"/>
                <w:color w:val="auto"/>
              </w:rPr>
            </w:pPr>
            <w:r>
              <w:rPr>
                <w:rFonts w:ascii="Times New Roman" w:cs="Times New Roman" w:eastAsia="Times New Roman" w:hAnsi="Times New Roman"/>
                <w:sz w:val="18"/>
                <w:szCs w:val="18"/>
                <w:color w:val="auto"/>
              </w:rPr>
              <w:t>63</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5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right="9260" w:firstLine="8"/>
        <w:spacing w:after="0" w:line="503" w:lineRule="auto"/>
        <w:tabs>
          <w:tab w:leader="none" w:pos="324"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Benefit Plans Medical and Dental Plans</w:t>
      </w: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medical and dental benefit plans covering its full-time U.S. employees and their dependents. These plans are partially or fully self-funded under which participant claims are obligations of the plan. These plans are funded through employer and employee contributions at a level sufficient to pay for the benefits provided by the plan. The Company’s contributions to the plans were $32,964, $26,090, and $31,180 for the years ended December 31, 2024, 2023 and 2022, respectively.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Employees of the Company’s foreign subsidiaries participate in government sponsored medical benefit plans and other local plans. In certain cases, the Company purchases supplemental medical coverage for certain employees at these foreign locations. The expenses related to these plans are not material to the Company’s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Savings Plan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maintains a defined-contribution 401(k) savings plan for eligible U.S. employees. Under the plan, employees may defer receipt of a portion of their eligible compensation. The Company may contribute a matching contribution of 50% of the first 8% of eligible compensation of employees that is deferred. The Company may also contribute a non-elective contribution for eligible employees employed on December 31, 2008, that were impacted by the freezing of the Company’s pension plans. The Company’s matching contributions are subject to vesting. Forfeitures of unused company contributions may be applied against plan expenses and future Company contributions. The Company recognized $7,779, $3,735, and $4,141 of expense related to these plans for the years ended December 31, 2024, 2023 and 2022, respectively.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Share Plans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adopted an equity incentive plan (the 2010 Plan) on February 10, 2010, in connection with its initial public offering. The 2010 Plan, as amended, allowed for the grant of up to 9.1 million share-based awards to executives, directors, and employees. Awards available for grant under the 2010 Plan included stock options, stock appreciation rights, restricted stock, other share-based awards and performance-based compensation awards. New grants under the 2010 Plan ceased in June 2019. Total share-based compensation expense related to the 2010 Plan, net of estimated forfeitures, was $0, $309, and $2,379 for the years ended December 31, 2024, 2023 and 2022, respectively, which is recorded in operating expenses in the consolidated statements of comprehensive income.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13, 2019, the stockholders of Generac Holdings Inc. approved the Company’s 2019 Equity Incentive Plan (the 2019 Plan). The 2019 Plan allows for the grant of up to 2.7 million share-based awards to executives, directors, and employees. Awards available for grant under the 2019 Plan include stock options, stock appreciation rights, restricted stock, other share-based awards and performance-based compensation awards. On June 13, 2024, the stockholders of Generac Holdings Inc. approved an amendment to the 2019 Plan to increase the number of shares available for issuance by 3.9 million. Total share-based compensation expense related to the 2019 Plan, net of estimated forfeitures, was $49,248, $35,183, and $27,102 for the years ended December 31, 2024, 2023 and 2022, respectively, which is recorded in operating expenses in the consolidated statements of comprehensive income.</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Stock Options </w:t>
      </w:r>
      <w:r>
        <w:rPr>
          <w:rFonts w:ascii="Times New Roman" w:cs="Times New Roman" w:eastAsia="Times New Roman" w:hAnsi="Times New Roman"/>
          <w:sz w:val="18"/>
          <w:szCs w:val="18"/>
          <w:color w:val="auto"/>
        </w:rPr>
        <w:t>- Stock options granted in 2024 have an exercise price between $112.45 and $147.41 per share; stock options granted in 2023 have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price between $110.86 and $119.57 per share; and stock options granted in 2022 have an exercise price between $103.50 and $315.88 per share. Stock options vest in equal installments over four years, subject to the grantee’s continued employment or service and expire ten years after the date of grant.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 option exercises can be net-share settled such that the Company withholds shares with value equivalent to the exercise price of the stock option awards plus the employees’ minimum statutory obligation for the applicable income and other employment taxes. Total shares withheld were 9,701, 31,030, and 17,376 for the years ended December 31, 2024, 2023 and 2022, respectively, and were based on the value of the stock on the exercise dates. The net-share settlement has the effect of share repurchases by the Company as they reduce the number of shares that would have otherwise been issued.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Employees can also utilize a cashless for cash exercise of stock options, such that all exercised shares will be sold in the market immediately. Cash equivalent to the exercise price of the awards plus the employees’ minimum statutory tax obligations is remitted to the Company, with the remaining cash being transferred to the employee. Total net proceeds to the Company from the cashless for cash exercise of stock options were $27,558, $7,815, and $13,786 for the years ended December 31, 2024, 2023 and 2022, respectively, and are reflected as a financing activity in the consolidated statements of cash flows.</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Total payments made by the Company to the taxing authorities for the employees’ tax obligations related to stock option exercises were $13,672, $4,895, and $14,089 for the years ended December 31, 2024, 2023 and 2022, respectively, and are reflected as a financing activity in the consolidated statements of cash flows.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grant-date fair value of each option grant is estimated using the Black-Scholes-Merton option pricing model. The fair value is then amortized on a straight-line basis over the requisite service period of the awards, which is generally the vesting period. Use of a valuation model requires management to make certain assumptions with respect to selected model inputs. Expected volatility is calculated based on an analysis of historic volatility of the Company’s stock price. The average expected life is based on the contractual term of the option using the simplified method. The risk-free interest rate is based on U.S. Treasury zero-coupon issues with a remaining term equal to the expected life assumed at the date of grant. The compensation expense recognized is net of estimated forfeitures. Forfeitures are estimated based on actual share option forfeiture history and are trued up upon vesting based on actual forfeiture activity.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assumptions used in the Black-Scholes-Merton option pricing model for 2024, 2023 and 2022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7"/>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4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18"/>
                <w:szCs w:val="18"/>
                <w:color w:val="auto"/>
              </w:rPr>
            </w:pPr>
          </w:p>
        </w:tc>
      </w:tr>
      <w:tr>
        <w:trPr>
          <w:trHeight w:val="21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grant date fair value per share</w:t>
            </w:r>
          </w:p>
        </w:tc>
        <w:tc>
          <w:tcPr>
            <w:tcW w:w="172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59.30</w:t>
            </w:r>
          </w:p>
        </w:tc>
        <w:tc>
          <w:tcPr>
            <w:tcW w:w="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57.73</w:t>
            </w:r>
          </w:p>
        </w:tc>
        <w:tc>
          <w:tcPr>
            <w:tcW w:w="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129.38</w:t>
            </w:r>
          </w:p>
        </w:tc>
      </w:tr>
      <w:tr>
        <w:trPr>
          <w:trHeight w:val="216"/>
        </w:trPr>
        <w:tc>
          <w:tcPr>
            <w:tcW w:w="4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Assumptions:</w:t>
            </w:r>
          </w:p>
        </w:tc>
        <w:tc>
          <w:tcPr>
            <w:tcW w:w="7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7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3.64%</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Expected annual dividend per share</w:t>
            </w:r>
          </w:p>
        </w:tc>
        <w:tc>
          <w:tcPr>
            <w:tcW w:w="172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of options (years)</w:t>
            </w:r>
          </w:p>
        </w:tc>
        <w:tc>
          <w:tcPr>
            <w:tcW w:w="7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6.25</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6.25</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stock option activity and related information for the years ended December 31, 2024, 2023 and 2022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8"/>
                <w:szCs w:val="18"/>
                <w:color w:val="auto"/>
              </w:rPr>
            </w:pPr>
          </w:p>
        </w:tc>
        <w:tc>
          <w:tcPr>
            <w:tcW w:w="126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5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0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Intrinsic Value</w:t>
            </w:r>
          </w:p>
        </w:tc>
      </w:tr>
      <w:tr>
        <w:trPr>
          <w:trHeight w:val="216"/>
        </w:trPr>
        <w:tc>
          <w:tcPr>
            <w:tcW w:w="524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Term (in</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w:t>
            </w:r>
          </w:p>
        </w:tc>
      </w:tr>
      <w:tr>
        <w:trPr>
          <w:trHeight w:val="238"/>
        </w:trPr>
        <w:tc>
          <w:tcPr>
            <w:tcW w:w="5240" w:type="dxa"/>
            <w:vAlign w:val="bottom"/>
          </w:tcPr>
          <w:p>
            <w:pPr>
              <w:spacing w:after="0"/>
              <w:rPr>
                <w:sz w:val="20"/>
                <w:szCs w:val="20"/>
                <w:color w:val="auto"/>
              </w:rPr>
            </w:pPr>
          </w:p>
        </w:tc>
        <w:tc>
          <w:tcPr>
            <w:tcW w:w="12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0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22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100" w:type="dxa"/>
            <w:vAlign w:val="bottom"/>
          </w:tcPr>
          <w:p>
            <w:pPr>
              <w:spacing w:after="0"/>
              <w:rPr>
                <w:sz w:val="20"/>
                <w:szCs w:val="20"/>
                <w:color w:val="auto"/>
              </w:rPr>
            </w:pPr>
          </w:p>
        </w:tc>
      </w:tr>
      <w:tr>
        <w:trPr>
          <w:trHeight w:val="21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1,342,131</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64.29</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386,069</w:t>
            </w: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109,266</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282.20</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(137,305)</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36.91</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(45,688)</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194.05</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1,268,404</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81.35</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47,764</w:t>
            </w:r>
          </w:p>
        </w:tc>
      </w:tr>
      <w:tr>
        <w:trPr>
          <w:trHeight w:val="216"/>
        </w:trPr>
        <w:tc>
          <w:tcPr>
            <w:tcW w:w="5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208,392</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119.31</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(159,316)</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42.46</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(33,144)</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185.81</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524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ectPr>
          <w:pgSz w:w="11900" w:h="16878" w:orient="portrait"/>
          <w:cols w:equalWidth="0" w:num="1">
            <w:col w:w="11240"/>
          </w:cols>
          <w:pgMar w:left="320" w:top="121" w:right="339" w:bottom="0" w:gutter="0" w:footer="0" w:header="0"/>
        </w:sectPr>
      </w:pPr>
    </w:p>
    <w:bookmarkStart w:id="82" w:name="page83"/>
    <w:bookmarkEnd w:id="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6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1,284,336</w:t>
            </w:r>
          </w:p>
        </w:tc>
        <w:tc>
          <w:tcPr>
            <w:tcW w:w="15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89.64</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75,587</w:t>
            </w:r>
          </w:p>
        </w:tc>
      </w:tr>
      <w:tr>
        <w:trPr>
          <w:trHeight w:val="216"/>
        </w:trPr>
        <w:tc>
          <w:tcPr>
            <w:tcW w:w="5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6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118,681</w:t>
            </w:r>
          </w:p>
        </w:tc>
        <w:tc>
          <w:tcPr>
            <w:tcW w:w="15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112.66</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6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(310,201)</w:t>
            </w:r>
          </w:p>
        </w:tc>
        <w:tc>
          <w:tcPr>
            <w:tcW w:w="15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57.20</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6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(63,265)</w:t>
            </w:r>
          </w:p>
        </w:tc>
        <w:tc>
          <w:tcPr>
            <w:tcW w:w="15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152.06</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1,029,551</w:t>
            </w:r>
          </w:p>
        </w:tc>
        <w:tc>
          <w:tcPr>
            <w:tcW w:w="4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96.10</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78,310</w:t>
            </w:r>
          </w:p>
        </w:tc>
      </w:tr>
      <w:tr>
        <w:trPr>
          <w:trHeight w:val="216"/>
        </w:trPr>
        <w:tc>
          <w:tcPr>
            <w:tcW w:w="5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as of December 31, 2024</w:t>
            </w:r>
          </w:p>
        </w:tc>
        <w:tc>
          <w:tcPr>
            <w:tcW w:w="16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753,487</w:t>
            </w:r>
          </w:p>
        </w:tc>
        <w:tc>
          <w:tcPr>
            <w:tcW w:w="15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77.67</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69,273</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there was $13,405 of total unrecognized compensation cost, net of expected forfeitures, related to unvested options. The cost is expected to be recognized over the remaining service period, having a weighted-average period of 2.3 years. Total share-based compensation cost related to stock options for the years ended December 31, 2024, 2023 and 2022 was $8,122, $8,229, and $6,911, respectively, which is recorded in operating expenses in the consolidated statements of comprehensive income.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Restricted Stock </w:t>
      </w:r>
      <w:r>
        <w:rPr>
          <w:rFonts w:ascii="Times New Roman" w:cs="Times New Roman" w:eastAsia="Times New Roman" w:hAnsi="Times New Roman"/>
          <w:sz w:val="18"/>
          <w:szCs w:val="18"/>
          <w:color w:val="auto"/>
        </w:rPr>
        <w:t>– Restricted stock awards vest in equal installments over three years, subject to the grantee’s continued employment or service.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stock awards also include performance shares, whereby the number of performance shares that can be earned are contingent upon Company performance measures over a three-year period. Performance measures are based on a weighting of a number of financial metrics, from which grantees may earn from 0% to 200% of their target performance share award. The performance period for the 2022 awards covers the years 2022 through 2024. The performance period for the 2023 awards covers the years 2023 through 2025. The performance period for the 2024 awards covers the years 2024 through 2026. The Company estimates the number of performance shares that will vest based on projected financial performance. The fair value of restricted awards is determined based on the market value of the Company's stock on the grant date. The fair market value of the restricted awards at the time of the grant is amortized to expense over the period of vesting. The compensation expense recognized for restricted share awards is net of estimated forfeitures and is trued up upon vesting based on actual forfeiture activity.</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restricted stock vesting is net-share settled such that, upon vesting, the Company withholds shares with value equivalent to the employees’ minimum statutory tax obligation, and then pays the cash to the taxing authorities on behalf of the employees. In effect, the Company repurchases these shares and classifies them as treasury stock. Total shares withheld were 78,465, 50,577, and 92,008 for the years ended December 31, 2024, 2023 and 2022, respectively, and were based on the value of the stock on the vesting dates. Total payments made by the Company to the taxing authorities for the employees’ tax obligations related to restricted stock vesting were $11,097, $6,002, and $26,834 for the years ended December 31, 2024, 2023 and 2022, respectively, and are reflected as a financing activity within the consolidated statements of cash flows.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restricted stock activity for the years ended December 31, 2024, 2023 and 2022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16"/>
        </w:trPr>
        <w:tc>
          <w:tcPr>
            <w:tcW w:w="6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Grant-Date Fair</w:t>
            </w:r>
          </w:p>
        </w:tc>
      </w:tr>
      <w:tr>
        <w:trPr>
          <w:trHeight w:val="238"/>
        </w:trPr>
        <w:tc>
          <w:tcPr>
            <w:tcW w:w="6220" w:type="dxa"/>
            <w:vAlign w:val="bottom"/>
          </w:tcPr>
          <w:p>
            <w:pPr>
              <w:spacing w:after="0"/>
              <w:rPr>
                <w:sz w:val="20"/>
                <w:szCs w:val="20"/>
                <w:color w:val="auto"/>
              </w:rPr>
            </w:pPr>
          </w:p>
        </w:tc>
        <w:tc>
          <w:tcPr>
            <w:tcW w:w="15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r>
      <w:tr>
        <w:trPr>
          <w:trHeight w:val="21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as of December 31, 2021</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365,965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124.25</w:t>
            </w: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287,821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214.58</w:t>
            </w:r>
          </w:p>
        </w:tc>
      </w:tr>
      <w:tr>
        <w:trPr>
          <w:trHeight w:val="216"/>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(234,284)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83.52</w:t>
            </w: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(41,204)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263.47</w:t>
            </w:r>
          </w:p>
        </w:tc>
      </w:tr>
      <w:tr>
        <w:trPr>
          <w:trHeight w:val="20"/>
        </w:trPr>
        <w:tc>
          <w:tcPr>
            <w:tcW w:w="62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as of December 31, 2022</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378,298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203.04</w:t>
            </w:r>
          </w:p>
        </w:tc>
      </w:tr>
      <w:tr>
        <w:trPr>
          <w:trHeight w:val="216"/>
        </w:trPr>
        <w:tc>
          <w:tcPr>
            <w:tcW w:w="6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425,099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117.62</w:t>
            </w: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(133,222)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175.94</w:t>
            </w:r>
          </w:p>
        </w:tc>
      </w:tr>
      <w:tr>
        <w:trPr>
          <w:trHeight w:val="216"/>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(44,789)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213.80</w:t>
            </w:r>
          </w:p>
        </w:tc>
      </w:tr>
      <w:tr>
        <w:trPr>
          <w:trHeight w:val="20"/>
        </w:trPr>
        <w:tc>
          <w:tcPr>
            <w:tcW w:w="622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Non-vested as of December 31, 2023</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625,386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153.01</w:t>
            </w:r>
          </w:p>
        </w:tc>
      </w:tr>
      <w:tr>
        <w:trPr>
          <w:trHeight w:val="216"/>
        </w:trPr>
        <w:tc>
          <w:tcPr>
            <w:tcW w:w="6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503,937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120.77</w:t>
            </w:r>
          </w:p>
        </w:tc>
      </w:tr>
      <w:tr>
        <w:trPr>
          <w:trHeight w:val="216"/>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(206,435)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177.28</w:t>
            </w: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(115,135)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130.89</w:t>
            </w:r>
          </w:p>
        </w:tc>
      </w:tr>
      <w:tr>
        <w:trPr>
          <w:trHeight w:val="20"/>
        </w:trPr>
        <w:tc>
          <w:tcPr>
            <w:tcW w:w="62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as of December 31, 2024</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807,753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127.07</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there was $59,177 of unrecognized compensation cost, net of expected forfeitures, related to non-vested restricted stock awards. That cost is expected to be recognized over the remaining service period, having a weighted-average period of 1.9 years. Total share-based compensation cost related to the restricted stock for the years ended December 31, 2024, 2023 and 2022, inclusive of performance shares, was $41,126, $27,263, and $22,570, respectively, which is recorded in operating expenses in the consolidated statements of comprehensive income.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2024, 2023 and 2022, 14,814, 16,174, and 8,572 shares of stock, respectively, were granted to certain members of the Company’s Board as a component of their compensation for their service on the Board, all of which were fully vested at time of grant. A non-employee director can elect to receive his or her director fees in the form of deferred stock units, which voluntarily defers the issuance of the related shares granted until the director separates from the Company, or a triggering event occurs. 8,484, 8,832, and 5,008 of deferred stock units are included in the shares of stock granted to certain members of the Company’s Board for the years 2024, 2023, and 2022, respectively. Total share-based compensation cost for shares of stock granted to the Company's Board in 2024, 2023 and 2022 was $1,992, $1,846, and $1,886, respectively, which is recorded in operating expenses in the consolidated statements of comprehensive income.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18.Commitments and Contingencies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an arrangement with a finance company to provide floor plan financing for certain dealers. The Company receives payment from the finance company after shipment of product to the dealer. The Company participates in the cost of dealer financing up to certain limits and has agreed to repurchase products repossessed by the finance company, but does not indemnify the finance company for any credit losses they incur. The amount financed by dealers which remained outstanding under this arrangement as of December 31, 2024 and 2023 was approximately $165,432 and $158,028, respectively.</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1, 2022, Power Home Solar, LLC d/b/a Pink Energy (PHS) filed a lawsuit in the Western District of Virginia against Generac Power Systems, Inc., a wholly-owned subsidiary of the Company (Generac Power). The complaint alleges breaches of warranty, product liability, and other various causes of action against Generac Power relating to the sale and performance of certain clean energy equipment and seeks to recover damages, including consequential damages, that PHS allegedly incurred. The Company disputes the allegations in the complaint, including that PHS can seek consequential damages or amounts greater than the $25,000 liability cap set forth in the agreement between the parties. Generac Power moved to dismiss the complaint and compel arbitration consistent with the parties’ agreement. PHS later filed a Chapter 7 bankruptcy petition in the Western District of North Carolina that identified Generac Power as one of its outstanding creditors. The parties agreed to toll PHS’s deadline to respond to the motion to dismiss and all other pretrial deadlines to allow the bankruptcy trustee to evaluate the complaint. The Trustee has not yet taken further action in this lawsuit. Generac Power intends to vigorously defend against the claims in the complaint, in whichever forum they may proceed.</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October 28, 2022, Daniel Haak filed a putative consumer class action lawsuit against Generac Power in the Middle District of Florida. The complaint alleges breaches of warranty, tort-based, and unjust enrichment claims against Generac Power relating to the sale and performance of certain clean energy products, and seeks to recover damages, including consequential damages, that the plaintiff and putative class allegedly incurred. Additional putative class actions were filed by consumers raising similar claims and allegations in other district court cases. These putative class actions have been consolidated into a Multidistrict Litigation, </w:t>
      </w:r>
      <w:r>
        <w:rPr>
          <w:rFonts w:ascii="Times New Roman" w:cs="Times New Roman" w:eastAsia="Times New Roman" w:hAnsi="Times New Roman"/>
          <w:sz w:val="18"/>
          <w:szCs w:val="18"/>
          <w:i w:val="1"/>
          <w:iCs w:val="1"/>
          <w:color w:val="auto"/>
        </w:rPr>
        <w:t>In re: Generac Solar Power Systems Marketing, Sales Practices and Products Liability Litigation</w:t>
      </w:r>
      <w:r>
        <w:rPr>
          <w:rFonts w:ascii="Times New Roman" w:cs="Times New Roman" w:eastAsia="Times New Roman" w:hAnsi="Times New Roman"/>
          <w:sz w:val="18"/>
          <w:szCs w:val="18"/>
          <w:color w:val="auto"/>
        </w:rPr>
        <w:t xml:space="preserve"> currently pending in the Eastern District of Wisconsin, Case </w:t>
      </w:r>
      <w:r>
        <w:rPr>
          <w:rFonts w:ascii="Times New Roman" w:cs="Times New Roman" w:eastAsia="Times New Roman" w:hAnsi="Times New Roman"/>
          <w:sz w:val="18"/>
          <w:szCs w:val="18"/>
          <w:i w:val="1"/>
          <w:iCs w:val="1"/>
          <w:color w:val="auto"/>
        </w:rPr>
        <w:t>No. 23</w:t>
      </w:r>
      <w:r>
        <w:rPr>
          <w:rFonts w:ascii="Times New Roman" w:cs="Times New Roman" w:eastAsia="Times New Roman" w:hAnsi="Times New Roman"/>
          <w:sz w:val="18"/>
          <w:szCs w:val="18"/>
          <w:color w:val="auto"/>
        </w:rPr>
        <w:t>-md-</w:t>
      </w:r>
      <w:r>
        <w:rPr>
          <w:rFonts w:ascii="Times New Roman" w:cs="Times New Roman" w:eastAsia="Times New Roman" w:hAnsi="Times New Roman"/>
          <w:sz w:val="18"/>
          <w:szCs w:val="18"/>
          <w:i w:val="1"/>
          <w:iCs w:val="1"/>
          <w:color w:val="auto"/>
        </w:rPr>
        <w:t>3078.</w:t>
      </w:r>
      <w:r>
        <w:rPr>
          <w:rFonts w:ascii="Times New Roman" w:cs="Times New Roman" w:eastAsia="Times New Roman" w:hAnsi="Times New Roman"/>
          <w:sz w:val="18"/>
          <w:szCs w:val="18"/>
          <w:color w:val="auto"/>
        </w:rPr>
        <w:t xml:space="preserve"> Generac Power and the Company filed their answer to the consolidated master complaint after the court denied the motion to dismiss on May 24, 2024. Generac Power and the Company intend to vigorously defend against the consolidated master complaint.</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December 1, 2022, Oakland County Voluntary Employees’ Beneficiary Association and Oakland County Employees’ Retirement System filed a putative securities class action lawsuit against the Company and certain of its officers in the Eastern District of Wisconsin. The court subsequently consolidated a later filed action and appointed a lead plaintiff. The lead plaintiff filed a consolidated complaint alleging violation of federal securities law related to disclosures of certain matters (the </w:t>
      </w:r>
      <w:r>
        <w:rPr>
          <w:rFonts w:ascii="Times New Roman" w:cs="Times New Roman" w:eastAsia="Times New Roman" w:hAnsi="Times New Roman"/>
          <w:sz w:val="18"/>
          <w:szCs w:val="18"/>
          <w:i w:val="1"/>
          <w:iCs w:val="1"/>
          <w:color w:val="auto"/>
        </w:rPr>
        <w:t>Oakland County</w:t>
      </w:r>
      <w:r>
        <w:rPr>
          <w:rFonts w:ascii="Times New Roman" w:cs="Times New Roman" w:eastAsia="Times New Roman" w:hAnsi="Times New Roman"/>
          <w:sz w:val="18"/>
          <w:szCs w:val="18"/>
          <w:color w:val="auto"/>
        </w:rPr>
        <w:t xml:space="preserve"> Lawsuit). On February 7, 2025, the court granted the Company’s motion to dismiss and found that plaintiffs failed to adequately plead a securities fraud claim. The court gave plaintiffs until March 10, 2025, to file an amended complaint if they want to continue the lawsuit.</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February 3, 2023, a purported Company shareholder filed a shareholder derivative action against certain of the Company’s officers and directors in the United States District Court for the Eastern District of Wisconsin. The complaint seeks unspecified damages on behalf of the Company and certain other relief, such as certain reforms to corporate governance practices. The complaint (in which the Company is named as a nominal defendant) generally alleges, among other things, breaches of fiduciary duties in connection with the oversight of the Company’s public statements and legal compliance, and that the Company was damaged as a result of the breaches of fiduciary duties, and the defendants were unjustly enriched. The complaint also alleges, among other things, violations of Sections 14(a), 10(b) and 20(a) of the Securities Exchange Act of 1934, abuse of control, gross mismanagement, and waste of corporate assets. The Company has received several additional derivative actions filed in both state and federal courts raising similar claims and allegations, including issues raised in the </w:t>
      </w:r>
      <w:r>
        <w:rPr>
          <w:rFonts w:ascii="Times New Roman" w:cs="Times New Roman" w:eastAsia="Times New Roman" w:hAnsi="Times New Roman"/>
          <w:sz w:val="18"/>
          <w:szCs w:val="18"/>
          <w:i w:val="1"/>
          <w:iCs w:val="1"/>
          <w:color w:val="auto"/>
        </w:rPr>
        <w:t>Oakland County</w:t>
      </w:r>
      <w:r>
        <w:rPr>
          <w:rFonts w:ascii="Times New Roman" w:cs="Times New Roman" w:eastAsia="Times New Roman" w:hAnsi="Times New Roman"/>
          <w:sz w:val="18"/>
          <w:szCs w:val="18"/>
          <w:color w:val="auto"/>
        </w:rPr>
        <w:t xml:space="preserve"> Lawsuit. The Company disputes the allegations in the shareholder derivative actions and intends to vigorously defend against the claims in the complaints.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28, 2022, Generac Power received a grand jury subpoena from the U.S. Attorney for the Eastern District of Michigan, as a result of which the Company became aware of an enforcement investigation by the U.S. DOJ. The subpoena requests similar documents and information provided by the Company to the U.S. EPA and the CARB in response to civil document requests related to the Company’s compliance with emissions regulations for approximately 1,850 (not in thousands) portable generators produced by the Company in 2019 and 2020 and sold in 2020. On October 2, 2024, the Company received additional information from the EPA that could increase the number of portable generators under review by the EPA by approximately 4,850 (not in thousands) if certain emissions certifications for 2020 are voided. The Company is cooperating with the DOJ, EPA and CARB regarding these topics and related requests.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30, 2022, the CPSC notified the Company of its intention to recommend the imposition of a civil penalty for failing to timely submit a report to the CPSC in relation to certain portable generators that were subject to a voluntary recall previously announced on July 29, 2021. On May 3, 2023, the parties entered into a mutual settlement agreement. The agreement does not constitute an admission by Generac or a determination by the CPSC that Generac violated the CPSA. The terms of the settlement agreement require the Company to (i) abide by certain customary agency requirements regarding the ongoing commitment to the Company’s internal CPSA compliance practices and program, and (ii) pay a civil fine of $15,800. On July 21, 2023, Generac Power received a grand jury subpoena from the U.S. Attorney for the Eastern District of Wisconsin, as a result of which the Company became aware of a continuing inquiry by the DOJ related to its statutory obligations under the CPSA in connection with this matter. Additionally, on October 23, 2023, the CPSC notified the Company that it is further investigating whether the Company complied with the reporting requirements to the CPSC in relation to certain portable generators that were subject to a voluntary recall previously announced on September 14, 2023. The Company is cooperating fully with both the CPSC and DOJ investigations and, at this time, is unable to predict the eventual scope, duration or final outcome of such investigations.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2019, EcoFactor, Inc. started a litigation campaign against smart thermostat manufacturers, including ecobee, Inc., which was acquired by the Company in 2021. EcoFactor accused ecobee of infringing its patents in three lawsuits filed in the United States District Court for the Western District of Texas and one lawsuit in the United States District Court for the District of Delaware. On June 23, 2023, a jury issued a verdict in a consolidated action in the Western District of Texas (Case Nos. 21-cv-00428-ADA and 20-cv-00078-ADA) finding that ecobee infringed one of the two patents at issue and awarded a lump-sum payment of $5,400 for past and future damages. On December 27, 2023, the parties reached a global settlement at an incremental cost of $4,600 to resolve all remaining disputes between the parties, including the two remaining lawsuits. In 2023, the Company recorded a reserve of $10,000 related to this matter.</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8, 2022, Ollnova Technologies Limited, a non-practicing entity, filed a patent infringement lawsuit against ecobee Technologies, ULC. (ecobee) in the United States District Court for the Eastern District of Texas (Case No. 22-cv-00072-JRG). Ollnova claimed that ecobee infringes on four of its</w:t>
      </w:r>
    </w:p>
    <w:p>
      <w:pPr>
        <w:sectPr>
          <w:pgSz w:w="11900" w:h="16846" w:orient="portrait"/>
          <w:cols w:equalWidth="0" w:num="1">
            <w:col w:w="11240"/>
          </w:cols>
          <w:pgMar w:left="320" w:top="121" w:right="339" w:bottom="0" w:gutter="0" w:footer="0" w:header="0"/>
        </w:sectPr>
      </w:pPr>
    </w:p>
    <w:bookmarkStart w:id="85" w:name="page86"/>
    <w:bookmarkEnd w:id="85"/>
    <w:p>
      <w:pPr>
        <w:jc w:val="both"/>
        <w:spacing w:after="0" w:line="258" w:lineRule="auto"/>
        <w:rPr>
          <w:sz w:val="20"/>
          <w:szCs w:val="20"/>
          <w:color w:val="auto"/>
        </w:rPr>
      </w:pPr>
      <w:r>
        <w:rPr>
          <w:rFonts w:ascii="Times New Roman" w:cs="Times New Roman" w:eastAsia="Times New Roman" w:hAnsi="Times New Roman"/>
          <w:sz w:val="18"/>
          <w:szCs w:val="18"/>
          <w:color w:val="auto"/>
        </w:rPr>
        <w:t>patents. Following an October 5, 2023, jury verdict finding one of Ollnova’s patents invalid and that ecobee infringed at least one of the claims of the asserted patents, on March 1, 2024, the trial court entered judgment against ecobee for $11,500, as well as an award of prejudgment and post-judgment interest. In 2023, the Company recorded a reserve of $12,669 related to this matter. In the first quarter of 2024, the Company recorded an additional reserve of $1,826 for estimated prejudgment and post-judgement interest. ecobee has appealed the trial court’s judgment to the Court of Appeals for the Federal Circuit and that appeal is currently pending.</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9, 2023, Spartronics Vietnam, Inc., a contract manufacturer of Generac Power’s clean energy products, filed multiple lawsuits against Generac Power and sub-suppliers accusing Generac Power of fraud, breaching its supply agreement with Spartronics, tortiously interfering with Spartronics’ relationships with its sub-suppliers, and requesting a determination of rights under the parties’ agreements in state and federal court. Spartronics subsequently filed additional third-party complaints against Generac Power raising similar claims and allegations. After a court granted Generac Power’s motion to compel arbitration, Spartronics filed a demand for arbitration of its claims. Generac Power denies the allegations in the complaints, including that Generac Power is responsible for Spartronics' purchasing practices, and is pursuing a counterclaim in connection with the arbitration.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November 21, 2023, Christopher Walling filed a putative securities class action lawsuit against the Company and certain of its officers in the Western District of Wisconsin and was later appointed lead plaintiff. The complaint asserts claims for alleged violation of federal securities law related to statements concerning the Company’s financial outlook and the impact of macroeconomic trends on the demand for its products. The plaintiff seeks to represent a class of individuals who purchased or otherwise acquired common stock between May 3, 2023, and August 3, 2023, and seeks unspecified compensatory damages and other relief on behalf of a purported class of purchasers of the Company’s stock (the </w:t>
      </w:r>
      <w:r>
        <w:rPr>
          <w:rFonts w:ascii="Times New Roman" w:cs="Times New Roman" w:eastAsia="Times New Roman" w:hAnsi="Times New Roman"/>
          <w:sz w:val="18"/>
          <w:szCs w:val="18"/>
          <w:i w:val="1"/>
          <w:iCs w:val="1"/>
          <w:color w:val="auto"/>
        </w:rPr>
        <w:t>Walling</w:t>
      </w:r>
      <w:r>
        <w:rPr>
          <w:rFonts w:ascii="Times New Roman" w:cs="Times New Roman" w:eastAsia="Times New Roman" w:hAnsi="Times New Roman"/>
          <w:sz w:val="18"/>
          <w:szCs w:val="18"/>
          <w:color w:val="auto"/>
        </w:rPr>
        <w:t xml:space="preserve"> Lawsuit). The Company moved to dismiss the amended complaint on June 21, 2024, and intends to vigorously defend against the claims in the amended complaint.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February 14, 2024, a purported Company shareholder filed a derivative action against certain of the Company’s officers and directors in the United States District Court for the Eastern District of Wisconsin. The complaint (in which the Company is named as a nominal defendant) generally alleges, among other things, breaches of fiduciary duties in connection with the oversight of the Company’s public statements and legal compliance, including as to the claims raised in the </w:t>
      </w:r>
      <w:r>
        <w:rPr>
          <w:rFonts w:ascii="Times New Roman" w:cs="Times New Roman" w:eastAsia="Times New Roman" w:hAnsi="Times New Roman"/>
          <w:sz w:val="18"/>
          <w:szCs w:val="18"/>
          <w:i w:val="1"/>
          <w:iCs w:val="1"/>
          <w:color w:val="auto"/>
        </w:rPr>
        <w:t>Walling</w:t>
      </w:r>
      <w:r>
        <w:rPr>
          <w:rFonts w:ascii="Times New Roman" w:cs="Times New Roman" w:eastAsia="Times New Roman" w:hAnsi="Times New Roman"/>
          <w:sz w:val="18"/>
          <w:szCs w:val="18"/>
          <w:color w:val="auto"/>
        </w:rPr>
        <w:t xml:space="preserve"> Lawsuit. The complaint seeks unspecified damages on behalf of the Company and certain other relief, including certain corporate governance reforms. The Company disputes the allegations in the shareholder derivative action and intends to vigorously defend against the claims in the complaint.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9, 2024, Champion Power Equipment, Inc. (Champion) filed a patent infringement lawsuit against Generac Power in the United States District Court for the Eastern District of Wisconsin (Case No. 24-cv-01281-LA). Champion claims that certain Generac and Powermate branded multi-fuel portable generators infringe on Champion’s portfolio of dual and multi-fuel patents. Generac Power denies the allegations and intends to vigorously defend the matter.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18, 2024, two individuals filed a putative consumer class action lawsuit against Generac Power and the Company in the Middle District of Florida (Case No. 24-cv-02412). The Amended Complaint, which includes additional plaintiffs, alleges certain defects for home standby generators manufactured or sold to consumers from 2020-2024. Plaintiffs assert breaches of warranty, tort-based, and statutory claims relating to the sale and performance of home standby generators. The Company disputes the allegations and intends to vigorously defend against the claims in the complaint, including that the case should not proceed as a class action.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presently unlikely that any legal, regulatory or other proceedings pending against or involving the Company will have a material adverse effect on the Company’s financial condition, results of operations or cash flows. However, in many of these matters, it is inherently difficult to determine whether a loss is probable or to estimate the size or range of the possible loss given the variety and potential outcomes of actual and potential claims, the uncertainty of future rulings, the behavior or incentives of adverse parties, and other factors outside the control of the Company. Accordingly, the Company’s loss reserves may change from time to time, and actual losses could exceed the amounts reserved by an amount that could be material to the Company’s consolidated financial position, results of operations or cash flows in any particular reporting period.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23"/>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19. Valuation and Qualifying Accounts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the years ended December 31, 2024, 2023 and 2022:</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Reserves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Balance at</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Additions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Charges to</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Established</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Beginning of</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Charged to</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Reserve, Net</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for</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Balance at</w:t>
            </w:r>
          </w:p>
        </w:tc>
      </w:tr>
      <w:tr>
        <w:trPr>
          <w:trHeight w:val="238"/>
        </w:trPr>
        <w:tc>
          <w:tcPr>
            <w:tcW w:w="12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20" w:type="dxa"/>
            <w:vAlign w:val="bottom"/>
          </w:tcPr>
          <w:p>
            <w:pPr>
              <w:spacing w:after="0"/>
              <w:rPr>
                <w:sz w:val="20"/>
                <w:szCs w:val="20"/>
                <w:color w:val="auto"/>
              </w:rPr>
            </w:pPr>
          </w:p>
        </w:tc>
        <w:tc>
          <w:tcPr>
            <w:tcW w:w="9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(1)</w:t>
            </w:r>
          </w:p>
        </w:tc>
        <w:tc>
          <w:tcPr>
            <w:tcW w:w="220" w:type="dxa"/>
            <w:vAlign w:val="bottom"/>
          </w:tcPr>
          <w:p>
            <w:pPr>
              <w:spacing w:after="0"/>
              <w:rPr>
                <w:sz w:val="20"/>
                <w:szCs w:val="20"/>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Acquisitions</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End of Year</w:t>
            </w:r>
          </w:p>
        </w:tc>
      </w:tr>
      <w:tr>
        <w:trPr>
          <w:trHeight w:val="209"/>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33,925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4,524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(3,509)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35,465</w:t>
            </w: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Reserves for inventory</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39,027</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10,738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(2,924)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48,173</w:t>
            </w: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Valuation of deferred tax assets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5,136</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5,225</w:t>
            </w:r>
          </w:p>
        </w:tc>
      </w:tr>
      <w:tr>
        <w:trPr>
          <w:trHeight w:val="216"/>
        </w:trPr>
        <w:tc>
          <w:tcPr>
            <w:tcW w:w="12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27,664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7,443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33,925</w:t>
            </w: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Reserves for inventory</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39,714</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4,621</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(5,308)</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39,027</w:t>
            </w: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Valuation of deferred tax assets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4,638</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5,136</w:t>
            </w:r>
          </w:p>
        </w:tc>
      </w:tr>
      <w:tr>
        <w:trPr>
          <w:trHeight w:val="216"/>
        </w:trPr>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12,025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17,966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(2,825)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27,664</w:t>
            </w: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Reserves for inventory</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33,537</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9,656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(4,737)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39,714</w:t>
            </w:r>
          </w:p>
        </w:tc>
      </w:tr>
      <w:tr>
        <w:trPr>
          <w:trHeight w:val="234"/>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Valuation of deferred tax assets</w:t>
            </w:r>
          </w:p>
        </w:tc>
        <w:tc>
          <w:tcPr>
            <w:tcW w:w="14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7,874</w:t>
            </w:r>
          </w:p>
        </w:tc>
        <w:tc>
          <w:tcPr>
            <w:tcW w:w="12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649</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(1,501)</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(2,384)</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4,638</w:t>
            </w:r>
          </w:p>
        </w:tc>
      </w:tr>
    </w:tbl>
    <w:p>
      <w:pPr>
        <w:spacing w:after="0" w:line="179" w:lineRule="exact"/>
        <w:rPr>
          <w:sz w:val="20"/>
          <w:szCs w:val="20"/>
          <w:color w:val="auto"/>
        </w:rPr>
      </w:pPr>
    </w:p>
    <w:p>
      <w:pPr>
        <w:jc w:val="both"/>
        <w:ind w:left="660" w:hanging="328"/>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Deductions from the allowance for credit losses equal accounts receivable written off against the allowance, less recoveries, as well as foreign currency translation adjustments. Deductions from the reserves for inventory excess and obsolete items equal inventory written off against the reserve as items were disposed of, as well as foreign currency translation adjustments.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changes in, or disagreements with, accountants reportable herein.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by us in reports we file or submit under the Securities Exchange Act of 1934 (Exchange Act), is recorded, processed, summarized and reported within the time periods specified in the Securities and Exchange Commission rules and forms. Disclosure controls and procedures include, without limitation, controls and procedures designed to ensure that such information is accumulated and communicated to our management, including our Chief Executive Officer and Chief Financial Officer, as appropriate, to allow for timely decisions regarding required disclosure.</w:t>
      </w:r>
    </w:p>
    <w:p>
      <w:pPr>
        <w:spacing w:after="0" w:line="18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has conducted an evaluation of the design and operation of our disclosure controls and procedures as defined in Rule 13a-15(e) and 15d-15(e) under the Exchange Act as of the end of the period covered by this report on Form 10-K. Based on that evaluation, our Chief Executive Officer and Chief Financial Officer concluded that our disclosure controls and procedures were effective in providing reasonable assurance that the information required to be disclosed in this report on Form 10-K has been recorded, processed, summarized and reported as of the end of the period covered by this report on Form 10-K.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and 15d-15(f) under the Exchange Act. Our internal control over financial reporting is designed under the supervision of our Chief Executive Officer and Chief Financial Officer to provide reasonable assurance regarding the reliability of financial reporting and the preparation of the consolidated financial statements in accordance with U.S. GAAP.</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the financial statements in accordance with U.S.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Company’s financial statements.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inherent limitations to the effectiveness of any internal control over financial reporting, including the possibility of human error or the circumvention or overriding of the controls. Accordingly, even an effective internal control over financial reporting can provide only reasonable assurance of achieving its objective.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our Chief Executive Officer and Chief Financial Officer, our management conducted an assessment of the effectiveness of internal control over financial reporting as of December 31, 2024 based on the criteria established in the 2013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Integrated Framework</w:t>
      </w:r>
      <w:r>
        <w:rPr>
          <w:rFonts w:ascii="Times New Roman" w:cs="Times New Roman" w:eastAsia="Times New Roman" w:hAnsi="Times New Roman"/>
          <w:sz w:val="18"/>
          <w:szCs w:val="18"/>
          <w:color w:val="auto"/>
        </w:rPr>
        <w:t>, issued by the Committee of Sponsoring Organizations of the Treadway Commission (COSO). Based on this assessment,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has concluded that our internal control over financial reporting was effective as of December 31, 2024.</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Deloitte &amp; Touche LLP (PCAOB ID No. 34), the Company’s independent registered public accounting firm, issued an attestation report on the effectiveness of the Company’s internal control over financial reporting as of December 31, 2024, which is included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the three months ended December 31, 2024 that have materially affected, or are reasonably likely to materially affect, our internal control over financial reporting.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Adoption: On November 19, 2024, Aaron Jagdfeld, Chief Executive Officer and director, adopted a Rule 10b5-1 trading arrangement that is intended to satisfy the affirmative defense of Rule 10b5-1(c) for (i) the sale of up to 46,303 shares of the Company’s common stock and (ii) the exercise of stock options to acquire 13,697 shares and sale of the acquired shares until February 27, 2026.</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10 not already provided herein under “Item 1 – Business – Information About Our Executive Officers”, will be included in our 2025 Proxy Statement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our 2025 Proxy Statement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including under the heading “Securities Authorized for Issuance Under Equity Compensation Plans,” will be included in our 2025 Proxy Statement and is incorporated herein by reference.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1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1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our 2025 Proxy Statement and is incorporated herein by reference.</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our 2025 Proxy Statement and is incorporated herein by reference.</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580" w:type="dxa"/>
            <w:vAlign w:val="bottom"/>
            <w:gridSpan w:val="4"/>
          </w:tcPr>
          <w:p>
            <w:pPr>
              <w:ind w:left="66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(a)(1) Financial Statements</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Included in Part II of this report:</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EE"/>
                <w:w w:val="99"/>
              </w:rPr>
              <w:t>Reports of Independent Registered Public Accounting Firm</w:t>
            </w:r>
          </w:p>
        </w:tc>
        <w:tc>
          <w:tcPr>
            <w:tcW w:w="4880" w:type="dxa"/>
            <w:vAlign w:val="bottom"/>
            <w:gridSpan w:val="5"/>
            <w:vMerge w:val="restart"/>
          </w:tcPr>
          <w:p>
            <w:pPr>
              <w:spacing w:after="0"/>
              <w:rPr>
                <w:sz w:val="24"/>
                <w:szCs w:val="24"/>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4300" w:type="dxa"/>
            <w:vAlign w:val="bottom"/>
            <w:tcBorders>
              <w:bottom w:val="single" w:sz="8" w:color="0000EE"/>
            </w:tcBorders>
            <w:gridSpan w:val="2"/>
            <w:vMerge w:val="continue"/>
          </w:tcPr>
          <w:p>
            <w:pPr>
              <w:spacing w:after="0"/>
              <w:rPr>
                <w:sz w:val="14"/>
                <w:szCs w:val="14"/>
                <w:color w:val="auto"/>
              </w:rPr>
            </w:pPr>
          </w:p>
        </w:tc>
        <w:tc>
          <w:tcPr>
            <w:tcW w:w="4880" w:type="dxa"/>
            <w:vAlign w:val="bottom"/>
            <w:gridSpan w:val="5"/>
            <w:vMerge w:val="continue"/>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Borders>
              <w:bottom w:val="single" w:sz="8" w:color="0000EE"/>
            </w:tcBorders>
          </w:tcPr>
          <w:p>
            <w:pPr>
              <w:jc w:val="center"/>
              <w:spacing w:after="0" w:line="169" w:lineRule="exact"/>
              <w:rPr>
                <w:sz w:val="20"/>
                <w:szCs w:val="20"/>
                <w:color w:val="auto"/>
              </w:rPr>
            </w:pPr>
            <w:r>
              <w:rPr>
                <w:rFonts w:ascii="Times New Roman" w:cs="Times New Roman" w:eastAsia="Times New Roman" w:hAnsi="Times New Roman"/>
                <w:sz w:val="18"/>
                <w:szCs w:val="18"/>
                <w:color w:val="0000EE"/>
                <w:w w:val="99"/>
              </w:rPr>
              <w:t>34</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balance sheets as of December 31, 2024 and 2023</w:t>
            </w:r>
          </w:p>
        </w:tc>
        <w:tc>
          <w:tcPr>
            <w:tcW w:w="4580" w:type="dxa"/>
            <w:vAlign w:val="bottom"/>
            <w:gridSpan w:val="4"/>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bottom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37</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comprehensive income for years ended December 31, 2024, 2023 and 2022</w:t>
            </w:r>
          </w:p>
        </w:tc>
        <w:tc>
          <w:tcPr>
            <w:tcW w:w="1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bottom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38</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4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stockholders’ equity for years ended December 31, 2024, 2023 and 2022</w:t>
            </w:r>
          </w:p>
        </w:tc>
        <w:tc>
          <w:tcPr>
            <w:tcW w:w="194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bottom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39</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1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2024, 2023 and 2022</w:t>
            </w:r>
          </w:p>
        </w:tc>
        <w:tc>
          <w:tcPr>
            <w:tcW w:w="860" w:type="dxa"/>
            <w:vAlign w:val="bottom"/>
            <w:gridSpan w:val="2"/>
          </w:tcPr>
          <w:p>
            <w:pPr>
              <w:jc w:val="center"/>
              <w:ind w:left="590"/>
              <w:spacing w:after="0" w:line="196" w:lineRule="exact"/>
              <w:rPr>
                <w:sz w:val="20"/>
                <w:szCs w:val="20"/>
                <w:color w:val="auto"/>
              </w:rPr>
            </w:pPr>
            <w:r>
              <w:rPr>
                <w:rFonts w:ascii="Times New Roman" w:cs="Times New Roman" w:eastAsia="Times New Roman" w:hAnsi="Times New Roman"/>
                <w:sz w:val="18"/>
                <w:szCs w:val="18"/>
                <w:color w:val="0000EE"/>
                <w:w w:val="99"/>
              </w:rPr>
              <w:t>40</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238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top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41</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4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(a)(2) Financial Statement Schedules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since the required information is not applicable or is not present in amounts sufficient to require submission of the schedule, or because the information required is included in the consolidated financial statements and notes thereto.</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(a)(3)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exhibits index is the list of the exhibits being filed or furnished with or incorporated by reference into this Annual Report on Form 10-K: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80" w:type="dxa"/>
            <w:vAlign w:val="bottom"/>
            <w:gridSpan w:val="11"/>
          </w:tcPr>
          <w:p>
            <w:pPr>
              <w:ind w:left="8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38"/>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69"/>
        </w:trPr>
        <w:tc>
          <w:tcPr>
            <w:tcW w:w="1140" w:type="dxa"/>
            <w:vAlign w:val="bottom"/>
          </w:tcPr>
          <w:p>
            <w:pPr>
              <w:ind w:left="180"/>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4"/>
                <w:szCs w:val="14"/>
                <w:color w:val="auto"/>
              </w:rPr>
            </w:pPr>
          </w:p>
        </w:tc>
        <w:tc>
          <w:tcPr>
            <w:tcW w:w="9880" w:type="dxa"/>
            <w:vAlign w:val="bottom"/>
            <w:gridSpan w:val="16"/>
          </w:tcPr>
          <w:p>
            <w:pPr>
              <w:spacing w:after="0" w:line="169"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Arrangement Agreement dated as of November 1, 2021 by and among 13462234 Canada Inc., Generac Power Systems, Inc., ecobee</w:t>
              </w:r>
            </w:hyperlink>
          </w:p>
        </w:tc>
        <w:tc>
          <w:tcPr>
            <w:tcW w:w="2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Inc., and Shareholder Representative Services LLC (incorporated by reference to Exhibit 2.1 of the Company's Current Report on Form</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8-K filed with the SEC on November 2, 2021).</w:t>
              </w:r>
            </w:hyperlink>
          </w:p>
        </w:tc>
        <w:tc>
          <w:tcPr>
            <w:tcW w:w="6520" w:type="dxa"/>
            <w:vAlign w:val="bottom"/>
            <w:gridSpan w:val="13"/>
          </w:tcPr>
          <w:p>
            <w:pPr>
              <w:spacing w:after="0"/>
              <w:rPr>
                <w:sz w:val="17"/>
                <w:szCs w:val="17"/>
                <w:color w:val="auto"/>
              </w:rPr>
            </w:pPr>
          </w:p>
        </w:tc>
      </w:tr>
      <w:tr>
        <w:trPr>
          <w:trHeight w:val="412"/>
        </w:trPr>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24"/>
                <w:szCs w:val="24"/>
                <w:color w:val="auto"/>
              </w:rPr>
            </w:pPr>
          </w:p>
        </w:tc>
        <w:tc>
          <w:tcPr>
            <w:tcW w:w="99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Amendment No. 1, dated as of May 31, 2022, to Arrangement Agreement dated as of November 1, 2021, by and among 13462234</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Canada Inc., Generac Power Systems, Inc., ecobee Inc., and Shareholder Representative Services LLC (incorporated by reference to</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00" w:type="dxa"/>
            <w:vAlign w:val="bottom"/>
            <w:gridSpan w:val="17"/>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Exhibit 10.2 of the Quarterly Report on Form 10-Q filed with the SEC on August 8, 2022).</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24"/>
                <w:szCs w:val="24"/>
                <w:color w:val="auto"/>
              </w:rPr>
            </w:pPr>
          </w:p>
        </w:tc>
        <w:tc>
          <w:tcPr>
            <w:tcW w:w="9900" w:type="dxa"/>
            <w:vAlign w:val="bottom"/>
            <w:gridSpan w:val="17"/>
          </w:tcPr>
          <w:p>
            <w:pPr>
              <w:spacing w:after="0"/>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Amendment, dated as of December 29, 2022, to Arrangement Agreement dated as of November 1, 2021 by and among 13462234</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Canada Inc., Generac Power Systems, Inc., ecobee Inc., and Shareholder Representative Services LLC (incorporated by reference to</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5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Exhibit 2.3 of the Annual Report on Form 10-K filed with the SEC on February 22, 2023).</w:t>
              </w:r>
            </w:hyperlink>
          </w:p>
        </w:tc>
        <w:tc>
          <w:tcPr>
            <w:tcW w:w="3360" w:type="dxa"/>
            <w:vAlign w:val="bottom"/>
            <w:gridSpan w:val="9"/>
          </w:tcPr>
          <w:p>
            <w:pPr>
              <w:spacing w:after="0"/>
              <w:rPr>
                <w:sz w:val="17"/>
                <w:szCs w:val="17"/>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4"/>
                <w:szCs w:val="24"/>
                <w:color w:val="auto"/>
              </w:rPr>
            </w:pPr>
          </w:p>
        </w:tc>
        <w:tc>
          <w:tcPr>
            <w:tcW w:w="99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Third Amended and Restated Certificate of Incorporation of Generac Holdings Inc. (incorporated by reference to Exhibit 3.1 of the</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00" w:type="dxa"/>
            <w:vAlign w:val="bottom"/>
            <w:gridSpan w:val="17"/>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Company’s Annual Report on Form 10-K for the fiscal year ended December 31, 2009).</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4"/>
                <w:szCs w:val="24"/>
                <w:color w:val="auto"/>
              </w:rPr>
            </w:pPr>
          </w:p>
        </w:tc>
        <w:tc>
          <w:tcPr>
            <w:tcW w:w="99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Amended and Restated Bylaws of Generac Holdings Inc. (incorporated by reference to Exhibit 3.2 of the Company’s Current Report on</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Form 8-K filed with the SEC on March 10, 2023).</w:t>
              </w:r>
            </w:hyperlink>
          </w:p>
        </w:tc>
        <w:tc>
          <w:tcPr>
            <w:tcW w:w="6280" w:type="dxa"/>
            <w:vAlign w:val="bottom"/>
            <w:gridSpan w:val="11"/>
          </w:tcPr>
          <w:p>
            <w:pPr>
              <w:spacing w:after="0"/>
              <w:rPr>
                <w:sz w:val="17"/>
                <w:szCs w:val="17"/>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24"/>
                <w:szCs w:val="24"/>
                <w:color w:val="auto"/>
              </w:rPr>
            </w:pPr>
          </w:p>
        </w:tc>
        <w:tc>
          <w:tcPr>
            <w:tcW w:w="99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Form of Common Stock Certificate (incorporated by reference to Exhibit 4.1 of the Registration Statement on Form S-1 filed with the</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97">
              <w:r>
                <w:rPr>
                  <w:rFonts w:ascii="Times New Roman" w:cs="Times New Roman" w:eastAsia="Times New Roman" w:hAnsi="Times New Roman"/>
                  <w:sz w:val="18"/>
                  <w:szCs w:val="18"/>
                  <w:color w:val="0000EE"/>
                  <w:w w:val="98"/>
                </w:rPr>
                <w:t>SEC on January 25, 2010).</w:t>
              </w:r>
            </w:hyperlink>
          </w:p>
        </w:tc>
        <w:tc>
          <w:tcPr>
            <w:tcW w:w="7960" w:type="dxa"/>
            <w:vAlign w:val="bottom"/>
            <w:gridSpan w:val="14"/>
          </w:tcPr>
          <w:p>
            <w:pPr>
              <w:spacing w:after="0"/>
              <w:rPr>
                <w:sz w:val="17"/>
                <w:szCs w:val="17"/>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24"/>
                <w:szCs w:val="24"/>
                <w:color w:val="auto"/>
              </w:rPr>
            </w:pPr>
          </w:p>
        </w:tc>
        <w:tc>
          <w:tcPr>
            <w:tcW w:w="98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Description of Securities (incorporated by reference to Exhibit 4.2 of the Annual Report on Form 10-K filed with the SEC on February</w:t>
              </w:r>
            </w:hyperlink>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60" w:type="dxa"/>
            <w:vAlign w:val="bottom"/>
            <w:gridSpan w:val="3"/>
          </w:tcPr>
          <w:p>
            <w:pPr>
              <w:ind w:left="220"/>
              <w:spacing w:after="0" w:line="196" w:lineRule="exact"/>
              <w:rPr>
                <w:rFonts w:ascii="Times New Roman" w:cs="Times New Roman" w:eastAsia="Times New Roman" w:hAnsi="Times New Roman"/>
                <w:sz w:val="18"/>
                <w:szCs w:val="18"/>
                <w:color w:val="0000EE"/>
                <w:w w:val="97"/>
              </w:rPr>
            </w:pPr>
            <w:hyperlink r:id="rId98">
              <w:r>
                <w:rPr>
                  <w:rFonts w:ascii="Times New Roman" w:cs="Times New Roman" w:eastAsia="Times New Roman" w:hAnsi="Times New Roman"/>
                  <w:sz w:val="18"/>
                  <w:szCs w:val="18"/>
                  <w:color w:val="0000EE"/>
                  <w:w w:val="97"/>
                </w:rPr>
                <w:t>25, 2020).</w:t>
              </w:r>
            </w:hyperlink>
          </w:p>
        </w:tc>
        <w:tc>
          <w:tcPr>
            <w:tcW w:w="1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364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24"/>
                <w:szCs w:val="24"/>
                <w:color w:val="auto"/>
              </w:rPr>
            </w:pPr>
          </w:p>
        </w:tc>
        <w:tc>
          <w:tcPr>
            <w:tcW w:w="99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Credit Agreement, Dated as of February 9, 2012, As Amended and Restated as of May 30, 2012, As Further Amended and Restated as</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of May 31, 2013, among Generac Power Systems, Inc., Generac Acquisition Corp., the lenders party thereto, JPMorgan Chase Bank,</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00" w:type="dxa"/>
            <w:vAlign w:val="bottom"/>
            <w:gridSpan w:val="17"/>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N.A., as Administrative Agent and Bank of America, N.A. and Goldman Sachs Bank USA, as syndication agent (incorporated by</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6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reference to Exhibit 10.2 to the Company’s Current Report on Form 8-K filed with the SEC on June 4, 2013)</w:t>
              </w:r>
              <w:r>
                <w:rPr>
                  <w:rFonts w:ascii="Times New Roman" w:cs="Times New Roman" w:eastAsia="Times New Roman" w:hAnsi="Times New Roman"/>
                  <w:sz w:val="18"/>
                  <w:szCs w:val="18"/>
                  <w:color w:val="000000"/>
                </w:rPr>
                <w:t>.</w:t>
              </w:r>
            </w:hyperlink>
          </w:p>
        </w:tc>
        <w:tc>
          <w:tcPr>
            <w:tcW w:w="40" w:type="dxa"/>
            <w:vAlign w:val="bottom"/>
            <w:gridSpan w:val="2"/>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20" w:type="dxa"/>
            <w:vAlign w:val="bottom"/>
            <w:gridSpan w:val="4"/>
            <w:shd w:val="clear" w:color="auto" w:fill="0000EE"/>
          </w:tcPr>
          <w:p>
            <w:pPr>
              <w:spacing w:after="0" w:line="20" w:lineRule="exact"/>
              <w:rPr>
                <w:sz w:val="1"/>
                <w:szCs w:val="1"/>
                <w:color w:val="auto"/>
              </w:rPr>
            </w:pPr>
          </w:p>
        </w:tc>
        <w:tc>
          <w:tcPr>
            <w:tcW w:w="3640" w:type="dxa"/>
            <w:vAlign w:val="bottom"/>
            <w:gridSpan w:val="4"/>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24"/>
                <w:szCs w:val="24"/>
                <w:color w:val="auto"/>
              </w:rPr>
            </w:pPr>
          </w:p>
        </w:tc>
        <w:tc>
          <w:tcPr>
            <w:tcW w:w="9900" w:type="dxa"/>
            <w:vAlign w:val="bottom"/>
            <w:gridSpan w:val="17"/>
          </w:tcPr>
          <w:p>
            <w:pPr>
              <w:spacing w:after="0"/>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First Amendment dated as of May 18, 2015, to Credit Agreement, dated as of February 9, 2012, as amended and restated as of May 30,</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20" w:type="dxa"/>
            <w:vAlign w:val="bottom"/>
            <w:gridSpan w:val="4"/>
            <w:shd w:val="clear" w:color="auto" w:fill="0000EE"/>
          </w:tcPr>
          <w:p>
            <w:pPr>
              <w:spacing w:after="0" w:line="20" w:lineRule="exact"/>
              <w:rPr>
                <w:sz w:val="1"/>
                <w:szCs w:val="1"/>
                <w:color w:val="auto"/>
              </w:rPr>
            </w:pPr>
          </w:p>
        </w:tc>
        <w:tc>
          <w:tcPr>
            <w:tcW w:w="3640" w:type="dxa"/>
            <w:vAlign w:val="bottom"/>
            <w:gridSpan w:val="4"/>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2012, as further amended and restated as of May 31, 2013, among Generac Power Systems, Inc., Generac Acquisition Corp., the lenders</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party thereto, JPMorgan Chase Bank, N.A. as administrative agent and Bank of America, N.A. and Goldman Sachs Bank USA, as</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syndication agents and Deutsche Bank Securities Inc., Morgan Stanley Senior Funding, Inc. and Wells Fargo Bank, N.A. as document</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agents (incorporated by reference to Exhibit 10.2 to the Company's Quarterly Report on Form 10-Q filed with the SEC on August 7,</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680" w:type="dxa"/>
            <w:vAlign w:val="bottom"/>
            <w:gridSpan w:val="2"/>
          </w:tcPr>
          <w:p>
            <w:pPr>
              <w:ind w:left="220"/>
              <w:spacing w:after="0" w:line="196" w:lineRule="exact"/>
              <w:rPr>
                <w:rFonts w:ascii="Times New Roman" w:cs="Times New Roman" w:eastAsia="Times New Roman" w:hAnsi="Times New Roman"/>
                <w:sz w:val="18"/>
                <w:szCs w:val="18"/>
                <w:color w:val="0000EE"/>
                <w:w w:val="94"/>
              </w:rPr>
            </w:pPr>
            <w:hyperlink r:id="rId100">
              <w:r>
                <w:rPr>
                  <w:rFonts w:ascii="Times New Roman" w:cs="Times New Roman" w:eastAsia="Times New Roman" w:hAnsi="Times New Roman"/>
                  <w:sz w:val="18"/>
                  <w:szCs w:val="18"/>
                  <w:color w:val="0000EE"/>
                  <w:w w:val="94"/>
                </w:rPr>
                <w:t>2015).</w:t>
              </w:r>
            </w:hyperlink>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364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24"/>
                <w:szCs w:val="24"/>
                <w:color w:val="auto"/>
              </w:rPr>
            </w:pPr>
          </w:p>
        </w:tc>
        <w:tc>
          <w:tcPr>
            <w:tcW w:w="99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Replacement Term Loan Amendment dated as of November 2, 2016, among Generac Power Systems, Inc., Generac Acquisition Corp.,</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the lenders party thereto, JPMorgan Chase Bank, N.A., as Administrative Agent, and the other agents named therein (incorporated by</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3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reference to Exhibit 10.1 to the Company’s Current Report on Form 8-K filed with the SEC on November 3, 2016).</w:t>
              </w:r>
            </w:hyperlink>
          </w:p>
        </w:tc>
        <w:tc>
          <w:tcPr>
            <w:tcW w:w="1580" w:type="dxa"/>
            <w:vAlign w:val="bottom"/>
            <w:gridSpan w:val="4"/>
          </w:tcPr>
          <w:p>
            <w:pPr>
              <w:spacing w:after="0"/>
              <w:rPr>
                <w:sz w:val="17"/>
                <w:szCs w:val="17"/>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4"/>
                <w:szCs w:val="24"/>
                <w:color w:val="auto"/>
              </w:rPr>
            </w:pPr>
          </w:p>
        </w:tc>
        <w:tc>
          <w:tcPr>
            <w:tcW w:w="9900" w:type="dxa"/>
            <w:vAlign w:val="bottom"/>
            <w:gridSpan w:val="17"/>
          </w:tcPr>
          <w:p>
            <w:pPr>
              <w:spacing w:after="0"/>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2017 Replacement Term Loan Amendment dated as of May 11, 2017, among Generac Power Systems, Inc., Generac Acquisition Corp.,</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80" w:type="dxa"/>
            <w:vAlign w:val="bottom"/>
            <w:gridSpan w:val="5"/>
            <w:shd w:val="clear" w:color="auto" w:fill="0000EE"/>
          </w:tcPr>
          <w:p>
            <w:pPr>
              <w:spacing w:after="0" w:line="20" w:lineRule="exact"/>
              <w:rPr>
                <w:sz w:val="1"/>
                <w:szCs w:val="1"/>
                <w:color w:val="auto"/>
              </w:rPr>
            </w:pPr>
          </w:p>
        </w:tc>
        <w:tc>
          <w:tcPr>
            <w:tcW w:w="3640" w:type="dxa"/>
            <w:vAlign w:val="bottom"/>
            <w:gridSpan w:val="4"/>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the lenders party thereto, JPMorgan Chase Bank, N.A., as Administrative Agent, and the other agents named therein (incorporated by</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9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reference to Exhibit 10.1 to the Company’s Current Report on Form 8-K filed with the SEC on May 15, 2017).</w:t>
              </w:r>
            </w:hyperlink>
          </w:p>
        </w:tc>
        <w:tc>
          <w:tcPr>
            <w:tcW w:w="1920" w:type="dxa"/>
            <w:vAlign w:val="bottom"/>
            <w:gridSpan w:val="5"/>
          </w:tcPr>
          <w:p>
            <w:pPr>
              <w:spacing w:after="0"/>
              <w:rPr>
                <w:sz w:val="17"/>
                <w:szCs w:val="17"/>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tcPr>
          <w:p>
            <w:pPr>
              <w:spacing w:after="0"/>
              <w:rPr>
                <w:sz w:val="24"/>
                <w:szCs w:val="24"/>
                <w:color w:val="auto"/>
              </w:rPr>
            </w:pPr>
          </w:p>
        </w:tc>
        <w:tc>
          <w:tcPr>
            <w:tcW w:w="99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2017-2 Replacement Term Loan Amendment dated as of December 8, 2017, among Generac Power Systems, Inc., Generac Acquisition</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Corp., the lenders party thereto, JPMorgan Chase Bank, N.A., as Administrative Agent, and the other agents named therein (incorporated</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00" w:type="dxa"/>
            <w:vAlign w:val="bottom"/>
            <w:gridSpan w:val="17"/>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by reference to Exhibit 10.1 to the Company’s Current Report on Form 8-K filed with the SEC on December 11, 2017).</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80" w:type="dxa"/>
            <w:vAlign w:val="bottom"/>
            <w:gridSpan w:val="5"/>
            <w:shd w:val="clear" w:color="auto" w:fill="0000EE"/>
          </w:tcPr>
          <w:p>
            <w:pPr>
              <w:spacing w:after="0" w:line="20" w:lineRule="exact"/>
              <w:rPr>
                <w:sz w:val="1"/>
                <w:szCs w:val="1"/>
                <w:color w:val="auto"/>
              </w:rPr>
            </w:pPr>
          </w:p>
        </w:tc>
        <w:tc>
          <w:tcPr>
            <w:tcW w:w="3640" w:type="dxa"/>
            <w:vAlign w:val="bottom"/>
            <w:gridSpan w:val="4"/>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tcPr>
          <w:p>
            <w:pPr>
              <w:spacing w:after="0"/>
              <w:rPr>
                <w:sz w:val="24"/>
                <w:szCs w:val="24"/>
                <w:color w:val="auto"/>
              </w:rPr>
            </w:pPr>
          </w:p>
        </w:tc>
        <w:tc>
          <w:tcPr>
            <w:tcW w:w="98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2018 Replacement Term Loan Amendment, dated as of June 8, 2018, among Generac Power Systems, Inc., Generac Acquisition Corp.,</w:t>
              </w:r>
            </w:hyperlink>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the lenders party thereto, JPMorgan Chase Bank, N.A., as Administrative Agent, and the other agents named therein (incorporated by</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reference to Exhibit 10.1 of the Current Report on Form 8-K filed with the SEC on June 14, 2018).</w:t>
              </w:r>
            </w:hyperlink>
          </w:p>
        </w:tc>
        <w:tc>
          <w:tcPr>
            <w:tcW w:w="2780" w:type="dxa"/>
            <w:vAlign w:val="bottom"/>
            <w:gridSpan w:val="8"/>
          </w:tcPr>
          <w:p>
            <w:pPr>
              <w:spacing w:after="0"/>
              <w:rPr>
                <w:sz w:val="17"/>
                <w:szCs w:val="17"/>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10.7</w:t>
            </w:r>
          </w:p>
        </w:tc>
        <w:tc>
          <w:tcPr>
            <w:tcW w:w="220" w:type="dxa"/>
            <w:vAlign w:val="bottom"/>
          </w:tcPr>
          <w:p>
            <w:pPr>
              <w:spacing w:after="0"/>
              <w:rPr>
                <w:sz w:val="24"/>
                <w:szCs w:val="24"/>
                <w:color w:val="auto"/>
              </w:rPr>
            </w:pPr>
          </w:p>
        </w:tc>
        <w:tc>
          <w:tcPr>
            <w:tcW w:w="99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2019 Replacement Term Loan Amendment, dated as of December 13, 2019, among Generac Power Systems, Inc., Generac Acquisition</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Corp., the lenders party thereto, JPMorgan Chase Bank, N.A., as Administrative Agent, and the other agents named therein (incorporated</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by reference to Exhibit 10.1 of the Current Report on Form 8-K filed with the SEC on December 16, 2019).</w:t>
              </w:r>
            </w:hyperlink>
          </w:p>
        </w:tc>
        <w:tc>
          <w:tcPr>
            <w:tcW w:w="2140" w:type="dxa"/>
            <w:vAlign w:val="bottom"/>
            <w:gridSpan w:val="7"/>
          </w:tcPr>
          <w:p>
            <w:pPr>
              <w:spacing w:after="0"/>
              <w:rPr>
                <w:sz w:val="17"/>
                <w:szCs w:val="17"/>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tcPr>
          <w:p>
            <w:pPr>
              <w:spacing w:after="0"/>
              <w:rPr>
                <w:sz w:val="24"/>
                <w:szCs w:val="24"/>
                <w:color w:val="auto"/>
              </w:rPr>
            </w:pPr>
          </w:p>
        </w:tc>
        <w:tc>
          <w:tcPr>
            <w:tcW w:w="99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Second Amendment, dated as of May 27, 2021, amending that certain Credit Agreement, dated as of February 9, 2012, as amended and</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restated as of May 30, 2012, as further amended and restated as of May 31, 2013, as amended by the First Amendment, dated as of May</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00" w:type="dxa"/>
            <w:vAlign w:val="bottom"/>
            <w:gridSpan w:val="17"/>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18, 2015, as further amended by the Replacement Term Loan Amendment, dated as of November 2, 2016, as further amended by the</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80" w:type="dxa"/>
            <w:vAlign w:val="bottom"/>
            <w:gridSpan w:val="5"/>
            <w:shd w:val="clear" w:color="auto" w:fill="0000EE"/>
          </w:tcPr>
          <w:p>
            <w:pPr>
              <w:spacing w:after="0" w:line="20" w:lineRule="exact"/>
              <w:rPr>
                <w:sz w:val="1"/>
                <w:szCs w:val="1"/>
                <w:color w:val="auto"/>
              </w:rPr>
            </w:pPr>
          </w:p>
        </w:tc>
        <w:tc>
          <w:tcPr>
            <w:tcW w:w="6380" w:type="dxa"/>
            <w:vAlign w:val="bottom"/>
            <w:gridSpan w:val="10"/>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2017 Replacement Term Loan Amendment, dated as of May 11, 2017, as further amended by the 2017-2 Replacement Term Loan</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Amendment, dated December 8, 2017, as further amended by the 2018 Replacement Term Loan Amendment, dated June 8, 2018, and as</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further amended by the 2019 Replacement Term Loan Amendment, dated December 13, 2019, among Generac Power Systems, Inc.,</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Generac Acquisition Corp., the other Loan Parties (as defined therein) party thereto, the lenders party thereto, JPMorgan Chase Bank,</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N.A., as Administrative Agent and the other agents named therein (incorporated by reference to Exhibit 10.2 of the Current Report on</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Form 8-K filed with the SEC on May 28, 2021).</w:t>
              </w:r>
            </w:hyperlink>
          </w:p>
        </w:tc>
        <w:tc>
          <w:tcPr>
            <w:tcW w:w="6420" w:type="dxa"/>
            <w:vAlign w:val="bottom"/>
            <w:gridSpan w:val="12"/>
          </w:tcPr>
          <w:p>
            <w:pPr>
              <w:spacing w:after="0"/>
              <w:rPr>
                <w:sz w:val="17"/>
                <w:szCs w:val="17"/>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10.9</w:t>
            </w:r>
          </w:p>
        </w:tc>
        <w:tc>
          <w:tcPr>
            <w:tcW w:w="220" w:type="dxa"/>
            <w:vAlign w:val="bottom"/>
          </w:tcPr>
          <w:p>
            <w:pPr>
              <w:spacing w:after="0"/>
              <w:rPr>
                <w:sz w:val="24"/>
                <w:szCs w:val="24"/>
                <w:color w:val="auto"/>
              </w:rPr>
            </w:pPr>
          </w:p>
        </w:tc>
        <w:tc>
          <w:tcPr>
            <w:tcW w:w="98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Third Amendment, dated as of June 29, 2022, amending and restating that certain Credit Agreement, dated as of February 9, 2012, as</w:t>
              </w:r>
            </w:hyperlink>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amended and restated as of May 30, 2012, as further amended and restated as of May 31, 2013, as amended by the First Amendment,</w:t>
              </w:r>
            </w:hyperlink>
          </w:p>
        </w:tc>
        <w:tc>
          <w:tcPr>
            <w:tcW w:w="20" w:type="dxa"/>
            <w:vAlign w:val="bottom"/>
          </w:tcPr>
          <w:p>
            <w:pPr>
              <w:spacing w:after="0"/>
              <w:rPr>
                <w:sz w:val="17"/>
                <w:szCs w:val="17"/>
                <w:color w:val="auto"/>
              </w:rPr>
            </w:pPr>
          </w:p>
        </w:tc>
      </w:tr>
    </w:tbl>
    <w:p>
      <w:pPr>
        <w:sectPr>
          <w:pgSz w:w="11900" w:h="16838" w:orient="portrait"/>
          <w:cols w:equalWidth="0" w:num="1">
            <w:col w:w="11240"/>
          </w:cols>
          <w:pgMar w:left="320" w:top="121" w:right="339" w:bottom="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98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dated as of May 18, 2015, as further amended by the Replacement Term Loan Amendment, dated as of November 2, 2016, as further</w:t>
              </w:r>
            </w:hyperlink>
          </w:p>
        </w:tc>
      </w:tr>
      <w:tr>
        <w:trPr>
          <w:trHeight w:val="196"/>
        </w:trPr>
        <w:tc>
          <w:tcPr>
            <w:tcW w:w="1220" w:type="dxa"/>
            <w:vAlign w:val="bottom"/>
          </w:tcPr>
          <w:p>
            <w:pPr>
              <w:spacing w:after="0"/>
              <w:rPr>
                <w:sz w:val="17"/>
                <w:szCs w:val="17"/>
                <w:color w:val="auto"/>
              </w:rPr>
            </w:pPr>
          </w:p>
        </w:tc>
        <w:tc>
          <w:tcPr>
            <w:tcW w:w="9880" w:type="dxa"/>
            <w:vAlign w:val="bottom"/>
            <w:gridSpan w:val="14"/>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amended by the 2017 Replacement Term Loan Amendment, dated as of May 11, 2017, as further amended by the 2017-2 Replacement</w:t>
              </w:r>
            </w:hyperlink>
          </w:p>
        </w:tc>
      </w:tr>
      <w:tr>
        <w:trPr>
          <w:trHeight w:val="20"/>
        </w:trPr>
        <w:tc>
          <w:tcPr>
            <w:tcW w:w="12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36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98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Term Loan Amendment, dated December 8, 2017, as further amended by the 2018 Replacement Term Loan Amendment, dated June 8,</w:t>
              </w:r>
            </w:hyperlink>
          </w:p>
        </w:tc>
      </w:tr>
      <w:tr>
        <w:trPr>
          <w:trHeight w:val="196"/>
        </w:trPr>
        <w:tc>
          <w:tcPr>
            <w:tcW w:w="1220" w:type="dxa"/>
            <w:vAlign w:val="bottom"/>
          </w:tcPr>
          <w:p>
            <w:pPr>
              <w:spacing w:after="0"/>
              <w:rPr>
                <w:sz w:val="17"/>
                <w:szCs w:val="17"/>
                <w:color w:val="auto"/>
              </w:rPr>
            </w:pPr>
          </w:p>
        </w:tc>
        <w:tc>
          <w:tcPr>
            <w:tcW w:w="98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2018, as further amended by the 2019 Replacement Term Loan Amendment, dated December 13, 2019 and as further amended by the</w:t>
              </w:r>
            </w:hyperlink>
          </w:p>
        </w:tc>
      </w:tr>
      <w:tr>
        <w:trPr>
          <w:trHeight w:val="196"/>
        </w:trPr>
        <w:tc>
          <w:tcPr>
            <w:tcW w:w="1220" w:type="dxa"/>
            <w:vAlign w:val="bottom"/>
          </w:tcPr>
          <w:p>
            <w:pPr>
              <w:spacing w:after="0"/>
              <w:rPr>
                <w:sz w:val="17"/>
                <w:szCs w:val="17"/>
                <w:color w:val="auto"/>
              </w:rPr>
            </w:pPr>
          </w:p>
        </w:tc>
        <w:tc>
          <w:tcPr>
            <w:tcW w:w="98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Second Amendment, dated May 27, 2021, among Generac Power Systems, Inc., Generac Acquisition Corp., the other Loan Parties (as</w:t>
              </w:r>
            </w:hyperlink>
          </w:p>
        </w:tc>
      </w:tr>
      <w:tr>
        <w:trPr>
          <w:trHeight w:val="196"/>
        </w:trPr>
        <w:tc>
          <w:tcPr>
            <w:tcW w:w="1220" w:type="dxa"/>
            <w:vAlign w:val="bottom"/>
          </w:tcPr>
          <w:p>
            <w:pPr>
              <w:spacing w:after="0"/>
              <w:rPr>
                <w:sz w:val="17"/>
                <w:szCs w:val="17"/>
                <w:color w:val="auto"/>
              </w:rPr>
            </w:pPr>
          </w:p>
        </w:tc>
        <w:tc>
          <w:tcPr>
            <w:tcW w:w="9880" w:type="dxa"/>
            <w:vAlign w:val="bottom"/>
            <w:gridSpan w:val="14"/>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defined therein) party thereto, the lenders party thereto, JPMorgan Chase Bank, N.A., as Administrative Agent and the other agents</w:t>
              </w:r>
            </w:hyperlink>
          </w:p>
        </w:tc>
      </w:tr>
      <w:tr>
        <w:trPr>
          <w:trHeight w:val="196"/>
        </w:trPr>
        <w:tc>
          <w:tcPr>
            <w:tcW w:w="1220" w:type="dxa"/>
            <w:vAlign w:val="bottom"/>
          </w:tcPr>
          <w:p>
            <w:pPr>
              <w:spacing w:after="0"/>
              <w:rPr>
                <w:sz w:val="17"/>
                <w:szCs w:val="17"/>
                <w:color w:val="auto"/>
              </w:rPr>
            </w:pPr>
          </w:p>
        </w:tc>
        <w:tc>
          <w:tcPr>
            <w:tcW w:w="986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named therein (incorporated by reference to Exhibit 10.1 of the Current Report on Form 8-K filed with the SEC on June 30, 2022.</w:t>
              </w:r>
            </w:hyperlink>
          </w:p>
        </w:tc>
        <w:tc>
          <w:tcPr>
            <w:tcW w:w="20" w:type="dxa"/>
            <w:vAlign w:val="bottom"/>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36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2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10.10</w:t>
            </w:r>
          </w:p>
        </w:tc>
        <w:tc>
          <w:tcPr>
            <w:tcW w:w="98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First Amendment, dated as of January 31, 2023, to that certain Credit Agreement, dated as of February 9, 2012, as amended and restated</w:t>
              </w:r>
            </w:hyperlink>
          </w:p>
        </w:tc>
      </w:tr>
      <w:tr>
        <w:trPr>
          <w:trHeight w:val="196"/>
        </w:trPr>
        <w:tc>
          <w:tcPr>
            <w:tcW w:w="1220" w:type="dxa"/>
            <w:vAlign w:val="bottom"/>
          </w:tcPr>
          <w:p>
            <w:pPr>
              <w:spacing w:after="0"/>
              <w:rPr>
                <w:sz w:val="17"/>
                <w:szCs w:val="17"/>
                <w:color w:val="auto"/>
              </w:rPr>
            </w:pPr>
          </w:p>
        </w:tc>
        <w:tc>
          <w:tcPr>
            <w:tcW w:w="98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as of May 30, 2012, as further amended and restated as of May 31, 2013, as amended by the First Amendment, dated as of May 18,</w:t>
              </w:r>
            </w:hyperlink>
          </w:p>
        </w:tc>
      </w:tr>
      <w:tr>
        <w:trPr>
          <w:trHeight w:val="196"/>
        </w:trPr>
        <w:tc>
          <w:tcPr>
            <w:tcW w:w="1220" w:type="dxa"/>
            <w:vAlign w:val="bottom"/>
          </w:tcPr>
          <w:p>
            <w:pPr>
              <w:spacing w:after="0"/>
              <w:rPr>
                <w:sz w:val="17"/>
                <w:szCs w:val="17"/>
                <w:color w:val="auto"/>
              </w:rPr>
            </w:pPr>
          </w:p>
        </w:tc>
        <w:tc>
          <w:tcPr>
            <w:tcW w:w="9880" w:type="dxa"/>
            <w:vAlign w:val="bottom"/>
            <w:gridSpan w:val="14"/>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2015, as further amended by the Replacement Term Loan Amendment, dated as of November 2, 2016, as further amended by the 2017</w:t>
              </w:r>
            </w:hyperlink>
          </w:p>
        </w:tc>
      </w:tr>
      <w:tr>
        <w:trPr>
          <w:trHeight w:val="20"/>
        </w:trPr>
        <w:tc>
          <w:tcPr>
            <w:tcW w:w="12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36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98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Replacement Term Loan Amendment, dated as of May 11, 2017, as further amended by the 2017-2 Replacement Term Loan</w:t>
              </w:r>
            </w:hyperlink>
          </w:p>
        </w:tc>
      </w:tr>
      <w:tr>
        <w:trPr>
          <w:trHeight w:val="196"/>
        </w:trPr>
        <w:tc>
          <w:tcPr>
            <w:tcW w:w="1220" w:type="dxa"/>
            <w:vAlign w:val="bottom"/>
          </w:tcPr>
          <w:p>
            <w:pPr>
              <w:spacing w:after="0"/>
              <w:rPr>
                <w:sz w:val="17"/>
                <w:szCs w:val="17"/>
                <w:color w:val="auto"/>
              </w:rPr>
            </w:pPr>
          </w:p>
        </w:tc>
        <w:tc>
          <w:tcPr>
            <w:tcW w:w="98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Amendment, dated December 8, 2017, as further amended by the 2018 Replacement Term Loan Amendment, dated June 8, 2018, as</w:t>
              </w:r>
            </w:hyperlink>
          </w:p>
        </w:tc>
      </w:tr>
      <w:tr>
        <w:trPr>
          <w:trHeight w:val="196"/>
        </w:trPr>
        <w:tc>
          <w:tcPr>
            <w:tcW w:w="1220" w:type="dxa"/>
            <w:vAlign w:val="bottom"/>
          </w:tcPr>
          <w:p>
            <w:pPr>
              <w:spacing w:after="0"/>
              <w:rPr>
                <w:sz w:val="17"/>
                <w:szCs w:val="17"/>
                <w:color w:val="auto"/>
              </w:rPr>
            </w:pPr>
          </w:p>
        </w:tc>
        <w:tc>
          <w:tcPr>
            <w:tcW w:w="98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further amended by the 2019 Replacement Term Loan Amendment, dated December 13, 2019, as further amended by the Second</w:t>
              </w:r>
            </w:hyperlink>
          </w:p>
        </w:tc>
      </w:tr>
      <w:tr>
        <w:trPr>
          <w:trHeight w:val="196"/>
        </w:trPr>
        <w:tc>
          <w:tcPr>
            <w:tcW w:w="1220" w:type="dxa"/>
            <w:vAlign w:val="bottom"/>
          </w:tcPr>
          <w:p>
            <w:pPr>
              <w:spacing w:after="0"/>
              <w:rPr>
                <w:sz w:val="17"/>
                <w:szCs w:val="17"/>
                <w:color w:val="auto"/>
              </w:rPr>
            </w:pPr>
          </w:p>
        </w:tc>
        <w:tc>
          <w:tcPr>
            <w:tcW w:w="9880" w:type="dxa"/>
            <w:vAlign w:val="bottom"/>
            <w:gridSpan w:val="14"/>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Amendment, dated May 27, 2021, and as further amended and restated by the Third Amendment, dated June 29, 2022, among Generac</w:t>
              </w:r>
            </w:hyperlink>
          </w:p>
        </w:tc>
      </w:tr>
      <w:tr>
        <w:trPr>
          <w:trHeight w:val="20"/>
        </w:trPr>
        <w:tc>
          <w:tcPr>
            <w:tcW w:w="12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36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98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Power Systems, Inc., Generac Acquisition Corp., the other Loan Parties (as defined therein) party thereto, the lenders party thereto,</w:t>
              </w:r>
            </w:hyperlink>
          </w:p>
        </w:tc>
      </w:tr>
      <w:tr>
        <w:trPr>
          <w:trHeight w:val="196"/>
        </w:trPr>
        <w:tc>
          <w:tcPr>
            <w:tcW w:w="1220" w:type="dxa"/>
            <w:vAlign w:val="bottom"/>
          </w:tcPr>
          <w:p>
            <w:pPr>
              <w:spacing w:after="0"/>
              <w:rPr>
                <w:sz w:val="17"/>
                <w:szCs w:val="17"/>
                <w:color w:val="auto"/>
              </w:rPr>
            </w:pPr>
          </w:p>
        </w:tc>
        <w:tc>
          <w:tcPr>
            <w:tcW w:w="98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JPMorgan Chase Bank, N.A., as Administrative Agent and the other agents named therein (incorporated by reference to Exhibit 10.10 of</w:t>
              </w:r>
            </w:hyperlink>
          </w:p>
        </w:tc>
      </w:tr>
      <w:tr>
        <w:trPr>
          <w:trHeight w:val="196"/>
        </w:trPr>
        <w:tc>
          <w:tcPr>
            <w:tcW w:w="1220" w:type="dxa"/>
            <w:vAlign w:val="bottom"/>
          </w:tcPr>
          <w:p>
            <w:pPr>
              <w:spacing w:after="0"/>
              <w:rPr>
                <w:sz w:val="17"/>
                <w:szCs w:val="17"/>
                <w:color w:val="auto"/>
              </w:rPr>
            </w:pPr>
          </w:p>
        </w:tc>
        <w:tc>
          <w:tcPr>
            <w:tcW w:w="9880" w:type="dxa"/>
            <w:vAlign w:val="bottom"/>
            <w:gridSpan w:val="14"/>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the Annual Report on Form 10-K filed with the SEC on February 22, 2023).</w:t>
              </w:r>
            </w:hyperlink>
          </w:p>
        </w:tc>
      </w:tr>
      <w:tr>
        <w:trPr>
          <w:trHeight w:val="20"/>
        </w:trPr>
        <w:tc>
          <w:tcPr>
            <w:tcW w:w="12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98"/>
              </w:rPr>
              <w:t>10.11</w:t>
            </w:r>
          </w:p>
        </w:tc>
        <w:tc>
          <w:tcPr>
            <w:tcW w:w="98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Restatement Agreement, dated as of May 31, 2013, to that certain Credit Agreement, dated as of February 9, 2012, as amended and</w:t>
              </w:r>
            </w:hyperlink>
          </w:p>
        </w:tc>
      </w:tr>
      <w:tr>
        <w:trPr>
          <w:trHeight w:val="196"/>
        </w:trPr>
        <w:tc>
          <w:tcPr>
            <w:tcW w:w="1220" w:type="dxa"/>
            <w:vAlign w:val="bottom"/>
          </w:tcPr>
          <w:p>
            <w:pPr>
              <w:spacing w:after="0"/>
              <w:rPr>
                <w:sz w:val="17"/>
                <w:szCs w:val="17"/>
                <w:color w:val="auto"/>
              </w:rPr>
            </w:pPr>
          </w:p>
        </w:tc>
        <w:tc>
          <w:tcPr>
            <w:tcW w:w="98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restated as of May 30, 2012, among Generac Power Systems, Inc., Generac Acquisition Corp., the lenders party thereto, JPMorgan</w:t>
              </w:r>
            </w:hyperlink>
          </w:p>
        </w:tc>
      </w:tr>
      <w:tr>
        <w:trPr>
          <w:trHeight w:val="196"/>
        </w:trPr>
        <w:tc>
          <w:tcPr>
            <w:tcW w:w="1220" w:type="dxa"/>
            <w:vAlign w:val="bottom"/>
          </w:tcPr>
          <w:p>
            <w:pPr>
              <w:spacing w:after="0"/>
              <w:rPr>
                <w:sz w:val="17"/>
                <w:szCs w:val="17"/>
                <w:color w:val="auto"/>
              </w:rPr>
            </w:pPr>
          </w:p>
        </w:tc>
        <w:tc>
          <w:tcPr>
            <w:tcW w:w="98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Chase Bank, N.A., as Administrative Agent, and Bank of America, N.A. and Goldman Sachs Bank USA, as syndication agents</w:t>
              </w:r>
            </w:hyperlink>
          </w:p>
        </w:tc>
      </w:tr>
      <w:tr>
        <w:trPr>
          <w:trHeight w:val="196"/>
        </w:trPr>
        <w:tc>
          <w:tcPr>
            <w:tcW w:w="1220" w:type="dxa"/>
            <w:vAlign w:val="bottom"/>
          </w:tcPr>
          <w:p>
            <w:pPr>
              <w:spacing w:after="0"/>
              <w:rPr>
                <w:sz w:val="17"/>
                <w:szCs w:val="17"/>
                <w:color w:val="auto"/>
              </w:rPr>
            </w:pPr>
          </w:p>
        </w:tc>
        <w:tc>
          <w:tcPr>
            <w:tcW w:w="9880" w:type="dxa"/>
            <w:vAlign w:val="bottom"/>
            <w:gridSpan w:val="14"/>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(incorporated by reference to Exhibit 10.1 to the Company’s Current Report on Form 8-K filed with the SEC on June 4, 2013).</w:t>
              </w:r>
            </w:hyperlink>
          </w:p>
        </w:tc>
      </w:tr>
      <w:tr>
        <w:trPr>
          <w:trHeight w:val="20"/>
        </w:trPr>
        <w:tc>
          <w:tcPr>
            <w:tcW w:w="12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564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3"/>
              </w:rPr>
              <w:t>10.12</w:t>
            </w:r>
          </w:p>
        </w:tc>
        <w:tc>
          <w:tcPr>
            <w:tcW w:w="97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2024 Replacement Term Loan Amendment, dated as of July 3, 2024, to that certain Credit Agreement, dated as of February 9, 2012, as</w:t>
              </w:r>
            </w:hyperlink>
          </w:p>
        </w:tc>
        <w:tc>
          <w:tcPr>
            <w:tcW w:w="140" w:type="dxa"/>
            <w:vAlign w:val="bottom"/>
            <w:gridSpan w:val="4"/>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9880" w:type="dxa"/>
            <w:vAlign w:val="bottom"/>
            <w:gridSpan w:val="14"/>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amended and restated as of May 30, 2012, as further amended and restated as of May 31, 2013, as amended by the First Amendment</w:t>
              </w:r>
            </w:hyperlink>
          </w:p>
        </w:tc>
      </w:tr>
      <w:tr>
        <w:trPr>
          <w:trHeight w:val="20"/>
        </w:trPr>
        <w:tc>
          <w:tcPr>
            <w:tcW w:w="12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606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9880" w:type="dxa"/>
            <w:vAlign w:val="bottom"/>
            <w:gridSpan w:val="14"/>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dated as of May 18, 2015, as amended by the Replacement Term Loan Amendment dated as of November 2, 2016, as amended by the</w:t>
              </w:r>
            </w:hyperlink>
          </w:p>
        </w:tc>
      </w:tr>
      <w:tr>
        <w:trPr>
          <w:trHeight w:val="20"/>
        </w:trPr>
        <w:tc>
          <w:tcPr>
            <w:tcW w:w="12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616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97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2017 Replacement Term Loan Amendment dated as of May 11, 2017, as amended by the 2017-2 Replacement Term Loan Amendment</w:t>
              </w:r>
            </w:hyperlink>
          </w:p>
        </w:tc>
        <w:tc>
          <w:tcPr>
            <w:tcW w:w="160" w:type="dxa"/>
            <w:vAlign w:val="bottom"/>
            <w:gridSpan w:val="5"/>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96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dated as of December 8, 2017, as amended by the 2018 Replacement Term Loan Amendment dated as of June 8, 2018, as amended by</w:t>
              </w:r>
            </w:hyperlink>
          </w:p>
        </w:tc>
        <w:tc>
          <w:tcPr>
            <w:tcW w:w="200" w:type="dxa"/>
            <w:vAlign w:val="bottom"/>
            <w:gridSpan w:val="6"/>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98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the 2019 Replacement Term Loan Amendment dated as of December 13, 2019, as amended by the Second Amendment dated as of May</w:t>
              </w:r>
            </w:hyperlink>
          </w:p>
        </w:tc>
        <w:tc>
          <w:tcPr>
            <w:tcW w:w="80" w:type="dxa"/>
            <w:vAlign w:val="bottom"/>
            <w:gridSpan w:val="2"/>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98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27, 2021, as amended and restated by the Third Amendment dated as of June 29, 2022 and as amended by the First Amendment dated as</w:t>
              </w:r>
            </w:hyperlink>
          </w:p>
        </w:tc>
        <w:tc>
          <w:tcPr>
            <w:tcW w:w="2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98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of January 31, 2023, among Generac Acquisition Corp., Generac Power Systems, Inc., several lenders, and JPMorgan Chase Bank, N.A.,</w:t>
              </w:r>
            </w:hyperlink>
          </w:p>
        </w:tc>
      </w:tr>
      <w:tr>
        <w:trPr>
          <w:trHeight w:val="196"/>
        </w:trPr>
        <w:tc>
          <w:tcPr>
            <w:tcW w:w="1220" w:type="dxa"/>
            <w:vAlign w:val="bottom"/>
          </w:tcPr>
          <w:p>
            <w:pPr>
              <w:spacing w:after="0"/>
              <w:rPr>
                <w:sz w:val="17"/>
                <w:szCs w:val="17"/>
                <w:color w:val="auto"/>
              </w:rPr>
            </w:pPr>
          </w:p>
        </w:tc>
        <w:tc>
          <w:tcPr>
            <w:tcW w:w="9880" w:type="dxa"/>
            <w:vAlign w:val="bottom"/>
            <w:gridSpan w:val="14"/>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as administrative agent (incorporated by reference to Exhibit 10.1 to the Company’s Current Report on Form 8-K filed with the SEC on</w:t>
              </w:r>
            </w:hyperlink>
          </w:p>
        </w:tc>
      </w:tr>
      <w:tr>
        <w:trPr>
          <w:trHeight w:val="196"/>
        </w:trPr>
        <w:tc>
          <w:tcPr>
            <w:tcW w:w="1220" w:type="dxa"/>
            <w:vAlign w:val="bottom"/>
          </w:tcPr>
          <w:p>
            <w:pPr>
              <w:spacing w:after="0"/>
              <w:rPr>
                <w:sz w:val="17"/>
                <w:szCs w:val="17"/>
                <w:color w:val="auto"/>
              </w:rPr>
            </w:pPr>
          </w:p>
        </w:tc>
        <w:tc>
          <w:tcPr>
            <w:tcW w:w="976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July 5, 2024).</w:t>
              </w:r>
            </w:hyperlink>
          </w:p>
        </w:tc>
        <w:tc>
          <w:tcPr>
            <w:tcW w:w="120" w:type="dxa"/>
            <w:vAlign w:val="bottom"/>
            <w:gridSpan w:val="3"/>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400" w:type="dxa"/>
            <w:vAlign w:val="bottom"/>
            <w:gridSpan w:val="12"/>
          </w:tcPr>
          <w:p>
            <w:pPr>
              <w:spacing w:after="0" w:line="20" w:lineRule="exact"/>
              <w:rPr>
                <w:sz w:val="1"/>
                <w:szCs w:val="1"/>
                <w:color w:val="auto"/>
              </w:rPr>
            </w:pPr>
          </w:p>
        </w:tc>
      </w:tr>
      <w:tr>
        <w:trPr>
          <w:trHeight w:val="412"/>
        </w:trPr>
        <w:tc>
          <w:tcPr>
            <w:tcW w:w="122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10.13</w:t>
            </w:r>
          </w:p>
        </w:tc>
        <w:tc>
          <w:tcPr>
            <w:tcW w:w="98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Guarantee and Collateral Agreement, dated as of February 9, 2012, as amended and restated as of May 30, 2012, among Generac</w:t>
              </w:r>
            </w:hyperlink>
          </w:p>
        </w:tc>
      </w:tr>
      <w:tr>
        <w:trPr>
          <w:trHeight w:val="196"/>
        </w:trPr>
        <w:tc>
          <w:tcPr>
            <w:tcW w:w="1220" w:type="dxa"/>
            <w:vAlign w:val="bottom"/>
          </w:tcPr>
          <w:p>
            <w:pPr>
              <w:spacing w:after="0"/>
              <w:rPr>
                <w:sz w:val="17"/>
                <w:szCs w:val="17"/>
                <w:color w:val="auto"/>
              </w:rPr>
            </w:pPr>
          </w:p>
        </w:tc>
        <w:tc>
          <w:tcPr>
            <w:tcW w:w="98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Holdings Inc., Generac Acquisition Corp., Generac Power Systems, Inc., certain subsidiaries of Generac Power Systems, Inc. and</w:t>
              </w:r>
            </w:hyperlink>
          </w:p>
        </w:tc>
      </w:tr>
      <w:tr>
        <w:trPr>
          <w:trHeight w:val="196"/>
        </w:trPr>
        <w:tc>
          <w:tcPr>
            <w:tcW w:w="1220" w:type="dxa"/>
            <w:vAlign w:val="bottom"/>
          </w:tcPr>
          <w:p>
            <w:pPr>
              <w:spacing w:after="0"/>
              <w:rPr>
                <w:sz w:val="17"/>
                <w:szCs w:val="17"/>
                <w:color w:val="auto"/>
              </w:rPr>
            </w:pPr>
          </w:p>
        </w:tc>
        <w:tc>
          <w:tcPr>
            <w:tcW w:w="98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JPMorgan Chase Bank, N.A., as Administrative Agent (incorporated by reference to Exhibit 10.2 of the Company’s Current Report on</w:t>
              </w:r>
            </w:hyperlink>
          </w:p>
        </w:tc>
      </w:tr>
      <w:tr>
        <w:trPr>
          <w:trHeight w:val="196"/>
        </w:trPr>
        <w:tc>
          <w:tcPr>
            <w:tcW w:w="1220" w:type="dxa"/>
            <w:vAlign w:val="bottom"/>
          </w:tcPr>
          <w:p>
            <w:pPr>
              <w:spacing w:after="0"/>
              <w:rPr>
                <w:sz w:val="17"/>
                <w:szCs w:val="17"/>
                <w:color w:val="auto"/>
              </w:rPr>
            </w:pPr>
          </w:p>
        </w:tc>
        <w:tc>
          <w:tcPr>
            <w:tcW w:w="34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Form 8-K filed with the SEC on May 31, 2012).</w:t>
              </w:r>
            </w:hyperlink>
          </w:p>
        </w:tc>
        <w:tc>
          <w:tcPr>
            <w:tcW w:w="6400" w:type="dxa"/>
            <w:vAlign w:val="bottom"/>
            <w:gridSpan w:val="12"/>
          </w:tcPr>
          <w:p>
            <w:pPr>
              <w:spacing w:after="0"/>
              <w:rPr>
                <w:sz w:val="17"/>
                <w:szCs w:val="17"/>
                <w:color w:val="auto"/>
              </w:rPr>
            </w:pPr>
          </w:p>
        </w:tc>
      </w:tr>
      <w:tr>
        <w:trPr>
          <w:trHeight w:val="412"/>
        </w:trPr>
        <w:tc>
          <w:tcPr>
            <w:tcW w:w="122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10.14</w:t>
            </w:r>
          </w:p>
        </w:tc>
        <w:tc>
          <w:tcPr>
            <w:tcW w:w="98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First Amendment to Guarantee and Collateral Agreement dated as of May 31, 2013, among Generac Holdings Inc., Generac Acquisition</w:t>
              </w:r>
            </w:hyperlink>
          </w:p>
        </w:tc>
      </w:tr>
      <w:tr>
        <w:trPr>
          <w:trHeight w:val="196"/>
        </w:trPr>
        <w:tc>
          <w:tcPr>
            <w:tcW w:w="1220" w:type="dxa"/>
            <w:vAlign w:val="bottom"/>
          </w:tcPr>
          <w:p>
            <w:pPr>
              <w:spacing w:after="0"/>
              <w:rPr>
                <w:sz w:val="17"/>
                <w:szCs w:val="17"/>
                <w:color w:val="auto"/>
              </w:rPr>
            </w:pPr>
          </w:p>
        </w:tc>
        <w:tc>
          <w:tcPr>
            <w:tcW w:w="98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Corp., Generac Power Systems, Inc., certain subsidiaries of Generac Power Systems, Inc. and JPMorgan Chase Bank, N.A., as</w:t>
              </w:r>
            </w:hyperlink>
          </w:p>
        </w:tc>
      </w:tr>
    </w:tbl>
    <w:p>
      <w:pPr>
        <w:spacing w:after="0" w:line="9" w:lineRule="exact"/>
        <w:rPr>
          <w:sz w:val="20"/>
          <w:szCs w:val="20"/>
          <w:color w:val="auto"/>
        </w:rPr>
      </w:pPr>
    </w:p>
    <w:p>
      <w:pPr>
        <w:ind w:left="1220" w:right="20"/>
        <w:spacing w:after="0" w:line="282" w:lineRule="auto"/>
        <w:rPr>
          <w:rFonts w:ascii="Times New Roman" w:cs="Times New Roman" w:eastAsia="Times New Roman" w:hAnsi="Times New Roman"/>
          <w:sz w:val="18"/>
          <w:szCs w:val="18"/>
          <w:u w:val="single" w:color="auto"/>
          <w:color w:val="0000EE"/>
        </w:rPr>
      </w:pPr>
      <w:hyperlink r:id="rId111">
        <w:r>
          <w:rPr>
            <w:rFonts w:ascii="Times New Roman" w:cs="Times New Roman" w:eastAsia="Times New Roman" w:hAnsi="Times New Roman"/>
            <w:sz w:val="18"/>
            <w:szCs w:val="18"/>
            <w:u w:val="single" w:color="auto"/>
            <w:color w:val="0000EE"/>
          </w:rPr>
          <w:t>Administrative Agent (incorporated by reference to Exhibit 10.3 to the Company’s Current Report on Form 8-K filed with the SEC on</w:t>
        </w:r>
      </w:hyperlink>
      <w:r>
        <w:rPr>
          <w:rFonts w:ascii="Times New Roman" w:cs="Times New Roman" w:eastAsia="Times New Roman" w:hAnsi="Times New Roman"/>
          <w:sz w:val="18"/>
          <w:szCs w:val="18"/>
          <w:u w:val="single" w:color="auto"/>
          <w:color w:val="0000EE"/>
        </w:rPr>
        <w:t xml:space="preserve"> </w:t>
      </w:r>
      <w:hyperlink r:id="rId111">
        <w:r>
          <w:rPr>
            <w:rFonts w:ascii="Times New Roman" w:cs="Times New Roman" w:eastAsia="Times New Roman" w:hAnsi="Times New Roman"/>
            <w:sz w:val="18"/>
            <w:szCs w:val="18"/>
            <w:u w:val="single" w:color="auto"/>
            <w:color w:val="0000EE"/>
          </w:rPr>
          <w:t>June 4, 2013).</w:t>
        </w:r>
      </w:hyperlink>
    </w:p>
    <w:p>
      <w:pPr>
        <w:spacing w:after="0" w:line="16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460" w:top="108"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07"/>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30"/>
        </w:trPr>
        <w:tc>
          <w:tcPr>
            <w:tcW w:w="128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6200" w:type="dxa"/>
            <w:vAlign w:val="bottom"/>
            <w:gridSpan w:val="7"/>
          </w:tcPr>
          <w:p>
            <w:pPr>
              <w:ind w:left="8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40" w:type="dxa"/>
            <w:vAlign w:val="bottom"/>
            <w:tcBorders>
              <w:top w:val="single" w:sz="8" w:color="auto"/>
            </w:tcBorders>
          </w:tcPr>
          <w:p>
            <w:pPr>
              <w:ind w:left="180"/>
              <w:spacing w:after="0" w:line="169" w:lineRule="exact"/>
              <w:rPr>
                <w:sz w:val="20"/>
                <w:szCs w:val="20"/>
                <w:color w:val="auto"/>
              </w:rPr>
            </w:pPr>
            <w:r>
              <w:rPr>
                <w:rFonts w:ascii="Times New Roman" w:cs="Times New Roman" w:eastAsia="Times New Roman" w:hAnsi="Times New Roman"/>
                <w:sz w:val="18"/>
                <w:szCs w:val="18"/>
                <w:color w:val="auto"/>
              </w:rPr>
              <w:t>10.15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80" w:type="dxa"/>
            <w:vAlign w:val="bottom"/>
            <w:tcBorders>
              <w:top w:val="single" w:sz="8" w:color="auto"/>
              <w:bottom w:val="single" w:sz="8" w:color="0000EE"/>
            </w:tcBorders>
            <w:gridSpan w:val="12"/>
          </w:tcPr>
          <w:p>
            <w:pPr>
              <w:spacing w:after="0" w:line="169"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Credit Agreement, dated as of May 30, 2012, among Generac Power Systems, Inc., its Domestic Subsidiaries listed as Borrowers on the</w:t>
              </w:r>
            </w:hyperlink>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signature pages thereto, Generac Acquisition Corp., the lenders party thereto, Bank of America, N.A. as Administrative Agent,</w:t>
              </w:r>
            </w:hyperlink>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JPMorgan Chase Bank, N.A. and Goldman Sachs Bank USA, as syndication agents, and Wells Fargo Bank, National Association, as</w:t>
              </w:r>
            </w:hyperlink>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Documentation Agent (incorporated by reference to Exhibit 10.3 of the Company’s Current Report on Form 8-K filed with the SEC on</w:t>
              </w:r>
            </w:hyperlink>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80" w:type="dxa"/>
            <w:vAlign w:val="bottom"/>
            <w:gridSpan w:val="12"/>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May 31, 2012).</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Amendment No. 1 dated as of May 31, 2013, among Generac Power Systems, Inc., its Domestic Subsidiaries listed as Borrowers on the</w:t>
              </w:r>
            </w:hyperlink>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signature pages thereto, Generac Acquisition Corp., the lenders party thereto, Bank of America, N.A. as Administrative Agent,</w:t>
              </w:r>
            </w:hyperlink>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JPMorgan Chase Bank, N.A. and Goldman Sachs Bank USA, as syndication agents, and Wells Fargo Bank, National Association, as</w:t>
              </w:r>
            </w:hyperlink>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Documentation Agent (incorporated by reference to Exhibit 10.4 to the Company’s Current Report on Form 8-K filed with the SEC on</w:t>
              </w:r>
            </w:hyperlink>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114">
              <w:r>
                <w:rPr>
                  <w:rFonts w:ascii="Times New Roman" w:cs="Times New Roman" w:eastAsia="Times New Roman" w:hAnsi="Times New Roman"/>
                  <w:sz w:val="18"/>
                  <w:szCs w:val="18"/>
                  <w:color w:val="0000EE"/>
                  <w:w w:val="97"/>
                </w:rPr>
                <w:t>June 4, 2013).</w:t>
              </w:r>
            </w:hyperlink>
          </w:p>
        </w:tc>
        <w:tc>
          <w:tcPr>
            <w:tcW w:w="8860" w:type="dxa"/>
            <w:vAlign w:val="bottom"/>
            <w:gridSpan w:val="10"/>
          </w:tcPr>
          <w:p>
            <w:pPr>
              <w:spacing w:after="0"/>
              <w:rPr>
                <w:sz w:val="17"/>
                <w:szCs w:val="17"/>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Amendment No. 2 dated as of May 29, 2015, among Generac Power Systems, Inc., its Domestic Subsidiaries listed as Borrowers on the</w:t>
              </w:r>
            </w:hyperlink>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signature pages thereto, Generac Acquisition Corp., the lenders party thereto, Bank of America, N.A. as Administrative Agent, and the</w:t>
              </w:r>
            </w:hyperlink>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other agents named therein (incorporated by reference to Exhibit 10.1 of the Company’s Current Report on Form 8-K filed with the SEC</w:t>
              </w:r>
            </w:hyperlink>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80" w:type="dxa"/>
            <w:vAlign w:val="bottom"/>
            <w:gridSpan w:val="12"/>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on June 1, 2015).</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Second Amended and Restated Credit Agreement, dated as of June 12, 2018, among Generac Power Systems, Inc., its Subsidiaries listed</w:t>
              </w:r>
            </w:hyperlink>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as Borrowers on the signature pages thereto, Generac Acquisition Corp., the lenders party thereto, Bank of America, N.A. as</w:t>
              </w:r>
            </w:hyperlink>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Administrative Agent, JPMorgan Chase Bank, N.A., as Syndication Agent, and Wells Fargo Bank, National Association, as</w:t>
              </w:r>
            </w:hyperlink>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Documentation Agent (incorporated by reference to Exhibit 10.2 of the Current Report on Form 8-K filed with the SEC on June 14,</w:t>
              </w:r>
            </w:hyperlink>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16">
              <w:r>
                <w:rPr>
                  <w:rFonts w:ascii="Times New Roman" w:cs="Times New Roman" w:eastAsia="Times New Roman" w:hAnsi="Times New Roman"/>
                  <w:sz w:val="18"/>
                  <w:szCs w:val="18"/>
                  <w:color w:val="0000EE"/>
                  <w:w w:val="94"/>
                </w:rPr>
                <w:t>2018).</w:t>
              </w:r>
            </w:hyperlink>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Third Amended and Restated Credit Agreement, dated as of May 27, 2021, among Generac Power Systems, Inc., its Subsidiaries listed</w:t>
              </w:r>
            </w:hyperlink>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as Borrowers on the signature pages thereto, Generac Acquisition Corp., the lenders party thereto, Bank of America, N.A. as</w:t>
              </w:r>
            </w:hyperlink>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Administrative Agent, JPMorgan Chase Bank, N.A. as Syndication Agent, and Wells Fargo Bank, National Association as</w:t>
              </w:r>
            </w:hyperlink>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Documentation Agent (incorporated by reference to Exhibit 10.1 of the Current Report on Form 8-K filed with the SEC on May 28,</w:t>
              </w:r>
            </w:hyperlink>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17">
              <w:r>
                <w:rPr>
                  <w:rFonts w:ascii="Times New Roman" w:cs="Times New Roman" w:eastAsia="Times New Roman" w:hAnsi="Times New Roman"/>
                  <w:sz w:val="18"/>
                  <w:szCs w:val="18"/>
                  <w:color w:val="0000EE"/>
                  <w:w w:val="94"/>
                </w:rPr>
                <w:t>2021).</w:t>
              </w:r>
            </w:hyperlink>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Guarantee and Collateral Agreement, dated as of May 30, 2012, among Generac Holdings Inc., Generac Acquisition Corp., Generac</w:t>
              </w:r>
            </w:hyperlink>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Power Systems, Inc., certain subsidiaries of Generac Power Systems, Inc. and Bank of America, N.A., as Administrative Agent</w:t>
              </w:r>
            </w:hyperlink>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80" w:type="dxa"/>
            <w:vAlign w:val="bottom"/>
            <w:gridSpan w:val="12"/>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(incorporated by reference to Exhibit 10.4 of the Company’s Current Report on Form 8-K filed with the SEC on May 31, 2012).</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gridSpan w:val="5"/>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First Amendment to Guarantee and Collateral Agreement dated as of May 31, 2013, among Generac Holdings Inc., Generac Acquisition</w:t>
              </w:r>
            </w:hyperlink>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Corp., Generac Power Systems, Inc., certain subsidiaries of Generac Power Systems, Inc. and Bank of America, N.A., as Administrative</w:t>
              </w:r>
            </w:hyperlink>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80" w:type="dxa"/>
            <w:vAlign w:val="bottom"/>
            <w:gridSpan w:val="12"/>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Agent (incorporated by reference to Exhibit 10.5 to the Company’s Current Report on Form 8-K filed with the SEC on June 4, 2013).</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gridSpan w:val="5"/>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Generac Holdings Inc. Amended and Restated 2010 Equity Incentive Plan (incorporated by reference to Appendix A to the Definitive</w:t>
              </w:r>
            </w:hyperlink>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80" w:type="dxa"/>
            <w:vAlign w:val="bottom"/>
            <w:gridSpan w:val="12"/>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Proxy Statement on Schedule 14A of the Company filed with the SEC on April 27, 2012)</w:t>
              </w:r>
            </w:hyperlink>
            <w:hyperlink r:id="rId121">
              <w:r>
                <w:rPr>
                  <w:rFonts w:ascii="Times New Roman" w:cs="Times New Roman" w:eastAsia="Times New Roman" w:hAnsi="Times New Roman"/>
                  <w:sz w:val="18"/>
                  <w:szCs w:val="18"/>
                  <w:color w:val="0000EE"/>
                </w:rPr>
                <w:t>.</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gridSpan w:val="5"/>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Generac Holdings Inc. Annual Performance Bonus Plan (incorporated by reference to Exhibit 10.63 of the Registration Statement on</w:t>
              </w:r>
            </w:hyperlink>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Form S-1 filed with the SEC on January 25, 2010).</w:t>
              </w:r>
            </w:hyperlink>
          </w:p>
        </w:tc>
        <w:tc>
          <w:tcPr>
            <w:tcW w:w="6200" w:type="dxa"/>
            <w:vAlign w:val="bottom"/>
            <w:gridSpan w:val="7"/>
          </w:tcPr>
          <w:p>
            <w:pPr>
              <w:spacing w:after="0"/>
              <w:rPr>
                <w:sz w:val="17"/>
                <w:szCs w:val="17"/>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Amended and Restated Employment Agreement dated November 5, 2018, between Generac and Aaron Jagdfeld (incorporated by</w:t>
              </w:r>
            </w:hyperlink>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5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reference to Exhibit 10.1 of the Company’s Quarterly Report on Form 10-Q filed with the SEC on November 6, 2018).</w:t>
              </w:r>
            </w:hyperlink>
          </w:p>
        </w:tc>
        <w:tc>
          <w:tcPr>
            <w:tcW w:w="1320" w:type="dxa"/>
            <w:vAlign w:val="bottom"/>
            <w:gridSpan w:val="4"/>
          </w:tcPr>
          <w:p>
            <w:pPr>
              <w:spacing w:after="0"/>
              <w:rPr>
                <w:sz w:val="17"/>
                <w:szCs w:val="17"/>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Form of Confidentiality, Non-Competition and Intellectual Property Agreement (incorporated by reference to Exhibit 10.40 of the</w:t>
              </w:r>
            </w:hyperlink>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80" w:type="dxa"/>
            <w:vAlign w:val="bottom"/>
            <w:gridSpan w:val="12"/>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Registration Statement on Form S-1 filed with the SEC on November 24, 2009).</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780" w:type="dxa"/>
            <w:vAlign w:val="bottom"/>
            <w:gridSpan w:val="6"/>
            <w:shd w:val="clear" w:color="auto" w:fill="0000EE"/>
          </w:tcPr>
          <w:p>
            <w:pPr>
              <w:spacing w:after="0" w:line="20" w:lineRule="exact"/>
              <w:rPr>
                <w:sz w:val="1"/>
                <w:szCs w:val="1"/>
                <w:color w:val="auto"/>
              </w:rPr>
            </w:pPr>
          </w:p>
        </w:tc>
        <w:tc>
          <w:tcPr>
            <w:tcW w:w="40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80" w:type="dxa"/>
            <w:vAlign w:val="bottom"/>
            <w:gridSpan w:val="12"/>
          </w:tcPr>
          <w:p>
            <w:pPr>
              <w:spacing w:after="0"/>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Form of Nonqualified Stock Option Award Agreement (incorporated by reference to Exhibit 10.45 of the Registration Statement on</w:t>
              </w:r>
            </w:hyperlink>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Form S-1 filed with the SEC on January 25, 2010).</w:t>
              </w:r>
            </w:hyperlink>
          </w:p>
        </w:tc>
        <w:tc>
          <w:tcPr>
            <w:tcW w:w="6180" w:type="dxa"/>
            <w:vAlign w:val="bottom"/>
            <w:tcBorders>
              <w:top w:val="single" w:sz="8" w:color="0000EE"/>
            </w:tcBorders>
            <w:gridSpan w:val="6"/>
          </w:tcPr>
          <w:p>
            <w:pPr>
              <w:spacing w:after="0"/>
              <w:rPr>
                <w:sz w:val="17"/>
                <w:szCs w:val="17"/>
                <w:color w:val="auto"/>
              </w:rPr>
            </w:pPr>
          </w:p>
        </w:tc>
        <w:tc>
          <w:tcPr>
            <w:tcW w:w="20" w:type="dxa"/>
            <w:vAlign w:val="bottom"/>
          </w:tcPr>
          <w:p>
            <w:pPr>
              <w:spacing w:after="0"/>
              <w:rPr>
                <w:sz w:val="17"/>
                <w:szCs w:val="17"/>
                <w:color w:val="auto"/>
              </w:rPr>
            </w:pPr>
          </w:p>
        </w:tc>
      </w:tr>
      <w:tr>
        <w:trPr>
          <w:trHeight w:val="45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780" w:type="dxa"/>
            <w:vAlign w:val="bottom"/>
            <w:gridSpan w:val="6"/>
          </w:tcPr>
          <w:p>
            <w:pPr>
              <w:ind w:left="4180"/>
              <w:spacing w:after="0"/>
              <w:rPr>
                <w:sz w:val="20"/>
                <w:szCs w:val="20"/>
                <w:color w:val="auto"/>
              </w:rPr>
            </w:pPr>
            <w:r>
              <w:rPr>
                <w:rFonts w:ascii="Times New Roman" w:cs="Times New Roman" w:eastAsia="Times New Roman" w:hAnsi="Times New Roman"/>
                <w:sz w:val="18"/>
                <w:szCs w:val="18"/>
                <w:color w:val="auto"/>
              </w:rPr>
              <w:t>72</w:t>
            </w:r>
          </w:p>
        </w:tc>
        <w:tc>
          <w:tcPr>
            <w:tcW w:w="7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44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30"/>
        </w:trPr>
        <w:tc>
          <w:tcPr>
            <w:tcW w:w="128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720" w:type="dxa"/>
            <w:vAlign w:val="bottom"/>
            <w:gridSpan w:val="17"/>
          </w:tcPr>
          <w:p>
            <w:pPr>
              <w:ind w:left="3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40" w:type="dxa"/>
            <w:vAlign w:val="bottom"/>
            <w:tcBorders>
              <w:top w:val="single" w:sz="8" w:color="auto"/>
            </w:tcBorders>
          </w:tcPr>
          <w:p>
            <w:pPr>
              <w:ind w:left="180"/>
              <w:spacing w:after="0" w:line="169" w:lineRule="exact"/>
              <w:rPr>
                <w:sz w:val="20"/>
                <w:szCs w:val="20"/>
                <w:color w:val="auto"/>
              </w:rPr>
            </w:pPr>
            <w:r>
              <w:rPr>
                <w:rFonts w:ascii="Times New Roman" w:cs="Times New Roman" w:eastAsia="Times New Roman" w:hAnsi="Times New Roman"/>
                <w:sz w:val="18"/>
                <w:szCs w:val="18"/>
                <w:color w:val="auto"/>
              </w:rPr>
              <w:t>10.27+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80" w:type="dxa"/>
            <w:vAlign w:val="bottom"/>
            <w:tcBorders>
              <w:top w:val="single" w:sz="8" w:color="auto"/>
              <w:bottom w:val="single" w:sz="8" w:color="0000EE"/>
            </w:tcBorders>
            <w:gridSpan w:val="23"/>
          </w:tcPr>
          <w:p>
            <w:pPr>
              <w:spacing w:after="0" w:line="169"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Amended Form of Restricted Stock Award Agreement pursuant to the 2010 Equity Incentive Plan (incorporated by reference to Exhibit</w:t>
              </w:r>
            </w:hyperlink>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80" w:type="dxa"/>
            <w:vAlign w:val="bottom"/>
            <w:gridSpan w:val="23"/>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0000EE"/>
                </w:rPr>
                <w:t xml:space="preserve"> of the Quarterly Report on Form 10-Q filed with the SEC on May 8, 2012).</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80" w:type="dxa"/>
            <w:vAlign w:val="bottom"/>
            <w:gridSpan w:val="23"/>
          </w:tcPr>
          <w:p>
            <w:pPr>
              <w:spacing w:after="0"/>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Amended Form of Nonqualified Stock Option Award Agreement pursuant to the 2010 Equity Incentive Plan (incorporated by reference</w:t>
              </w:r>
            </w:hyperlink>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6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to Exhibit 10.4 of the Quarterly Report on Form 10-Q filed with the SEC on May 8, 2012).</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80" w:type="dxa"/>
            <w:vAlign w:val="bottom"/>
            <w:gridSpan w:val="23"/>
          </w:tcPr>
          <w:p>
            <w:pPr>
              <w:spacing w:after="0"/>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Amended Form of Nonqualified Stock Option Award Agreement pursuant to the 2010 Equity Incentive Plan (incorporated by reference</w:t>
              </w:r>
            </w:hyperlink>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6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to Exhibit 10.24 of the Annual Report on Form 10-K filed with the SEC on February 26, 2019).</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10.30+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8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Amended Form of Restricted Stock Award Agreement pursuant to the 2010 Equity Incentive Plan (incorporated by reference to Exhibit</w:t>
              </w:r>
            </w:hyperlink>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80" w:type="dxa"/>
            <w:vAlign w:val="bottom"/>
            <w:gridSpan w:val="23"/>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25</w:t>
              </w:r>
              <w:r>
                <w:rPr>
                  <w:rFonts w:ascii="Times New Roman" w:cs="Times New Roman" w:eastAsia="Times New Roman" w:hAnsi="Times New Roman"/>
                  <w:sz w:val="18"/>
                  <w:szCs w:val="18"/>
                  <w:color w:val="0000EE"/>
                </w:rPr>
                <w:t xml:space="preserve"> of the Annual Report on Form 10-K filed with the SEC on February 26, 2019).</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10.31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8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Form of Director Indemnification Agreement (incorporated by reference to Exhibit 10.51 of the Registration Statement on Form S-1</w:t>
              </w:r>
            </w:hyperlink>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filed with the SEC on January 11, 2010).</w:t>
              </w:r>
            </w:hyperlink>
          </w:p>
        </w:tc>
        <w:tc>
          <w:tcPr>
            <w:tcW w:w="6940" w:type="dxa"/>
            <w:vAlign w:val="bottom"/>
            <w:gridSpan w:val="20"/>
          </w:tcPr>
          <w:p>
            <w:pPr>
              <w:spacing w:after="0"/>
              <w:rPr>
                <w:sz w:val="17"/>
                <w:szCs w:val="17"/>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10.32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8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Form of Officer Indemnification Agreement (incorporated by reference to Exhibit 10.52 of the Registration Statement on Form S-1 filed</w:t>
              </w:r>
            </w:hyperlink>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30">
              <w:r>
                <w:rPr>
                  <w:rFonts w:ascii="Times New Roman" w:cs="Times New Roman" w:eastAsia="Times New Roman" w:hAnsi="Times New Roman"/>
                  <w:sz w:val="18"/>
                  <w:szCs w:val="18"/>
                  <w:color w:val="0000EE"/>
                  <w:w w:val="98"/>
                </w:rPr>
                <w:t>with the SEC on January 11, 2010).</w:t>
              </w:r>
            </w:hyperlink>
          </w:p>
        </w:tc>
        <w:tc>
          <w:tcPr>
            <w:tcW w:w="7320" w:type="dxa"/>
            <w:vAlign w:val="bottom"/>
            <w:gridSpan w:val="21"/>
          </w:tcPr>
          <w:p>
            <w:pPr>
              <w:spacing w:after="0"/>
              <w:rPr>
                <w:sz w:val="17"/>
                <w:szCs w:val="17"/>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10.33+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8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Amended Form of Performance Share Award Agreement pursuant to the 2010 Equity Incentive Plan (incorporated by reference to</w:t>
              </w:r>
            </w:hyperlink>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7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Exhibit 10.29 of the Annual Report on Form 10-K filed with the SEC on February 26, 2019).</w:t>
              </w:r>
            </w:hyperlink>
          </w:p>
        </w:tc>
        <w:tc>
          <w:tcPr>
            <w:tcW w:w="3180" w:type="dxa"/>
            <w:vAlign w:val="bottom"/>
            <w:gridSpan w:val="10"/>
          </w:tcPr>
          <w:p>
            <w:pPr>
              <w:spacing w:after="0"/>
              <w:rPr>
                <w:sz w:val="17"/>
                <w:szCs w:val="17"/>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10.34+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8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Generac Holdings Inc. Non-Employee Director Compensation Policy (incorporated by reference to Exhibit 10.31 of the Annual Report</w:t>
              </w:r>
            </w:hyperlink>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1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on Form 10-K filed with the SEC on February 22, 2022).</w:t>
              </w:r>
            </w:hyperlink>
          </w:p>
        </w:tc>
        <w:tc>
          <w:tcPr>
            <w:tcW w:w="5720" w:type="dxa"/>
            <w:vAlign w:val="bottom"/>
            <w:gridSpan w:val="17"/>
          </w:tcPr>
          <w:p>
            <w:pPr>
              <w:spacing w:after="0"/>
              <w:rPr>
                <w:sz w:val="17"/>
                <w:szCs w:val="17"/>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10.35+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8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Generac Power Systems, Inc. Executive Change in Control Policy, effective November 5, 2018 (incorporated by reference to Exhibit</w:t>
              </w:r>
            </w:hyperlink>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2</w:t>
              </w:r>
              <w:r>
                <w:rPr>
                  <w:rFonts w:ascii="Times New Roman" w:cs="Times New Roman" w:eastAsia="Times New Roman" w:hAnsi="Times New Roman"/>
                  <w:sz w:val="18"/>
                  <w:szCs w:val="18"/>
                  <w:color w:val="0000EE"/>
                  <w:w w:val="99"/>
                </w:rPr>
                <w:t xml:space="preserve"> of the Quarterly Report on Form 10-Q filed with the SEC on November 6, 2018).</w:t>
              </w:r>
            </w:hyperlink>
          </w:p>
        </w:tc>
        <w:tc>
          <w:tcPr>
            <w:tcW w:w="3660" w:type="dxa"/>
            <w:vAlign w:val="bottom"/>
            <w:gridSpan w:val="12"/>
          </w:tcPr>
          <w:p>
            <w:pPr>
              <w:spacing w:after="0"/>
              <w:rPr>
                <w:sz w:val="17"/>
                <w:szCs w:val="17"/>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10.36+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8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Generac Holdings Inc. 2019 Equity Incentive Plan (incorporated by reference to Appendix A to the Definitive Proxy Statement on</w:t>
              </w:r>
            </w:hyperlink>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80" w:type="dxa"/>
            <w:vAlign w:val="bottom"/>
            <w:gridSpan w:val="23"/>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Schedule 14A of the Company filed with the SEC on April 26, 2019).</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10.37+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80" w:type="dxa"/>
            <w:vAlign w:val="bottom"/>
            <w:gridSpan w:val="23"/>
          </w:tcPr>
          <w:p>
            <w:pPr>
              <w:spacing w:after="0"/>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Form of Restricted Stock Award Agreement pursuant to the Generac Holdings Inc. 2019 Equity Incentive Plan (incorporated by</w:t>
              </w:r>
            </w:hyperlink>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6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reference to Exhibit 10.1 of the Quarterly Report on Form 10-Q filed with the SEC on November 5, 2019).</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780" w:type="dxa"/>
            <w:vAlign w:val="bottom"/>
            <w:gridSpan w:val="5"/>
            <w:shd w:val="clear" w:color="auto" w:fill="0000EE"/>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10.38+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80" w:type="dxa"/>
            <w:vAlign w:val="bottom"/>
            <w:gridSpan w:val="23"/>
          </w:tcPr>
          <w:p>
            <w:pPr>
              <w:spacing w:after="0"/>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Form of Nonqualified Stock Option Award Agreement pursuant to the Generac Holdings Inc. 2019 Equity Incentive Plan (incorporated</w:t>
              </w:r>
            </w:hyperlink>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92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by reference to Exhibit 10.2 of the Quarterly Report on Form 10-Q filed with the SEC on November 5, 2019).</w:t>
              </w:r>
            </w:hyperlink>
          </w:p>
        </w:tc>
        <w:tc>
          <w:tcPr>
            <w:tcW w:w="1940" w:type="dxa"/>
            <w:vAlign w:val="bottom"/>
            <w:tcBorders>
              <w:top w:val="single" w:sz="8" w:color="0000EE"/>
            </w:tcBorders>
            <w:gridSpan w:val="5"/>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10.39+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80" w:type="dxa"/>
            <w:vAlign w:val="bottom"/>
            <w:gridSpan w:val="23"/>
          </w:tcPr>
          <w:p>
            <w:pPr>
              <w:spacing w:after="0"/>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Form of Performance Share Unit Award Agreement pursuant to the Generac Holdings Inc. 2019 Equity Incentive Plan (incorporated by</w:t>
              </w:r>
            </w:hyperlink>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6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reference to Exhibit 10.3 of the Quarterly Report on Form 10-Q filed with the SEC on November 5, 2019).</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780" w:type="dxa"/>
            <w:vAlign w:val="bottom"/>
            <w:gridSpan w:val="5"/>
            <w:shd w:val="clear" w:color="auto" w:fill="0000EE"/>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10.40+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8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Amended Form of Restricted Stock Award Agreement pursuant to the Generac Holdings Inc. 2019 Equity Incentive Plan (incorporated</w:t>
              </w:r>
            </w:hyperlink>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80" w:type="dxa"/>
            <w:vAlign w:val="bottom"/>
            <w:gridSpan w:val="23"/>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by reference to Exhibit 10.39 of the Annual report on Form 10-K filed with the SEC on February 21, 2024).</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780" w:type="dxa"/>
            <w:vAlign w:val="bottom"/>
            <w:gridSpan w:val="5"/>
            <w:shd w:val="clear" w:color="auto" w:fill="0000EE"/>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10.41+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80" w:type="dxa"/>
            <w:vAlign w:val="bottom"/>
            <w:gridSpan w:val="23"/>
          </w:tcPr>
          <w:p>
            <w:pPr>
              <w:spacing w:after="0"/>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Amended Form of Nonqualified Stock Option Award Agreement pursuant to the Generac Holdings Inc. 2019 Equity Incentive</w:t>
              </w:r>
            </w:hyperlink>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6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Plan (incorporated by reference to Exhibit 10.40 of the Annual Report on Form 10-K filed with the SEC on February 21, 2024).</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780" w:type="dxa"/>
            <w:vAlign w:val="bottom"/>
            <w:gridSpan w:val="5"/>
            <w:shd w:val="clear" w:color="auto" w:fill="0000EE"/>
          </w:tcPr>
          <w:p>
            <w:pPr>
              <w:spacing w:after="0" w:line="20" w:lineRule="exact"/>
              <w:rPr>
                <w:sz w:val="1"/>
                <w:szCs w:val="1"/>
                <w:color w:val="auto"/>
              </w:rPr>
            </w:pPr>
          </w:p>
        </w:tc>
        <w:tc>
          <w:tcPr>
            <w:tcW w:w="2660" w:type="dxa"/>
            <w:vAlign w:val="bottom"/>
            <w:gridSpan w:val="8"/>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10.42+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8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Amended Form of Performance Share Unit Award Agreement pursuant to the Generac Holdings Inc. 2019 Equity Incentive</w:t>
              </w:r>
            </w:hyperlink>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80" w:type="dxa"/>
            <w:vAlign w:val="bottom"/>
            <w:gridSpan w:val="23"/>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Plan (incorporated by reference to Exhibit 10.41 of the Annual Report on Form 10-K filed with the SEC on February 21, 2024).</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780" w:type="dxa"/>
            <w:vAlign w:val="bottom"/>
            <w:gridSpan w:val="5"/>
            <w:shd w:val="clear" w:color="auto" w:fill="0000EE"/>
          </w:tcPr>
          <w:p>
            <w:pPr>
              <w:spacing w:after="0" w:line="20" w:lineRule="exact"/>
              <w:rPr>
                <w:sz w:val="1"/>
                <w:szCs w:val="1"/>
                <w:color w:val="auto"/>
              </w:rPr>
            </w:pPr>
          </w:p>
        </w:tc>
        <w:tc>
          <w:tcPr>
            <w:tcW w:w="2660" w:type="dxa"/>
            <w:vAlign w:val="bottom"/>
            <w:gridSpan w:val="8"/>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10.43+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8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Amended and Restated 2019 Equity Incentive Plan (incorporated by reference to Appendix A to the Definitive Proxy Statement on</w:t>
              </w:r>
            </w:hyperlink>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80" w:type="dxa"/>
            <w:vAlign w:val="bottom"/>
            <w:gridSpan w:val="23"/>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Schedule 14A of the Company filed with the SEC on April 29, 2024).</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660" w:type="dxa"/>
            <w:vAlign w:val="bottom"/>
            <w:gridSpan w:val="8"/>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10.44+*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rPr>
              <w:t>Amended Form of Restricted Stock Award Agreement pursuant to the Generac Holdings Inc. 2019 Equity Incentive Plan</w:t>
            </w:r>
          </w:p>
        </w:tc>
        <w:tc>
          <w:tcPr>
            <w:tcW w:w="1080" w:type="dxa"/>
            <w:vAlign w:val="bottom"/>
            <w:gridSpan w:val="5"/>
          </w:tcPr>
          <w:p>
            <w:pPr>
              <w:spacing w:after="0"/>
              <w:rPr>
                <w:sz w:val="24"/>
                <w:szCs w:val="24"/>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10.45+*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52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rPr>
              <w:t>Amended Form of Nonqualified Stock Option Award Agreement pursuant to the Generac Holdings Inc. 2019 Equity Incentive Plan</w:t>
            </w:r>
          </w:p>
        </w:tc>
        <w:tc>
          <w:tcPr>
            <w:tcW w:w="360" w:type="dxa"/>
            <w:vAlign w:val="bottom"/>
            <w:gridSpan w:val="2"/>
          </w:tcPr>
          <w:p>
            <w:pPr>
              <w:spacing w:after="0"/>
              <w:rPr>
                <w:sz w:val="24"/>
                <w:szCs w:val="24"/>
                <w:color w:val="auto"/>
              </w:rPr>
            </w:pP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10.46+*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Amended Form of Performance Share Unit Award Agreement pursuant to the Generac Holdings Inc. 2019 Equity Incentive Plan</w:t>
            </w:r>
          </w:p>
        </w:tc>
      </w:tr>
      <w:tr>
        <w:trPr>
          <w:trHeight w:val="412"/>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6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Generac Holdings, Inc. Insider Trading Policy</w:t>
            </w:r>
          </w:p>
        </w:tc>
        <w:tc>
          <w:tcPr>
            <w:tcW w:w="5900" w:type="dxa"/>
            <w:vAlign w:val="bottom"/>
            <w:tcBorders>
              <w:top w:val="single" w:sz="8" w:color="0000EE"/>
            </w:tcBorders>
            <w:gridSpan w:val="15"/>
          </w:tcPr>
          <w:p>
            <w:pPr>
              <w:spacing w:after="0"/>
              <w:rPr>
                <w:sz w:val="24"/>
                <w:szCs w:val="24"/>
                <w:color w:val="auto"/>
              </w:rPr>
            </w:pPr>
          </w:p>
        </w:tc>
        <w:tc>
          <w:tcPr>
            <w:tcW w:w="620" w:type="dxa"/>
            <w:vAlign w:val="bottom"/>
            <w:gridSpan w:val="3"/>
          </w:tcPr>
          <w:p>
            <w:pPr>
              <w:spacing w:after="0"/>
              <w:rPr>
                <w:sz w:val="24"/>
                <w:szCs w:val="24"/>
                <w:color w:val="auto"/>
              </w:rPr>
            </w:pPr>
          </w:p>
        </w:tc>
      </w:tr>
      <w:tr>
        <w:trPr>
          <w:trHeight w:val="412"/>
        </w:trPr>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21.1*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List of Subsidiaries of Generac Holdings Inc.</w:t>
            </w: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372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23.1*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1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Consent of Deloitte &amp; Touche LLP, Independent Registered Public Accounting Firm.</w:t>
            </w:r>
          </w:p>
        </w:tc>
        <w:tc>
          <w:tcPr>
            <w:tcW w:w="3740" w:type="dxa"/>
            <w:vAlign w:val="bottom"/>
            <w:gridSpan w:val="13"/>
          </w:tcPr>
          <w:p>
            <w:pPr>
              <w:spacing w:after="0"/>
              <w:rPr>
                <w:sz w:val="24"/>
                <w:szCs w:val="24"/>
                <w:color w:val="auto"/>
              </w:rPr>
            </w:pPr>
          </w:p>
        </w:tc>
      </w:tr>
      <w:tr>
        <w:trPr>
          <w:trHeight w:val="412"/>
        </w:trPr>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8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Securities Exchange Act Rules 13a-14(a) and 15d-14(a), pursuant to Section 302 of</w:t>
            </w: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the Sarbanes-Oxley Act of 2002.</w:t>
            </w: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7500" w:type="dxa"/>
            <w:vAlign w:val="bottom"/>
            <w:gridSpan w:val="2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Securities Exchange Act Rules 13a-14(a) and 15d-14(a), pursuant to Section 302 of</w:t>
            </w: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6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the Sarbanes-Oxley Act of 2002.</w:t>
            </w:r>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8" w:right="339" w:bottom="164" w:gutter="0" w:footer="0" w:header="0"/>
        </w:sectPr>
      </w:pP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64"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207"/>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00" w:type="dxa"/>
            <w:vAlign w:val="bottom"/>
          </w:tcPr>
          <w:p>
            <w:pPr>
              <w:spacing w:after="0"/>
              <w:rPr>
                <w:sz w:val="17"/>
                <w:szCs w:val="17"/>
                <w:color w:val="auto"/>
              </w:rPr>
            </w:pPr>
          </w:p>
        </w:tc>
        <w:tc>
          <w:tcPr>
            <w:tcW w:w="94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30"/>
        </w:trPr>
        <w:tc>
          <w:tcPr>
            <w:tcW w:w="128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00" w:type="dxa"/>
            <w:vAlign w:val="bottom"/>
          </w:tcPr>
          <w:p>
            <w:pPr>
              <w:spacing w:after="0"/>
              <w:rPr>
                <w:sz w:val="20"/>
                <w:szCs w:val="20"/>
                <w:color w:val="auto"/>
              </w:rPr>
            </w:pPr>
          </w:p>
        </w:tc>
        <w:tc>
          <w:tcPr>
            <w:tcW w:w="9480" w:type="dxa"/>
            <w:vAlign w:val="bottom"/>
            <w:gridSpan w:val="2"/>
          </w:tcPr>
          <w:p>
            <w:pPr>
              <w:ind w:left="41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40" w:type="dxa"/>
            <w:vAlign w:val="bottom"/>
            <w:tcBorders>
              <w:top w:val="single" w:sz="8" w:color="auto"/>
            </w:tcBorders>
          </w:tcPr>
          <w:p>
            <w:pPr>
              <w:jc w:val="right"/>
              <w:ind w:right="390"/>
              <w:spacing w:after="0" w:line="169" w:lineRule="exact"/>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80" w:type="dxa"/>
            <w:vAlign w:val="bottom"/>
            <w:tcBorders>
              <w:top w:val="single" w:sz="8" w:color="auto"/>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EE"/>
              </w:rPr>
              <w:t>Certification of Chief Executive Officer pursuant to 18 U.S.C. Section 1350, as adopted by Section 906 of the Sarbanes-Oxley Act of</w:t>
            </w: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3"/>
              </w:rPr>
              <w:t>2002.</w:t>
            </w:r>
          </w:p>
        </w:tc>
        <w:tc>
          <w:tcPr>
            <w:tcW w:w="94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18 U.S.C. Section 1350, as adopted by Section 906 of the Sarbanes-Oxley Act of</w:t>
            </w: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3"/>
              </w:rPr>
              <w:t>2002.</w:t>
            </w:r>
          </w:p>
        </w:tc>
        <w:tc>
          <w:tcPr>
            <w:tcW w:w="946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225" w:lineRule="exact"/>
        <w:rPr>
          <w:sz w:val="20"/>
          <w:szCs w:val="20"/>
          <w:color w:val="auto"/>
        </w:rPr>
      </w:pPr>
    </w:p>
    <w:p>
      <w:pPr>
        <w:ind w:left="1360" w:hanging="1190"/>
        <w:spacing w:after="0" w:line="282" w:lineRule="auto"/>
        <w:tabs>
          <w:tab w:leader="none" w:pos="1360" w:val="left"/>
        </w:tabs>
        <w:numPr>
          <w:ilvl w:val="0"/>
          <w:numId w:val="41"/>
        </w:numPr>
        <w:rPr>
          <w:rFonts w:ascii="Times New Roman" w:cs="Times New Roman" w:eastAsia="Times New Roman" w:hAnsi="Times New Roman"/>
          <w:sz w:val="18"/>
          <w:szCs w:val="18"/>
          <w:u w:val="single" w:color="auto"/>
          <w:color w:val="0000EE"/>
        </w:rPr>
      </w:pPr>
      <w:hyperlink r:id="rId143">
        <w:r>
          <w:rPr>
            <w:rFonts w:ascii="Times New Roman" w:cs="Times New Roman" w:eastAsia="Times New Roman" w:hAnsi="Times New Roman"/>
            <w:sz w:val="18"/>
            <w:szCs w:val="18"/>
            <w:u w:val="single" w:color="auto"/>
            <w:color w:val="0000EE"/>
          </w:rPr>
          <w:t>Generac Holdings, Inc. Mandatory Restatement Compensation Recovery Policy (incorporated by reference to Exhibit 97 of the Annual</w:t>
        </w:r>
      </w:hyperlink>
      <w:r>
        <w:rPr>
          <w:rFonts w:ascii="Times New Roman" w:cs="Times New Roman" w:eastAsia="Times New Roman" w:hAnsi="Times New Roman"/>
          <w:sz w:val="18"/>
          <w:szCs w:val="18"/>
          <w:u w:val="single" w:color="auto"/>
          <w:color w:val="0000EE"/>
        </w:rPr>
        <w:t xml:space="preserve"> </w:t>
      </w:r>
      <w:hyperlink r:id="rId143">
        <w:r>
          <w:rPr>
            <w:rFonts w:ascii="Times New Roman" w:cs="Times New Roman" w:eastAsia="Times New Roman" w:hAnsi="Times New Roman"/>
            <w:sz w:val="18"/>
            <w:szCs w:val="18"/>
            <w:u w:val="single" w:color="auto"/>
            <w:color w:val="0000EE"/>
          </w:rPr>
          <w:t>Report on Form 10-K filed with the SEC on February 21, 2024).</w:t>
        </w:r>
      </w:hyperlink>
    </w:p>
    <w:p>
      <w:pPr>
        <w:spacing w:after="0" w:line="162" w:lineRule="exact"/>
        <w:rPr>
          <w:rFonts w:ascii="Times New Roman" w:cs="Times New Roman" w:eastAsia="Times New Roman" w:hAnsi="Times New Roman"/>
          <w:sz w:val="18"/>
          <w:szCs w:val="18"/>
          <w:color w:val="auto"/>
        </w:rPr>
      </w:pPr>
    </w:p>
    <w:tbl>
      <w:tblPr>
        <w:tblLayout w:type="fixed"/>
        <w:tblInd w:w="180" w:type="dxa"/>
        <w:tblCellMar>
          <w:top w:w="0" w:type="dxa"/>
          <w:left w:w="0" w:type="dxa"/>
          <w:bottom w:w="0" w:type="dxa"/>
          <w:right w:w="0" w:type="dxa"/>
        </w:tblCellMar>
      </w:tblPr>
      <w:tr>
        <w:trPr>
          <w:trHeight w:val="216"/>
        </w:trPr>
        <w:tc>
          <w:tcPr>
            <w:tcW w:w="7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101*</w:t>
            </w:r>
          </w:p>
        </w:tc>
        <w:tc>
          <w:tcPr>
            <w:tcW w:w="10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following financial information from the Company’s Annual Report on Form 10-K for the fiscal year ended December 31, 2024,</w:t>
            </w:r>
          </w:p>
        </w:tc>
      </w:tr>
      <w:tr>
        <w:trPr>
          <w:trHeight w:val="216"/>
        </w:trPr>
        <w:tc>
          <w:tcPr>
            <w:tcW w:w="760" w:type="dxa"/>
            <w:vAlign w:val="bottom"/>
          </w:tcPr>
          <w:p>
            <w:pPr>
              <w:spacing w:after="0"/>
              <w:rPr>
                <w:sz w:val="18"/>
                <w:szCs w:val="18"/>
                <w:color w:val="auto"/>
              </w:rPr>
            </w:pPr>
          </w:p>
        </w:tc>
        <w:tc>
          <w:tcPr>
            <w:tcW w:w="10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filed with the SEC on February 19, 2025, formatted in Inline eXtensible Business Reporting Language (iXBRL): (i) Consolidated</w:t>
            </w:r>
          </w:p>
        </w:tc>
      </w:tr>
      <w:tr>
        <w:trPr>
          <w:trHeight w:val="216"/>
        </w:trPr>
        <w:tc>
          <w:tcPr>
            <w:tcW w:w="760" w:type="dxa"/>
            <w:vAlign w:val="bottom"/>
          </w:tcPr>
          <w:p>
            <w:pPr>
              <w:spacing w:after="0"/>
              <w:rPr>
                <w:sz w:val="18"/>
                <w:szCs w:val="18"/>
                <w:color w:val="auto"/>
              </w:rPr>
            </w:pPr>
          </w:p>
        </w:tc>
        <w:tc>
          <w:tcPr>
            <w:tcW w:w="10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Balance Sheets as of December 31, 2024 and December 31, 2023; (ii) Consolidated Statements of Comprehensive Income for the Fiscal</w:t>
            </w:r>
          </w:p>
        </w:tc>
      </w:tr>
      <w:tr>
        <w:trPr>
          <w:trHeight w:val="234"/>
        </w:trPr>
        <w:tc>
          <w:tcPr>
            <w:tcW w:w="760" w:type="dxa"/>
            <w:vAlign w:val="bottom"/>
          </w:tcPr>
          <w:p>
            <w:pPr>
              <w:spacing w:after="0"/>
              <w:rPr>
                <w:sz w:val="20"/>
                <w:szCs w:val="20"/>
                <w:color w:val="auto"/>
              </w:rPr>
            </w:pPr>
          </w:p>
        </w:tc>
        <w:tc>
          <w:tcPr>
            <w:tcW w:w="10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Years Ended December 31, 2024, December 31, 2023 and December 31, 2022; (iii) Consolidated Statements of Stockholders' Equity for</w:t>
            </w:r>
          </w:p>
        </w:tc>
      </w:tr>
    </w:tbl>
    <w:p>
      <w:pPr>
        <w:jc w:val="both"/>
        <w:ind w:left="1360" w:right="20"/>
        <w:spacing w:after="0" w:line="255" w:lineRule="auto"/>
        <w:rPr>
          <w:sz w:val="20"/>
          <w:szCs w:val="20"/>
          <w:color w:val="auto"/>
        </w:rPr>
      </w:pPr>
      <w:r>
        <w:rPr>
          <w:rFonts w:ascii="Times New Roman" w:cs="Times New Roman" w:eastAsia="Times New Roman" w:hAnsi="Times New Roman"/>
          <w:sz w:val="18"/>
          <w:szCs w:val="18"/>
          <w:color w:val="auto"/>
        </w:rPr>
        <w:t>the Fiscal Years Ended December 31, 2024, December 31, 2023 and December 31, 2022; (iv) Consolidated Statements of Cash Flows for the Fiscal Years Ended December 31, 2024, December 31, 2023 and December 31, 2022; (v) Notes to Consolidated Financial Statements.</w:t>
      </w:r>
    </w:p>
    <w:p>
      <w:pPr>
        <w:spacing w:after="0" w:line="186" w:lineRule="exact"/>
        <w:rPr>
          <w:rFonts w:ascii="Times New Roman" w:cs="Times New Roman" w:eastAsia="Times New Roman" w:hAnsi="Times New Roman"/>
          <w:sz w:val="18"/>
          <w:szCs w:val="18"/>
          <w:color w:val="auto"/>
        </w:rPr>
      </w:pPr>
    </w:p>
    <w:p>
      <w:pPr>
        <w:ind w:left="1360" w:hanging="1190"/>
        <w:spacing w:after="0"/>
        <w:tabs>
          <w:tab w:leader="none" w:pos="13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and contained in Exhibit 101)</w:t>
      </w:r>
    </w:p>
    <w:p>
      <w:pPr>
        <w:spacing w:after="0" w:line="27" w:lineRule="exact"/>
        <w:rPr>
          <w:rFonts w:ascii="Times New Roman" w:cs="Times New Roman" w:eastAsia="Times New Roman" w:hAnsi="Times New Roman"/>
          <w:sz w:val="18"/>
          <w:szCs w:val="18"/>
          <w:color w:val="auto"/>
        </w:rPr>
      </w:pPr>
    </w:p>
    <w:p>
      <w:pPr>
        <w:ind w:left="1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w:t>
      </w:r>
    </w:p>
    <w:p>
      <w:pPr>
        <w:spacing w:after="0" w:line="9" w:lineRule="exact"/>
        <w:rPr>
          <w:rFonts w:ascii="Times New Roman" w:cs="Times New Roman" w:eastAsia="Times New Roman" w:hAnsi="Times New Roman"/>
          <w:sz w:val="18"/>
          <w:szCs w:val="18"/>
          <w:color w:val="auto"/>
        </w:rPr>
      </w:pPr>
    </w:p>
    <w:p>
      <w:pPr>
        <w:ind w:left="1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 w:lineRule="exact"/>
        <w:rPr>
          <w:rFonts w:ascii="Times New Roman" w:cs="Times New Roman" w:eastAsia="Times New Roman" w:hAnsi="Times New Roman"/>
          <w:sz w:val="18"/>
          <w:szCs w:val="18"/>
          <w:color w:val="auto"/>
        </w:rPr>
      </w:pPr>
    </w:p>
    <w:p>
      <w:pPr>
        <w:ind w:left="2120" w:hanging="762"/>
        <w:spacing w:after="0"/>
        <w:tabs>
          <w:tab w:leader="none" w:pos="21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rFonts w:ascii="Times New Roman" w:cs="Times New Roman" w:eastAsia="Times New Roman" w:hAnsi="Times New Roman"/>
          <w:sz w:val="18"/>
          <w:szCs w:val="18"/>
          <w:color w:val="auto"/>
        </w:rPr>
      </w:pPr>
    </w:p>
    <w:p>
      <w:pPr>
        <w:ind w:left="2140" w:hanging="782"/>
        <w:spacing w:after="0"/>
        <w:tabs>
          <w:tab w:leader="none" w:pos="2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203"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GENERAC HOLDINGS INC.</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AARON JAGDFELD</w:t>
            </w:r>
          </w:p>
        </w:tc>
      </w:tr>
      <w:tr>
        <w:trPr>
          <w:trHeight w:val="189"/>
        </w:trPr>
        <w:tc>
          <w:tcPr>
            <w:tcW w:w="520" w:type="dxa"/>
            <w:vAlign w:val="bottom"/>
          </w:tcPr>
          <w:p>
            <w:pPr>
              <w:spacing w:after="0"/>
              <w:rPr>
                <w:sz w:val="16"/>
                <w:szCs w:val="16"/>
                <w:color w:val="auto"/>
              </w:rPr>
            </w:pPr>
          </w:p>
        </w:tc>
        <w:tc>
          <w:tcPr>
            <w:tcW w:w="50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Aaron Jagdfeld</w:t>
            </w:r>
          </w:p>
        </w:tc>
      </w:tr>
      <w:tr>
        <w:trPr>
          <w:trHeight w:val="236"/>
        </w:trPr>
        <w:tc>
          <w:tcPr>
            <w:tcW w:w="520" w:type="dxa"/>
            <w:vAlign w:val="bottom"/>
          </w:tcPr>
          <w:p>
            <w:pPr>
              <w:spacing w:after="0"/>
              <w:rPr>
                <w:sz w:val="20"/>
                <w:szCs w:val="20"/>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Chairman, President and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19, 2025</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and on behalf of the Registrant in the capacities and on the dates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480" w:type="dxa"/>
            <w:vAlign w:val="bottom"/>
          </w:tcPr>
          <w:p>
            <w:pPr>
              <w:spacing w:after="0"/>
              <w:rPr>
                <w:sz w:val="17"/>
                <w:szCs w:val="17"/>
                <w:color w:val="auto"/>
              </w:rPr>
            </w:pPr>
          </w:p>
        </w:tc>
        <w:tc>
          <w:tcPr>
            <w:tcW w:w="41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280" w:type="dxa"/>
            <w:vAlign w:val="bottom"/>
          </w:tcPr>
          <w:p>
            <w:pPr>
              <w:spacing w:after="0"/>
              <w:rPr>
                <w:sz w:val="17"/>
                <w:szCs w:val="17"/>
                <w:color w:val="auto"/>
              </w:rPr>
            </w:pPr>
          </w:p>
        </w:tc>
        <w:tc>
          <w:tcPr>
            <w:tcW w:w="8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
        </w:trPr>
        <w:tc>
          <w:tcPr>
            <w:tcW w:w="15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53"/>
        </w:trPr>
        <w:tc>
          <w:tcPr>
            <w:tcW w:w="3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AARON JAGDFELD</w:t>
            </w:r>
          </w:p>
        </w:tc>
        <w:tc>
          <w:tcPr>
            <w:tcW w:w="416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9"/>
              </w:rPr>
              <w:t>Chairman, President and Chief Executive</w:t>
            </w:r>
          </w:p>
        </w:tc>
        <w:tc>
          <w:tcPr>
            <w:tcW w:w="212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w w:val="99"/>
              </w:rPr>
              <w:t>February 19, 2025</w:t>
            </w:r>
          </w:p>
        </w:tc>
      </w:tr>
      <w:tr>
        <w:trPr>
          <w:trHeight w:val="228"/>
        </w:trPr>
        <w:tc>
          <w:tcPr>
            <w:tcW w:w="37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Aaron Jagdfeld</w:t>
            </w:r>
          </w:p>
        </w:tc>
        <w:tc>
          <w:tcPr>
            <w:tcW w:w="41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Officer</w:t>
            </w: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14"/>
        </w:trPr>
        <w:tc>
          <w:tcPr>
            <w:tcW w:w="3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YORK A. RAGEN</w:t>
            </w:r>
          </w:p>
        </w:tc>
        <w:tc>
          <w:tcPr>
            <w:tcW w:w="416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9"/>
              </w:rPr>
              <w:t>Chief Financial Officer and</w:t>
            </w:r>
          </w:p>
        </w:tc>
        <w:tc>
          <w:tcPr>
            <w:tcW w:w="212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w w:val="99"/>
              </w:rPr>
              <w:t>February 19, 2025</w:t>
            </w:r>
          </w:p>
        </w:tc>
      </w:tr>
      <w:tr>
        <w:trPr>
          <w:trHeight w:val="228"/>
        </w:trPr>
        <w:tc>
          <w:tcPr>
            <w:tcW w:w="37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York A. Ragen</w:t>
            </w:r>
          </w:p>
        </w:tc>
        <w:tc>
          <w:tcPr>
            <w:tcW w:w="41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Chief Accounting Officer</w:t>
            </w: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14"/>
        </w:trPr>
        <w:tc>
          <w:tcPr>
            <w:tcW w:w="3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BENNETT MORGAN</w:t>
            </w:r>
          </w:p>
        </w:tc>
        <w:tc>
          <w:tcPr>
            <w:tcW w:w="41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Lead Director</w:t>
            </w:r>
          </w:p>
        </w:tc>
        <w:tc>
          <w:tcPr>
            <w:tcW w:w="212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w w:val="99"/>
              </w:rPr>
              <w:t>February 19, 2025</w:t>
            </w:r>
          </w:p>
        </w:tc>
      </w:tr>
      <w:tr>
        <w:trPr>
          <w:trHeight w:val="228"/>
        </w:trPr>
        <w:tc>
          <w:tcPr>
            <w:tcW w:w="37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Bennett Morgan</w:t>
            </w:r>
          </w:p>
        </w:tc>
        <w:tc>
          <w:tcPr>
            <w:tcW w:w="1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14"/>
        </w:trPr>
        <w:tc>
          <w:tcPr>
            <w:tcW w:w="3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MARCIA J. AVEDON</w:t>
            </w:r>
          </w:p>
        </w:tc>
        <w:tc>
          <w:tcPr>
            <w:tcW w:w="41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Director</w:t>
            </w:r>
          </w:p>
        </w:tc>
        <w:tc>
          <w:tcPr>
            <w:tcW w:w="212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w w:val="99"/>
              </w:rPr>
              <w:t>February 19, 2025</w:t>
            </w:r>
          </w:p>
        </w:tc>
      </w:tr>
      <w:tr>
        <w:trPr>
          <w:trHeight w:val="228"/>
        </w:trPr>
        <w:tc>
          <w:tcPr>
            <w:tcW w:w="37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Marcia J. Avedon</w:t>
            </w:r>
          </w:p>
        </w:tc>
        <w:tc>
          <w:tcPr>
            <w:tcW w:w="1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14"/>
        </w:trPr>
        <w:tc>
          <w:tcPr>
            <w:tcW w:w="3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JOHN D. BOWLIN</w:t>
            </w:r>
          </w:p>
        </w:tc>
        <w:tc>
          <w:tcPr>
            <w:tcW w:w="41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Director</w:t>
            </w:r>
          </w:p>
        </w:tc>
        <w:tc>
          <w:tcPr>
            <w:tcW w:w="212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w w:val="99"/>
              </w:rPr>
              <w:t>February 19, 2025</w:t>
            </w:r>
          </w:p>
        </w:tc>
      </w:tr>
      <w:tr>
        <w:trPr>
          <w:trHeight w:val="228"/>
        </w:trPr>
        <w:tc>
          <w:tcPr>
            <w:tcW w:w="37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John D. Bowlin</w:t>
            </w:r>
          </w:p>
        </w:tc>
        <w:tc>
          <w:tcPr>
            <w:tcW w:w="1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14"/>
        </w:trPr>
        <w:tc>
          <w:tcPr>
            <w:tcW w:w="3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ROBERT D. DIXON</w:t>
            </w:r>
          </w:p>
        </w:tc>
        <w:tc>
          <w:tcPr>
            <w:tcW w:w="41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Director</w:t>
            </w:r>
          </w:p>
        </w:tc>
        <w:tc>
          <w:tcPr>
            <w:tcW w:w="212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w w:val="99"/>
              </w:rPr>
              <w:t>February 19, 2025</w:t>
            </w:r>
          </w:p>
        </w:tc>
      </w:tr>
      <w:tr>
        <w:trPr>
          <w:trHeight w:val="228"/>
        </w:trPr>
        <w:tc>
          <w:tcPr>
            <w:tcW w:w="37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Robert D. Dixon</w:t>
            </w:r>
          </w:p>
        </w:tc>
        <w:tc>
          <w:tcPr>
            <w:tcW w:w="1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14"/>
        </w:trPr>
        <w:tc>
          <w:tcPr>
            <w:tcW w:w="3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WILLIAM JENKINS</w:t>
            </w:r>
          </w:p>
        </w:tc>
        <w:tc>
          <w:tcPr>
            <w:tcW w:w="41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Director</w:t>
            </w:r>
          </w:p>
        </w:tc>
        <w:tc>
          <w:tcPr>
            <w:tcW w:w="212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w w:val="99"/>
              </w:rPr>
              <w:t>February 19, 2025</w:t>
            </w:r>
          </w:p>
        </w:tc>
      </w:tr>
      <w:tr>
        <w:trPr>
          <w:trHeight w:val="228"/>
        </w:trPr>
        <w:tc>
          <w:tcPr>
            <w:tcW w:w="37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William Jenkins</w:t>
            </w:r>
          </w:p>
        </w:tc>
        <w:tc>
          <w:tcPr>
            <w:tcW w:w="1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14"/>
        </w:trPr>
        <w:tc>
          <w:tcPr>
            <w:tcW w:w="3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ANDREW G. LAMPEREUR</w:t>
            </w:r>
          </w:p>
        </w:tc>
        <w:tc>
          <w:tcPr>
            <w:tcW w:w="41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Director</w:t>
            </w:r>
          </w:p>
        </w:tc>
        <w:tc>
          <w:tcPr>
            <w:tcW w:w="212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w w:val="99"/>
              </w:rPr>
              <w:t>February 19, 2025</w:t>
            </w:r>
          </w:p>
        </w:tc>
      </w:tr>
      <w:tr>
        <w:trPr>
          <w:trHeight w:val="228"/>
        </w:trPr>
        <w:tc>
          <w:tcPr>
            <w:tcW w:w="37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Andrew G. Lampereur</w:t>
            </w:r>
          </w:p>
        </w:tc>
        <w:tc>
          <w:tcPr>
            <w:tcW w:w="1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14"/>
        </w:trPr>
        <w:tc>
          <w:tcPr>
            <w:tcW w:w="3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NAM TRAN NGUYEN</w:t>
            </w:r>
          </w:p>
        </w:tc>
        <w:tc>
          <w:tcPr>
            <w:tcW w:w="41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Director</w:t>
            </w:r>
          </w:p>
        </w:tc>
        <w:tc>
          <w:tcPr>
            <w:tcW w:w="212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w w:val="99"/>
              </w:rPr>
              <w:t>February 19, 2025</w:t>
            </w:r>
          </w:p>
        </w:tc>
      </w:tr>
      <w:tr>
        <w:trPr>
          <w:trHeight w:val="228"/>
        </w:trPr>
        <w:tc>
          <w:tcPr>
            <w:tcW w:w="37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Nam Tran Nguyen</w:t>
            </w:r>
          </w:p>
        </w:tc>
        <w:tc>
          <w:tcPr>
            <w:tcW w:w="1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14"/>
        </w:trPr>
        <w:tc>
          <w:tcPr>
            <w:tcW w:w="3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DAVID A. RAMON</w:t>
            </w:r>
          </w:p>
        </w:tc>
        <w:tc>
          <w:tcPr>
            <w:tcW w:w="41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Director</w:t>
            </w:r>
          </w:p>
        </w:tc>
        <w:tc>
          <w:tcPr>
            <w:tcW w:w="212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w w:val="99"/>
              </w:rPr>
              <w:t>February 19, 2025</w:t>
            </w:r>
          </w:p>
        </w:tc>
      </w:tr>
      <w:tr>
        <w:trPr>
          <w:trHeight w:val="228"/>
        </w:trPr>
        <w:tc>
          <w:tcPr>
            <w:tcW w:w="37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David A. Ramon</w:t>
            </w:r>
          </w:p>
        </w:tc>
        <w:tc>
          <w:tcPr>
            <w:tcW w:w="1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14"/>
        </w:trPr>
        <w:tc>
          <w:tcPr>
            <w:tcW w:w="3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KATHRYN BOHL</w:t>
            </w:r>
          </w:p>
        </w:tc>
        <w:tc>
          <w:tcPr>
            <w:tcW w:w="41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Director</w:t>
            </w:r>
          </w:p>
        </w:tc>
        <w:tc>
          <w:tcPr>
            <w:tcW w:w="212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w w:val="99"/>
              </w:rPr>
              <w:t>February 19, 2025</w:t>
            </w:r>
          </w:p>
        </w:tc>
      </w:tr>
      <w:tr>
        <w:trPr>
          <w:trHeight w:val="228"/>
        </w:trPr>
        <w:tc>
          <w:tcPr>
            <w:tcW w:w="37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Kathryn Bohl</w:t>
            </w:r>
          </w:p>
        </w:tc>
        <w:tc>
          <w:tcPr>
            <w:tcW w:w="1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14"/>
        </w:trPr>
        <w:tc>
          <w:tcPr>
            <w:tcW w:w="3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DOMINICK ZARCONE</w:t>
            </w:r>
          </w:p>
        </w:tc>
        <w:tc>
          <w:tcPr>
            <w:tcW w:w="41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Director</w:t>
            </w:r>
          </w:p>
        </w:tc>
        <w:tc>
          <w:tcPr>
            <w:tcW w:w="212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w w:val="99"/>
              </w:rPr>
              <w:t>February 19, 2025</w:t>
            </w:r>
          </w:p>
        </w:tc>
      </w:tr>
      <w:tr>
        <w:trPr>
          <w:trHeight w:val="228"/>
        </w:trPr>
        <w:tc>
          <w:tcPr>
            <w:tcW w:w="37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Dominick Zarcone</w:t>
            </w:r>
          </w:p>
        </w:tc>
        <w:tc>
          <w:tcPr>
            <w:tcW w:w="1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14"/>
        </w:trPr>
        <w:tc>
          <w:tcPr>
            <w:tcW w:w="1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60" w:type="dxa"/>
            <w:vAlign w:val="bottom"/>
            <w:gridSpan w:val="2"/>
          </w:tcPr>
          <w:p>
            <w:pPr>
              <w:jc w:val="center"/>
              <w:ind w:left="1630"/>
              <w:spacing w:after="0"/>
              <w:rPr>
                <w:sz w:val="20"/>
                <w:szCs w:val="20"/>
                <w:color w:val="auto"/>
              </w:rPr>
            </w:pPr>
            <w:r>
              <w:rPr>
                <w:rFonts w:ascii="Times New Roman" w:cs="Times New Roman" w:eastAsia="Times New Roman" w:hAnsi="Times New Roman"/>
                <w:sz w:val="18"/>
                <w:szCs w:val="18"/>
                <w:color w:val="auto"/>
                <w:w w:val="99"/>
              </w:rPr>
              <w:t>75</w:t>
            </w:r>
          </w:p>
        </w:tc>
        <w:tc>
          <w:tcPr>
            <w:tcW w:w="2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19685</wp:posOffset>
            </wp:positionV>
            <wp:extent cx="6660515" cy="10883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5">
                      <a:extLst>
                        <a:ext uri="{28A0092B-C50C-407E-A947-70E740481C1C}"/>
                      </a:extLst>
                    </a:blip>
                    <a:srcRect/>
                    <a:stretch>
                      <a:fillRect/>
                    </a:stretch>
                  </pic:blipFill>
                  <pic:spPr bwMode="auto">
                    <a:xfrm>
                      <a:off x="0" y="0"/>
                      <a:ext cx="6660515" cy="108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Generac has established this Insider Trading Policy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to aid our employees in understanding their responsibilities in complying with laws prohibiting insider trading, to set forth procedures designed to facilitate compliance, and to avoid the appearance of any impropriety.</w:t>
      </w:r>
    </w:p>
    <w:p>
      <w:pPr>
        <w:spacing w:after="0" w:line="155" w:lineRule="exact"/>
        <w:rPr>
          <w:sz w:val="20"/>
          <w:szCs w:val="20"/>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SCOPE</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This Policy applies to all employees of Generac Holdings, Inc. and its subsidiaries (“</w:t>
      </w:r>
      <w:r>
        <w:rPr>
          <w:rFonts w:ascii="Times New Roman" w:cs="Times New Roman" w:eastAsia="Times New Roman" w:hAnsi="Times New Roman"/>
          <w:sz w:val="18"/>
          <w:szCs w:val="18"/>
          <w:b w:val="1"/>
          <w:bCs w:val="1"/>
          <w:color w:val="auto"/>
        </w:rPr>
        <w:t>Generac</w:t>
      </w:r>
      <w:r>
        <w:rPr>
          <w:rFonts w:ascii="Times New Roman" w:cs="Times New Roman" w:eastAsia="Times New Roman" w:hAnsi="Times New Roman"/>
          <w:sz w:val="18"/>
          <w:szCs w:val="18"/>
          <w:color w:val="auto"/>
        </w:rPr>
        <w:t>”) worldwide. The additional procedures in Section 5 apply only to Covered Persons.</w:t>
      </w:r>
    </w:p>
    <w:p>
      <w:pPr>
        <w:spacing w:after="0" w:line="155" w:lineRule="exact"/>
        <w:rPr>
          <w:sz w:val="20"/>
          <w:szCs w:val="20"/>
          <w:color w:val="auto"/>
        </w:rPr>
      </w:pPr>
    </w:p>
    <w:p>
      <w:pPr>
        <w:ind w:left="340" w:hanging="332"/>
        <w:spacing w:after="0"/>
        <w:tabs>
          <w:tab w:leader="none" w:pos="34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POLICY STATEMENT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Policy prohibits trading in Generac securities on the basis of non-public, Material Information about Generac. It also prohibits trading in the securities of other companies on the basis of inside information learned about those companies through employment at Generac.</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Policy also prohibits Covered Persons from engaging in the following types of transactions: hedging (e.g., forward sale contracts, collars, equity swaps, or similar derivative transactions), short sales, purchase of publicly traded options, or short swing transactions (meaning the execution of an opposite transaction within 6 months of an original transaction).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Covered Persons who are subject to pre-clearance procedures of Section 5.2.a) also may not directly or indirectly pledge shares of Generac securities, including holding of shares in a margin account, which would entitle a third party to foreclose against or otherwise sell the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employee who violates this Policy may be subject to disciplinary action, up to and including termination.</w:t>
      </w:r>
    </w:p>
    <w:p>
      <w:pPr>
        <w:spacing w:after="0" w:line="221" w:lineRule="exact"/>
        <w:rPr>
          <w:sz w:val="20"/>
          <w:szCs w:val="20"/>
          <w:color w:val="auto"/>
        </w:rPr>
      </w:pPr>
    </w:p>
    <w:p>
      <w:pPr>
        <w:ind w:left="340" w:hanging="332"/>
        <w:spacing w:after="0"/>
        <w:tabs>
          <w:tab w:leader="none" w:pos="34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5" w:lineRule="exact"/>
        <w:rPr>
          <w:rFonts w:ascii="Times New Roman" w:cs="Times New Roman" w:eastAsia="Times New Roman" w:hAnsi="Times New Roman"/>
          <w:sz w:val="18"/>
          <w:szCs w:val="18"/>
          <w:b w:val="1"/>
          <w:bCs w:val="1"/>
          <w:color w:val="auto"/>
        </w:rPr>
      </w:pPr>
    </w:p>
    <w:p>
      <w:pPr>
        <w:ind w:left="980" w:right="660" w:hanging="648"/>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4.1.Covered Person </w:t>
      </w:r>
      <w:r>
        <w:rPr>
          <w:rFonts w:ascii="Times New Roman" w:cs="Times New Roman" w:eastAsia="Times New Roman" w:hAnsi="Times New Roman"/>
          <w:sz w:val="18"/>
          <w:szCs w:val="18"/>
          <w:color w:val="auto"/>
        </w:rPr>
        <w:t>is a director, officer, or an employee with regular direct or indirect access to non-public, Material Information about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Generac, as well as any family member of such director, officer, or employee.</w:t>
      </w:r>
    </w:p>
    <w:p>
      <w:pPr>
        <w:spacing w:after="0" w:line="154" w:lineRule="exact"/>
        <w:rPr>
          <w:rFonts w:ascii="Times New Roman" w:cs="Times New Roman" w:eastAsia="Times New Roman" w:hAnsi="Times New Roman"/>
          <w:sz w:val="18"/>
          <w:szCs w:val="18"/>
          <w:b w:val="1"/>
          <w:bCs w:val="1"/>
          <w:color w:val="auto"/>
        </w:rPr>
      </w:pPr>
    </w:p>
    <w:p>
      <w:pPr>
        <w:ind w:left="980" w:hanging="648"/>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4.2.Covered Senior Executive </w:t>
      </w:r>
      <w:r>
        <w:rPr>
          <w:rFonts w:ascii="Times New Roman" w:cs="Times New Roman" w:eastAsia="Times New Roman" w:hAnsi="Times New Roman"/>
          <w:sz w:val="18"/>
          <w:szCs w:val="18"/>
          <w:color w:val="auto"/>
        </w:rPr>
        <w:t>is a Covered Person who is required to maintain minimum target ownership requirements of Generac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company policies</w:t>
      </w:r>
    </w:p>
    <w:p>
      <w:pPr>
        <w:spacing w:after="0" w:line="154" w:lineRule="exact"/>
        <w:rPr>
          <w:rFonts w:ascii="Times New Roman" w:cs="Times New Roman" w:eastAsia="Times New Roman" w:hAnsi="Times New Roman"/>
          <w:sz w:val="18"/>
          <w:szCs w:val="18"/>
          <w:b w:val="1"/>
          <w:bCs w:val="1"/>
          <w:color w:val="auto"/>
        </w:rPr>
      </w:pPr>
    </w:p>
    <w:p>
      <w:pPr>
        <w:ind w:left="980" w:hanging="648"/>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4.3Material Information </w:t>
      </w:r>
      <w:r>
        <w:rPr>
          <w:rFonts w:ascii="Times New Roman" w:cs="Times New Roman" w:eastAsia="Times New Roman" w:hAnsi="Times New Roman"/>
          <w:sz w:val="18"/>
          <w:szCs w:val="18"/>
          <w:color w:val="auto"/>
        </w:rPr>
        <w:t>is information that could be expected to affect the company’s stock price. Examples of information that typically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considered Material Information includes:</w:t>
      </w:r>
    </w:p>
    <w:p>
      <w:pPr>
        <w:spacing w:after="0" w:line="158"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information about Generac that has not been announced to the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6" w:name="page97"/>
    <w:bookmarkEnd w:id="96"/>
    <w:p>
      <w:pPr>
        <w:spacing w:after="0"/>
        <w:tabs>
          <w:tab w:leader="none" w:pos="10380" w:val="left"/>
        </w:tabs>
        <w:rPr>
          <w:sz w:val="20"/>
          <w:szCs w:val="20"/>
          <w:color w:val="auto"/>
        </w:rPr>
      </w:pPr>
      <w:r>
        <w:rPr>
          <w:rFonts w:ascii="Times New Roman" w:cs="Times New Roman" w:eastAsia="Times New Roman" w:hAnsi="Times New Roman"/>
          <w:sz w:val="18"/>
          <w:szCs w:val="18"/>
          <w:b w:val="1"/>
          <w:bCs w:val="1"/>
          <w:color w:val="auto"/>
        </w:rPr>
        <w:t>Insider Trading Policy</w:t>
      </w:r>
      <w:r>
        <w:rPr>
          <w:sz w:val="20"/>
          <w:szCs w:val="20"/>
          <w:color w:val="auto"/>
        </w:rPr>
        <w:tab/>
      </w:r>
      <w:r>
        <w:rPr>
          <w:rFonts w:ascii="Times New Roman" w:cs="Times New Roman" w:eastAsia="Times New Roman" w:hAnsi="Times New Roman"/>
          <w:sz w:val="18"/>
          <w:szCs w:val="18"/>
          <w:b w:val="1"/>
          <w:bCs w:val="1"/>
          <w:color w:val="auto"/>
        </w:rPr>
        <w:t>Page 2 of 4</w:t>
      </w:r>
    </w:p>
    <w:p>
      <w:pPr>
        <w:spacing w:after="0" w:line="229" w:lineRule="exact"/>
        <w:rPr>
          <w:sz w:val="20"/>
          <w:szCs w:val="20"/>
          <w:color w:val="auto"/>
        </w:rPr>
      </w:pPr>
    </w:p>
    <w:p>
      <w:pPr>
        <w:ind w:left="1300" w:hanging="320"/>
        <w:spacing w:after="0"/>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of future earnings or losses, or other earnings guidance;</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or planned acquisitions, divestitures, mergers, joint ventures or restructuring;</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board of directors or senior management; and</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gain or loss of a significant customer, supplier or purchase order.</w:t>
      </w:r>
    </w:p>
    <w:p>
      <w:pPr>
        <w:spacing w:after="0" w:line="25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you are unsure if information is Material Information, please contact the General Counsel or the Deputy General Counsel – Corporate Governance &amp; Compliance for assistance.</w:t>
      </w:r>
    </w:p>
    <w:p>
      <w:pPr>
        <w:spacing w:after="0" w:line="158" w:lineRule="exact"/>
        <w:rPr>
          <w:sz w:val="20"/>
          <w:szCs w:val="20"/>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PROCEDURES</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5.1</w:t>
      </w:r>
      <w:r>
        <w:rPr>
          <w:rFonts w:ascii="Times New Roman" w:cs="Times New Roman" w:eastAsia="Times New Roman" w:hAnsi="Times New Roman"/>
          <w:sz w:val="17"/>
          <w:szCs w:val="17"/>
          <w:b w:val="1"/>
          <w:bCs w:val="1"/>
          <w:color w:val="auto"/>
        </w:rPr>
        <w:t>Trading Restrictions</w:t>
      </w:r>
    </w:p>
    <w:p>
      <w:pPr>
        <w:spacing w:after="0" w:line="256" w:lineRule="exact"/>
        <w:rPr>
          <w:rFonts w:ascii="Times New Roman" w:cs="Times New Roman" w:eastAsia="Times New Roman" w:hAnsi="Times New Roman"/>
          <w:sz w:val="18"/>
          <w:szCs w:val="18"/>
          <w:b w:val="1"/>
          <w:bCs w:val="1"/>
          <w:color w:val="auto"/>
        </w:rPr>
      </w:pPr>
    </w:p>
    <w:p>
      <w:pPr>
        <w:ind w:left="1300" w:hanging="320"/>
        <w:spacing w:after="0" w:line="282" w:lineRule="auto"/>
        <w:tabs>
          <w:tab w:leader="none" w:pos="1300" w:val="left"/>
        </w:tabs>
        <w:numPr>
          <w:ilvl w:val="1"/>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Covered Persons as well as their family members may not conduct any transaction of Generac securities other than as specified in this Policy and its procedures.</w:t>
      </w:r>
    </w:p>
    <w:p>
      <w:pPr>
        <w:spacing w:after="0" w:line="157" w:lineRule="exact"/>
        <w:rPr>
          <w:rFonts w:ascii="Times New Roman" w:cs="Times New Roman" w:eastAsia="Times New Roman" w:hAnsi="Times New Roman"/>
          <w:sz w:val="18"/>
          <w:szCs w:val="18"/>
          <w:b w:val="1"/>
          <w:bCs w:val="1"/>
          <w:color w:val="auto"/>
        </w:rPr>
      </w:pPr>
    </w:p>
    <w:p>
      <w:pPr>
        <w:jc w:val="both"/>
        <w:ind w:left="1960" w:hanging="332"/>
        <w:spacing w:after="0" w:line="262" w:lineRule="auto"/>
        <w:tabs>
          <w:tab w:leader="none" w:pos="196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Covered Persons may only conduct transactions outside of a “</w:t>
      </w:r>
      <w:r>
        <w:rPr>
          <w:rFonts w:ascii="Times New Roman" w:cs="Times New Roman" w:eastAsia="Times New Roman" w:hAnsi="Times New Roman"/>
          <w:sz w:val="18"/>
          <w:szCs w:val="18"/>
          <w:b w:val="1"/>
          <w:bCs w:val="1"/>
          <w:color w:val="auto"/>
        </w:rPr>
        <w:t>Blackout Period,</w:t>
      </w:r>
      <w:r>
        <w:rPr>
          <w:rFonts w:ascii="Times New Roman" w:cs="Times New Roman" w:eastAsia="Times New Roman" w:hAnsi="Times New Roman"/>
          <w:sz w:val="18"/>
          <w:szCs w:val="18"/>
          <w:color w:val="auto"/>
        </w:rPr>
        <w:t>” which generally starts on the 22nd calendar day prior to the end of a fiscal quarter and ends after the second business day following the public release of our quarterly earnings. Trading windows will open after the second business day following the public release of quarterly earnings until the beginning of the next Blackout Period.</w:t>
      </w:r>
    </w:p>
    <w:p>
      <w:pPr>
        <w:spacing w:after="0" w:line="180" w:lineRule="exact"/>
        <w:rPr>
          <w:rFonts w:ascii="Times New Roman" w:cs="Times New Roman" w:eastAsia="Times New Roman" w:hAnsi="Times New Roman"/>
          <w:sz w:val="18"/>
          <w:szCs w:val="18"/>
          <w:color w:val="auto"/>
        </w:rPr>
      </w:pPr>
    </w:p>
    <w:p>
      <w:pPr>
        <w:jc w:val="both"/>
        <w:ind w:left="1960" w:hanging="332"/>
        <w:spacing w:after="0" w:line="261" w:lineRule="auto"/>
        <w:tabs>
          <w:tab w:leader="none" w:pos="196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Policy’s trading restrictions do not apply to the purchase of Generac securities through the exercise of stock options granted by the Company (whether by cash exercise, stock swap, or net exercise, to the extent these forms of exercise are permitted by the Company). The restrictions do, however, apply to any subsequent sale of Generac securities acquired through an option exercise, including a broker-assisted cashless exercise.</w:t>
      </w:r>
    </w:p>
    <w:p>
      <w:pPr>
        <w:spacing w:after="0" w:line="179"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Covered Senior Executives who are required to maintain minimum target ownership requirements of Generac securities under company policies </w:t>
      </w:r>
      <w:r>
        <w:rPr>
          <w:rFonts w:ascii="Times New Roman" w:cs="Times New Roman" w:eastAsia="Times New Roman" w:hAnsi="Times New Roman"/>
          <w:sz w:val="18"/>
          <w:szCs w:val="18"/>
          <w:b w:val="1"/>
          <w:bCs w:val="1"/>
          <w:u w:val="single" w:color="auto"/>
          <w:color w:val="auto"/>
        </w:rPr>
        <w:t>must pre-clear any trade</w:t>
      </w:r>
      <w:r>
        <w:rPr>
          <w:rFonts w:ascii="Times New Roman" w:cs="Times New Roman" w:eastAsia="Times New Roman" w:hAnsi="Times New Roman"/>
          <w:sz w:val="18"/>
          <w:szCs w:val="18"/>
          <w:color w:val="auto"/>
        </w:rPr>
        <w:t xml:space="preserve"> in Generac securities under the procedures in Section 5.2.a).</w:t>
      </w:r>
    </w:p>
    <w:p>
      <w:pPr>
        <w:spacing w:after="0" w:line="161" w:lineRule="exact"/>
        <w:rPr>
          <w:rFonts w:ascii="Times New Roman" w:cs="Times New Roman" w:eastAsia="Times New Roman" w:hAnsi="Times New Roman"/>
          <w:sz w:val="18"/>
          <w:szCs w:val="18"/>
          <w:b w:val="1"/>
          <w:bCs w:val="1"/>
          <w:color w:val="auto"/>
        </w:rPr>
      </w:pPr>
    </w:p>
    <w:p>
      <w:pPr>
        <w:jc w:val="both"/>
        <w:ind w:left="1300" w:hanging="320"/>
        <w:spacing w:after="0" w:line="266" w:lineRule="auto"/>
        <w:tabs>
          <w:tab w:leader="none" w:pos="1300" w:val="left"/>
        </w:tabs>
        <w:numPr>
          <w:ilvl w:val="1"/>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event-specific blackout period may be instituted due to material events or unforeseen circumstances, and an open trading window may be closed or not opened as a result. Impacted persons, including individuals who are not Covered Persons, will be notified by email of an event-specific blackout period.</w:t>
      </w:r>
    </w:p>
    <w:p>
      <w:pPr>
        <w:spacing w:after="0" w:line="175"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event-specific blackout period will not be announced separately and should not be communicated to any person who is not directly notified of it.</w:t>
      </w:r>
    </w:p>
    <w:p>
      <w:pPr>
        <w:spacing w:after="0" w:line="161" w:lineRule="exact"/>
        <w:rPr>
          <w:rFonts w:ascii="Times New Roman" w:cs="Times New Roman" w:eastAsia="Times New Roman" w:hAnsi="Times New Roman"/>
          <w:sz w:val="18"/>
          <w:szCs w:val="18"/>
          <w:b w:val="1"/>
          <w:bCs w:val="1"/>
          <w:color w:val="auto"/>
        </w:rPr>
      </w:pPr>
    </w:p>
    <w:p>
      <w:pPr>
        <w:ind w:left="1300" w:hanging="320"/>
        <w:spacing w:after="0" w:line="282" w:lineRule="auto"/>
        <w:tabs>
          <w:tab w:leader="none" w:pos="1300" w:val="left"/>
        </w:tabs>
        <w:numPr>
          <w:ilvl w:val="1"/>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Regardless of whether there is an open trading window or pre-clearance has been received, an employee or a Covered Person may not transact in Generac securities if he or she is aware of non-public, Material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5"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7"/>
          <w:szCs w:val="17"/>
          <w:b w:val="1"/>
          <w:bCs w:val="1"/>
          <w:color w:val="auto"/>
        </w:rPr>
        <w:t>Trading Procedures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Page 3 of 4</w:t>
      </w:r>
    </w:p>
    <w:p>
      <w:pPr>
        <w:spacing w:after="0" w:line="631" w:lineRule="exact"/>
        <w:rPr>
          <w:sz w:val="20"/>
          <w:szCs w:val="20"/>
          <w:color w:val="auto"/>
        </w:rPr>
      </w:pPr>
    </w:p>
    <w:p>
      <w:pPr>
        <w:sectPr>
          <w:pgSz w:w="11900" w:h="16838" w:orient="portrait"/>
          <w:cols w:equalWidth="0" w:num="2">
            <w:col w:w="9680" w:space="720"/>
            <w:col w:w="840"/>
          </w:cols>
          <w:pgMar w:left="320" w:top="576" w:right="339" w:bottom="1440" w:gutter="0" w:footer="0" w:header="0"/>
        </w:sectPr>
      </w:pPr>
    </w:p>
    <w:p>
      <w:pPr>
        <w:spacing w:after="0" w:line="52" w:lineRule="exact"/>
        <w:rPr>
          <w:sz w:val="20"/>
          <w:szCs w:val="20"/>
          <w:color w:val="auto"/>
        </w:rPr>
      </w:pPr>
    </w:p>
    <w:p>
      <w:pPr>
        <w:ind w:left="1300" w:hanging="320"/>
        <w:spacing w:after="0" w:line="286" w:lineRule="auto"/>
        <w:tabs>
          <w:tab w:leader="none" w:pos="130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Covered Senior Executives and their family members </w:t>
      </w:r>
      <w:r>
        <w:rPr>
          <w:rFonts w:ascii="Times New Roman" w:cs="Times New Roman" w:eastAsia="Times New Roman" w:hAnsi="Times New Roman"/>
          <w:sz w:val="18"/>
          <w:szCs w:val="18"/>
          <w:b w:val="1"/>
          <w:bCs w:val="1"/>
          <w:u w:val="single" w:color="auto"/>
          <w:color w:val="auto"/>
        </w:rPr>
        <w:t>must pre-clear any trade in Generac securities</w:t>
      </w:r>
      <w:r>
        <w:rPr>
          <w:rFonts w:ascii="Times New Roman" w:cs="Times New Roman" w:eastAsia="Times New Roman" w:hAnsi="Times New Roman"/>
          <w:sz w:val="18"/>
          <w:szCs w:val="18"/>
          <w:color w:val="auto"/>
        </w:rPr>
        <w:t xml:space="preserve"> with the Chief Financial Officer or the General Counsel (or their designees) at least two (2) business days before the proposed transaction date.</w:t>
      </w:r>
    </w:p>
    <w:p>
      <w:pPr>
        <w:spacing w:after="0" w:line="158" w:lineRule="exact"/>
        <w:rPr>
          <w:rFonts w:ascii="Times New Roman" w:cs="Times New Roman" w:eastAsia="Times New Roman" w:hAnsi="Times New Roman"/>
          <w:sz w:val="18"/>
          <w:szCs w:val="18"/>
          <w:b w:val="1"/>
          <w:bCs w:val="1"/>
          <w:color w:val="auto"/>
        </w:rPr>
      </w:pPr>
    </w:p>
    <w:p>
      <w:pPr>
        <w:ind w:left="1620" w:right="20" w:hanging="316"/>
        <w:spacing w:after="0" w:line="282" w:lineRule="auto"/>
        <w:tabs>
          <w:tab w:leader="none" w:pos="1620"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pre-clearance must identify: 1) the proposed date of the transaction; 2) the broker-dealer or other investment professional responsible for executing the transaction.</w:t>
      </w:r>
    </w:p>
    <w:p>
      <w:pPr>
        <w:spacing w:after="0" w:line="161" w:lineRule="exact"/>
        <w:rPr>
          <w:rFonts w:ascii="Times New Roman" w:cs="Times New Roman" w:eastAsia="Times New Roman" w:hAnsi="Times New Roman"/>
          <w:sz w:val="18"/>
          <w:szCs w:val="18"/>
          <w:b w:val="1"/>
          <w:bCs w:val="1"/>
          <w:color w:val="auto"/>
        </w:rPr>
      </w:pPr>
    </w:p>
    <w:p>
      <w:pPr>
        <w:ind w:left="1620" w:hanging="316"/>
        <w:spacing w:after="0"/>
        <w:tabs>
          <w:tab w:leader="none" w:pos="1620"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transaction does not occur on the proposed date, a new pre-clearance request must be resubmitted.</w:t>
      </w:r>
    </w:p>
    <w:p>
      <w:pPr>
        <w:spacing w:after="0" w:line="252" w:lineRule="exact"/>
        <w:rPr>
          <w:rFonts w:ascii="Times New Roman" w:cs="Times New Roman" w:eastAsia="Times New Roman" w:hAnsi="Times New Roman"/>
          <w:sz w:val="18"/>
          <w:szCs w:val="18"/>
          <w:b w:val="1"/>
          <w:bCs w:val="1"/>
          <w:color w:val="auto"/>
        </w:rPr>
      </w:pPr>
    </w:p>
    <w:p>
      <w:pPr>
        <w:jc w:val="both"/>
        <w:ind w:left="1620" w:hanging="316"/>
        <w:spacing w:after="0" w:line="266" w:lineRule="auto"/>
        <w:tabs>
          <w:tab w:leader="none" w:pos="1620"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Within one (1) business day of completing any transaction in Generac securities, the Covered Senior Executive or his or her broker-dealer must deliver to the Chief Financial Officer and the General Counsel (or their designees) documentation confirming the transaction.</w:t>
      </w:r>
    </w:p>
    <w:p>
      <w:pPr>
        <w:spacing w:after="0" w:line="175" w:lineRule="exact"/>
        <w:rPr>
          <w:rFonts w:ascii="Times New Roman" w:cs="Times New Roman" w:eastAsia="Times New Roman" w:hAnsi="Times New Roman"/>
          <w:sz w:val="18"/>
          <w:szCs w:val="18"/>
          <w:b w:val="1"/>
          <w:bCs w:val="1"/>
          <w:color w:val="auto"/>
        </w:rPr>
      </w:pPr>
    </w:p>
    <w:p>
      <w:pPr>
        <w:ind w:left="1620" w:hanging="316"/>
        <w:spacing w:after="0"/>
        <w:tabs>
          <w:tab w:leader="none" w:pos="1620"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Pre-clearance is not required for:</w:t>
      </w:r>
    </w:p>
    <w:p>
      <w:pPr>
        <w:spacing w:after="0" w:line="252" w:lineRule="exact"/>
        <w:rPr>
          <w:rFonts w:ascii="Times New Roman" w:cs="Times New Roman" w:eastAsia="Times New Roman" w:hAnsi="Times New Roman"/>
          <w:sz w:val="18"/>
          <w:szCs w:val="18"/>
          <w:b w:val="1"/>
          <w:bCs w:val="1"/>
          <w:color w:val="auto"/>
        </w:rPr>
      </w:pPr>
    </w:p>
    <w:p>
      <w:pPr>
        <w:ind w:left="1960" w:hanging="332"/>
        <w:spacing w:after="0" w:line="282" w:lineRule="auto"/>
        <w:tabs>
          <w:tab w:leader="none" w:pos="1960"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or sales of securities under a pre-arranged allocations elections made for any 401(k) or other tax-qualified employee benefit plan of the company;</w:t>
      </w:r>
    </w:p>
    <w:p>
      <w:pPr>
        <w:spacing w:after="0" w:line="161" w:lineRule="exact"/>
        <w:rPr>
          <w:rFonts w:ascii="Times New Roman" w:cs="Times New Roman" w:eastAsia="Times New Roman" w:hAnsi="Times New Roman"/>
          <w:sz w:val="18"/>
          <w:szCs w:val="18"/>
          <w:color w:val="auto"/>
        </w:rPr>
      </w:pPr>
    </w:p>
    <w:p>
      <w:pPr>
        <w:jc w:val="both"/>
        <w:ind w:left="1960" w:hanging="332"/>
        <w:spacing w:after="0" w:line="266" w:lineRule="auto"/>
        <w:tabs>
          <w:tab w:leader="none" w:pos="1960"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transactions made under a properly established Rule 10b5-1 trading plan. Such plans must be approved in advance by the Chief Financial Officer and General Counsel, and entered into only during an open trading window and outside of a Blackout Period; or</w:t>
      </w:r>
    </w:p>
    <w:p>
      <w:pPr>
        <w:spacing w:after="0" w:line="175"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 any other company’s securities, unless previously required by the Chief Financial Officer in writing.</w:t>
      </w:r>
    </w:p>
    <w:p>
      <w:pPr>
        <w:spacing w:after="0" w:line="252"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Covered Persons and their family members may only transact in Generac securities during an open trading window and outside of a Blackout Period.</w:t>
      </w:r>
    </w:p>
    <w:p>
      <w:pPr>
        <w:spacing w:after="0" w:line="161"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for Covered Senior Executives, Covered Persons are not required to follow the pre-clearance procedures of 5.2.a).</w:t>
      </w:r>
    </w:p>
    <w:p>
      <w:pPr>
        <w:spacing w:after="0" w:line="225" w:lineRule="exact"/>
        <w:rPr>
          <w:rFonts w:ascii="Times New Roman" w:cs="Times New Roman" w:eastAsia="Times New Roman" w:hAnsi="Times New Roman"/>
          <w:sz w:val="18"/>
          <w:szCs w:val="18"/>
          <w:b w:val="1"/>
          <w:bCs w:val="1"/>
          <w:color w:val="auto"/>
        </w:rPr>
      </w:pPr>
    </w:p>
    <w:p>
      <w:pPr>
        <w:jc w:val="both"/>
        <w:ind w:left="1300" w:hanging="320"/>
        <w:spacing w:after="0" w:line="261" w:lineRule="auto"/>
        <w:tabs>
          <w:tab w:leader="none" w:pos="130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Covered Persons who are subject to the reporting requirements of Section 16(a) of the Securities Exchange Act are responsible for those obligations. However, because of the complexity of these reporting requirements, Generac will prepare and file Section 16 reports with the Securities and Exchange Commission on the basis of information supplied by the individual and either our stock plan administrators or the individual’s broker-dealer.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238"/>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tc>
        <w:tc>
          <w:tcPr>
            <w:tcW w:w="3280" w:type="dxa"/>
            <w:vAlign w:val="bottom"/>
          </w:tcPr>
          <w:p>
            <w:pPr>
              <w:ind w:left="2440"/>
              <w:spacing w:after="0"/>
              <w:rPr>
                <w:sz w:val="20"/>
                <w:szCs w:val="20"/>
                <w:color w:val="auto"/>
              </w:rPr>
            </w:pPr>
            <w:r>
              <w:rPr>
                <w:rFonts w:ascii="Times New Roman" w:cs="Times New Roman" w:eastAsia="Times New Roman" w:hAnsi="Times New Roman"/>
                <w:sz w:val="18"/>
                <w:szCs w:val="18"/>
                <w:b w:val="1"/>
                <w:bCs w:val="1"/>
                <w:color w:val="auto"/>
                <w:w w:val="98"/>
              </w:rPr>
              <w:t>Page 4 of 4</w:t>
            </w:r>
          </w:p>
        </w:tc>
      </w:tr>
      <w:tr>
        <w:trPr>
          <w:trHeight w:val="432"/>
        </w:trPr>
        <w:tc>
          <w:tcPr>
            <w:tcW w:w="8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5.3.</w:t>
            </w:r>
          </w:p>
        </w:tc>
        <w:tc>
          <w:tcPr>
            <w:tcW w:w="71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Covered Persons List</w:t>
            </w:r>
          </w:p>
        </w:tc>
        <w:tc>
          <w:tcPr>
            <w:tcW w:w="3280" w:type="dxa"/>
            <w:vAlign w:val="bottom"/>
          </w:tcPr>
          <w:p>
            <w:pPr>
              <w:spacing w:after="0"/>
              <w:rPr>
                <w:sz w:val="24"/>
                <w:szCs w:val="24"/>
                <w:color w:val="auto"/>
              </w:rPr>
            </w:pPr>
          </w:p>
        </w:tc>
      </w:tr>
      <w:tr>
        <w:trPr>
          <w:trHeight w:val="441"/>
        </w:trPr>
        <w:tc>
          <w:tcPr>
            <w:tcW w:w="800" w:type="dxa"/>
            <w:vAlign w:val="bottom"/>
          </w:tcPr>
          <w:p>
            <w:pPr>
              <w:spacing w:after="0"/>
              <w:rPr>
                <w:sz w:val="24"/>
                <w:szCs w:val="24"/>
                <w:color w:val="auto"/>
              </w:rPr>
            </w:pPr>
          </w:p>
        </w:tc>
        <w:tc>
          <w:tcPr>
            <w:tcW w:w="10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 Deputy General Counsel – Corporate Governance and Compliance and the Manager – Executive Compensation and Incentives are</w:t>
            </w:r>
          </w:p>
        </w:tc>
      </w:tr>
      <w:tr>
        <w:trPr>
          <w:trHeight w:val="234"/>
        </w:trPr>
        <w:tc>
          <w:tcPr>
            <w:tcW w:w="800" w:type="dxa"/>
            <w:vAlign w:val="bottom"/>
          </w:tcPr>
          <w:p>
            <w:pPr>
              <w:spacing w:after="0"/>
              <w:rPr>
                <w:sz w:val="20"/>
                <w:szCs w:val="20"/>
                <w:color w:val="auto"/>
              </w:rPr>
            </w:pPr>
          </w:p>
        </w:tc>
        <w:tc>
          <w:tcPr>
            <w:tcW w:w="7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responsible for maintaining a current list of Covered Persons.</w:t>
            </w:r>
          </w:p>
        </w:tc>
        <w:tc>
          <w:tcPr>
            <w:tcW w:w="3280" w:type="dxa"/>
            <w:vAlign w:val="bottom"/>
          </w:tcPr>
          <w:p>
            <w:pPr>
              <w:spacing w:after="0"/>
              <w:rPr>
                <w:sz w:val="20"/>
                <w:szCs w:val="20"/>
                <w:color w:val="auto"/>
              </w:rPr>
            </w:pPr>
          </w:p>
        </w:tc>
      </w:tr>
      <w:tr>
        <w:trPr>
          <w:trHeight w:val="432"/>
        </w:trPr>
        <w:tc>
          <w:tcPr>
            <w:tcW w:w="8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5.4.</w:t>
            </w:r>
          </w:p>
        </w:tc>
        <w:tc>
          <w:tcPr>
            <w:tcW w:w="71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Trading Window and Blackout Period Notices</w:t>
            </w:r>
          </w:p>
        </w:tc>
        <w:tc>
          <w:tcPr>
            <w:tcW w:w="3280" w:type="dxa"/>
            <w:vAlign w:val="bottom"/>
          </w:tcPr>
          <w:p>
            <w:pPr>
              <w:spacing w:after="0"/>
              <w:rPr>
                <w:sz w:val="24"/>
                <w:szCs w:val="24"/>
                <w:color w:val="auto"/>
              </w:rPr>
            </w:pPr>
          </w:p>
        </w:tc>
      </w:tr>
      <w:tr>
        <w:trPr>
          <w:trHeight w:val="441"/>
        </w:trPr>
        <w:tc>
          <w:tcPr>
            <w:tcW w:w="800" w:type="dxa"/>
            <w:vAlign w:val="bottom"/>
          </w:tcPr>
          <w:p>
            <w:pPr>
              <w:spacing w:after="0"/>
              <w:rPr>
                <w:sz w:val="24"/>
                <w:szCs w:val="24"/>
                <w:color w:val="auto"/>
              </w:rPr>
            </w:pPr>
          </w:p>
        </w:tc>
        <w:tc>
          <w:tcPr>
            <w:tcW w:w="10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All Covered Persons will receive a trading window notice by email within one week before the trading window opens. Covered Persons will</w:t>
            </w:r>
          </w:p>
        </w:tc>
      </w:tr>
      <w:tr>
        <w:trPr>
          <w:trHeight w:val="234"/>
        </w:trPr>
        <w:tc>
          <w:tcPr>
            <w:tcW w:w="800" w:type="dxa"/>
            <w:vAlign w:val="bottom"/>
          </w:tcPr>
          <w:p>
            <w:pPr>
              <w:spacing w:after="0"/>
              <w:rPr>
                <w:sz w:val="20"/>
                <w:szCs w:val="20"/>
                <w:color w:val="auto"/>
              </w:rPr>
            </w:pPr>
          </w:p>
        </w:tc>
        <w:tc>
          <w:tcPr>
            <w:tcW w:w="7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also receive a notice by email before a Blackout Period begins.</w:t>
            </w:r>
          </w:p>
        </w:tc>
        <w:tc>
          <w:tcPr>
            <w:tcW w:w="3280" w:type="dxa"/>
            <w:vAlign w:val="bottom"/>
          </w:tcPr>
          <w:p>
            <w:pPr>
              <w:spacing w:after="0"/>
              <w:rPr>
                <w:sz w:val="20"/>
                <w:szCs w:val="20"/>
                <w:color w:val="auto"/>
              </w:rPr>
            </w:pPr>
          </w:p>
        </w:tc>
      </w:tr>
      <w:tr>
        <w:trPr>
          <w:trHeight w:val="432"/>
        </w:trPr>
        <w:tc>
          <w:tcPr>
            <w:tcW w:w="8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5.5</w:t>
            </w:r>
          </w:p>
        </w:tc>
        <w:tc>
          <w:tcPr>
            <w:tcW w:w="71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Questions Regarding These Procedures</w:t>
            </w:r>
          </w:p>
        </w:tc>
        <w:tc>
          <w:tcPr>
            <w:tcW w:w="3280" w:type="dxa"/>
            <w:vAlign w:val="bottom"/>
          </w:tcPr>
          <w:p>
            <w:pPr>
              <w:spacing w:after="0"/>
              <w:rPr>
                <w:sz w:val="24"/>
                <w:szCs w:val="24"/>
                <w:color w:val="auto"/>
              </w:rPr>
            </w:pPr>
          </w:p>
        </w:tc>
      </w:tr>
      <w:tr>
        <w:trPr>
          <w:trHeight w:val="441"/>
        </w:trPr>
        <w:tc>
          <w:tcPr>
            <w:tcW w:w="800" w:type="dxa"/>
            <w:vAlign w:val="bottom"/>
          </w:tcPr>
          <w:p>
            <w:pPr>
              <w:spacing w:after="0"/>
              <w:rPr>
                <w:sz w:val="24"/>
                <w:szCs w:val="24"/>
                <w:color w:val="auto"/>
              </w:rPr>
            </w:pPr>
          </w:p>
        </w:tc>
        <w:tc>
          <w:tcPr>
            <w:tcW w:w="10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You should direct any questions regarding these restrictions and procedures to the General Counsel or the Deputy General Counsel –</w:t>
            </w:r>
          </w:p>
        </w:tc>
      </w:tr>
      <w:tr>
        <w:trPr>
          <w:trHeight w:val="234"/>
        </w:trPr>
        <w:tc>
          <w:tcPr>
            <w:tcW w:w="800" w:type="dxa"/>
            <w:vAlign w:val="bottom"/>
          </w:tcPr>
          <w:p>
            <w:pPr>
              <w:spacing w:after="0"/>
              <w:rPr>
                <w:sz w:val="20"/>
                <w:szCs w:val="20"/>
                <w:color w:val="auto"/>
              </w:rPr>
            </w:pPr>
          </w:p>
        </w:tc>
        <w:tc>
          <w:tcPr>
            <w:tcW w:w="7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Governance and Compliance.</w:t>
            </w:r>
          </w:p>
        </w:tc>
        <w:tc>
          <w:tcPr>
            <w:tcW w:w="3280" w:type="dxa"/>
            <w:vAlign w:val="bottom"/>
          </w:tcPr>
          <w:p>
            <w:pPr>
              <w:spacing w:after="0"/>
              <w:rPr>
                <w:sz w:val="20"/>
                <w:szCs w:val="20"/>
                <w:color w:val="auto"/>
              </w:rPr>
            </w:pPr>
          </w:p>
        </w:tc>
      </w:tr>
    </w:tbl>
    <w:p>
      <w:pPr>
        <w:spacing w:after="0" w:line="194" w:lineRule="exact"/>
        <w:rPr>
          <w:sz w:val="20"/>
          <w:szCs w:val="20"/>
          <w:color w:val="auto"/>
        </w:rPr>
      </w:pPr>
    </w:p>
    <w:p>
      <w:pPr>
        <w:ind w:left="340" w:hanging="332"/>
        <w:spacing w:after="0"/>
        <w:tabs>
          <w:tab w:leader="none" w:pos="34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COMMUNICATING INFORMATION ABOUT THE COMPANY</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6.1</w:t>
      </w:r>
      <w:r>
        <w:rPr>
          <w:rFonts w:ascii="Times New Roman" w:cs="Times New Roman" w:eastAsia="Times New Roman" w:hAnsi="Times New Roman"/>
          <w:sz w:val="17"/>
          <w:szCs w:val="17"/>
          <w:b w:val="1"/>
          <w:bCs w:val="1"/>
          <w:color w:val="auto"/>
        </w:rPr>
        <w:t>Authorized Spokespersons</w:t>
      </w:r>
    </w:p>
    <w:p>
      <w:pPr>
        <w:spacing w:after="0" w:line="256"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Only the Chief Executive Officer, the Chief Financial Officer, or any person designated by the Chief Executive Officer is authorized to speak on behalf of Generac. Employees may not disclose confidential information about the company outside of the company (regardless of the setting) without prior authorization.</w:t>
      </w:r>
    </w:p>
    <w:p>
      <w:pPr>
        <w:spacing w:after="0" w:line="172"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7"/>
          <w:szCs w:val="17"/>
          <w:b w:val="1"/>
          <w:bCs w:val="1"/>
          <w:color w:val="auto"/>
        </w:rPr>
        <w:t>Inadvertent Disclosure of Non-Public, Material Information</w:t>
      </w:r>
    </w:p>
    <w:p>
      <w:pPr>
        <w:spacing w:after="0" w:line="256"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If an employee becomes aware that non-public, Material Information about Generac has been disclosed, the employee should notify the Chief Financial Officer and General Counsel immediately of such disclosure.</w:t>
      </w:r>
    </w:p>
    <w:p>
      <w:pPr>
        <w:spacing w:after="0" w:line="158"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6.3</w:t>
      </w:r>
      <w:r>
        <w:rPr>
          <w:sz w:val="20"/>
          <w:szCs w:val="20"/>
          <w:color w:val="auto"/>
        </w:rPr>
        <w:tab/>
      </w:r>
      <w:r>
        <w:rPr>
          <w:rFonts w:ascii="Times New Roman" w:cs="Times New Roman" w:eastAsia="Times New Roman" w:hAnsi="Times New Roman"/>
          <w:sz w:val="17"/>
          <w:szCs w:val="17"/>
          <w:b w:val="1"/>
          <w:bCs w:val="1"/>
          <w:color w:val="auto"/>
        </w:rPr>
        <w:t>Advance Review of External Presentations and Speeches</w:t>
      </w:r>
    </w:p>
    <w:p>
      <w:pPr>
        <w:spacing w:after="0" w:line="256"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If an employee believes that an external presentation or speech (for example, at an investor conference) may contain company sensitive or potentially non-public, Material Information, the employee must have the presentation or speech reviewed in advance by an authorized spokesperson of the company.</w:t>
      </w:r>
    </w:p>
    <w:p>
      <w:pPr>
        <w:spacing w:after="0" w:line="172" w:lineRule="exact"/>
        <w:rPr>
          <w:sz w:val="20"/>
          <w:szCs w:val="20"/>
          <w:color w:val="auto"/>
        </w:rPr>
      </w:pPr>
    </w:p>
    <w:p>
      <w:pPr>
        <w:ind w:left="340" w:hanging="332"/>
        <w:spacing w:after="0"/>
        <w:tabs>
          <w:tab w:leader="none" w:pos="34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POLICY CERTIFICATION</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Covered Persons must certify initially and on a regular basis that they acknowledge and comply with this Policy.</w:t>
      </w:r>
    </w:p>
    <w:p>
      <w:pPr>
        <w:spacing w:after="0" w:line="221" w:lineRule="exact"/>
        <w:rPr>
          <w:sz w:val="20"/>
          <w:szCs w:val="20"/>
          <w:color w:val="auto"/>
        </w:rPr>
      </w:pPr>
    </w:p>
    <w:p>
      <w:pPr>
        <w:ind w:left="340" w:hanging="332"/>
        <w:spacing w:after="0"/>
        <w:tabs>
          <w:tab w:leader="none" w:pos="34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POLICY OWNER</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General Counsel or his or her designee is the owner of this Policy.</w:t>
      </w:r>
    </w:p>
    <w:p>
      <w:pPr>
        <w:sectPr>
          <w:pgSz w:w="11900" w:h="16838" w:orient="portrait"/>
          <w:cols w:equalWidth="0" w:num="1">
            <w:col w:w="11240"/>
          </w:cols>
          <w:pgMar w:left="320" w:top="576"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10.44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Generac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2019 Equity Incentive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AWARD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Upon acceptance by you through the online acceptance procedures of the Third Party Stock Plan Administrator ("</w:t>
      </w: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 this Restricted Stock Award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effective as of the date set forth on your online award acceptance page of the Administrator (“</w:t>
      </w:r>
      <w:r>
        <w:rPr>
          <w:rFonts w:ascii="Times New Roman" w:cs="Times New Roman" w:eastAsia="Times New Roman" w:hAnsi="Times New Roman"/>
          <w:sz w:val="18"/>
          <w:szCs w:val="18"/>
          <w:b w:val="1"/>
          <w:bCs w:val="1"/>
          <w:color w:val="auto"/>
        </w:rPr>
        <w:t>Grant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which is incorporated by reference herein, between Generac Holdings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you (the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 E C I T A L 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WHEREAS, the Company has adopted and its stockholders have approved the Generac Holdings Inc. 2019 Equity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which Plan is incorporated herein by reference and made a part of this Agreement. Capitalized terms not otherwise defined herein shall have the same meanings as in the Plan; and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Company has adopted the Generac Power Systems, Inc. Executive Change in Control Policy (the “</w:t>
      </w:r>
      <w:r>
        <w:rPr>
          <w:rFonts w:ascii="Times New Roman" w:cs="Times New Roman" w:eastAsia="Times New Roman" w:hAnsi="Times New Roman"/>
          <w:sz w:val="18"/>
          <w:szCs w:val="18"/>
          <w:b w:val="1"/>
          <w:bCs w:val="1"/>
          <w:color w:val="auto"/>
        </w:rPr>
        <w:t>CIC Policy</w:t>
      </w:r>
      <w:r>
        <w:rPr>
          <w:rFonts w:ascii="Times New Roman" w:cs="Times New Roman" w:eastAsia="Times New Roman" w:hAnsi="Times New Roman"/>
          <w:sz w:val="18"/>
          <w:szCs w:val="18"/>
          <w:color w:val="auto"/>
        </w:rPr>
        <w:t>”); and</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Compensation Committee has determined that it would be in the best interests of the Company and its stockholders to grant the restricted stock provided for herein to the Participant pursuant to the Plan and the terms set forth herein.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mutual covenants hereinafter set forth, the parties agree as follows:</w:t>
      </w:r>
    </w:p>
    <w:p>
      <w:pPr>
        <w:spacing w:after="0" w:line="225" w:lineRule="exact"/>
        <w:rPr>
          <w:sz w:val="20"/>
          <w:szCs w:val="20"/>
          <w:color w:val="auto"/>
        </w:rPr>
      </w:pPr>
    </w:p>
    <w:p>
      <w:pPr>
        <w:jc w:val="both"/>
        <w:ind w:firstLine="656"/>
        <w:spacing w:after="0" w:line="261" w:lineRule="auto"/>
        <w:tabs>
          <w:tab w:leader="none" w:pos="114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Award</w:t>
      </w:r>
      <w:r>
        <w:rPr>
          <w:rFonts w:ascii="Times New Roman" w:cs="Times New Roman" w:eastAsia="Times New Roman" w:hAnsi="Times New Roman"/>
          <w:sz w:val="18"/>
          <w:szCs w:val="18"/>
          <w:color w:val="auto"/>
        </w:rPr>
        <w:t>. Subject to the terms and conditions of the Plan and this Agreement, the Company hereby grants to the Participant a certain number of Shares of the Common Stock of the Company as set forth on the Participant’s online award acceptance page of the Administrator (the “</w:t>
      </w:r>
      <w:r>
        <w:rPr>
          <w:rFonts w:ascii="Times New Roman" w:cs="Times New Roman" w:eastAsia="Times New Roman" w:hAnsi="Times New Roman"/>
          <w:sz w:val="18"/>
          <w:szCs w:val="18"/>
          <w:b w:val="1"/>
          <w:bCs w:val="1"/>
          <w:color w:val="auto"/>
        </w:rPr>
        <w:t>Restricted Shares</w:t>
      </w:r>
      <w:r>
        <w:rPr>
          <w:rFonts w:ascii="Times New Roman" w:cs="Times New Roman" w:eastAsia="Times New Roman" w:hAnsi="Times New Roman"/>
          <w:sz w:val="18"/>
          <w:szCs w:val="18"/>
          <w:color w:val="auto"/>
        </w:rPr>
        <w:t xml:space="preserve">”), which shall vest and become nonforfeitable in accordance with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 Unless and until these Restricted Shares vest as provided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below, they are subject to the restrictions specified in Section 2 of this Agreement.</w:t>
      </w:r>
    </w:p>
    <w:p>
      <w:pPr>
        <w:spacing w:after="0" w:line="179"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Restrictions.</w:t>
      </w:r>
    </w:p>
    <w:p>
      <w:pPr>
        <w:spacing w:after="0" w:line="225" w:lineRule="exact"/>
        <w:rPr>
          <w:sz w:val="20"/>
          <w:szCs w:val="20"/>
          <w:color w:val="auto"/>
        </w:rPr>
      </w:pPr>
    </w:p>
    <w:p>
      <w:pPr>
        <w:ind w:left="1620" w:hanging="316"/>
        <w:spacing w:after="0" w:line="282" w:lineRule="auto"/>
        <w:tabs>
          <w:tab w:leader="none" w:pos="1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shall have none of the rights of a stockholder of the Company until the Restricted Shares vest, except as otherwise provided in this Section 2. The following restrictions apply to the unvested Restricted Shares (the “</w:t>
      </w:r>
      <w:r>
        <w:rPr>
          <w:rFonts w:ascii="Times New Roman" w:cs="Times New Roman" w:eastAsia="Times New Roman" w:hAnsi="Times New Roman"/>
          <w:sz w:val="18"/>
          <w:szCs w:val="18"/>
          <w:b w:val="1"/>
          <w:bCs w:val="1"/>
          <w:color w:val="auto"/>
        </w:rPr>
        <w:t>Restrictions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960" w:hanging="656"/>
        <w:spacing w:after="0" w:line="282" w:lineRule="auto"/>
        <w:tabs>
          <w:tab w:leader="none" w:pos="19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and other distributions declared and paid with respect to the Restricted Shares before they vest shall be subject to Section 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0" w:name="page101"/>
    <w:bookmarkEnd w:id="100"/>
    <w:p>
      <w:pPr>
        <w:jc w:val="both"/>
        <w:ind w:left="1304" w:hanging="656"/>
        <w:spacing w:after="0" w:line="254" w:lineRule="auto"/>
        <w:tabs>
          <w:tab w:leader="none" w:pos="130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otherwise provided by the Committee, none of the Restricted Shares may be assigned, alienated, pledged, attached, sold or otherwise transferred or encumbered by the Participant other than by will or by the laws of descent and distribution, and any such purported assignment, alienation, pledge, attachment, sale, transfer or encumbrance shall be void and unenforceable against the Company or any Affiliate;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the designation of a beneficiary shall not constitute an assignment, alienation, pledge, attachment, sale, transfer or encumbrance. No such permitted transfer of the Restricted Shares to heirs or legatees of the Participant shall be effective to bind the Company unless the Committee shall have been furnished with written notice thereof and a copy of such evidence as the Committee may deem necessary to establish the validity of the transfer and the acceptance by the transferee or transferees of the terms and conditions hereof; and</w:t>
      </w:r>
    </w:p>
    <w:p>
      <w:pPr>
        <w:spacing w:after="0" w:line="191" w:lineRule="exact"/>
        <w:rPr>
          <w:rFonts w:ascii="Times New Roman" w:cs="Times New Roman" w:eastAsia="Times New Roman" w:hAnsi="Times New Roman"/>
          <w:sz w:val="18"/>
          <w:szCs w:val="18"/>
          <w:color w:val="auto"/>
        </w:rPr>
      </w:pPr>
    </w:p>
    <w:p>
      <w:pPr>
        <w:jc w:val="both"/>
        <w:ind w:left="1304" w:hanging="656"/>
        <w:spacing w:after="0" w:line="261" w:lineRule="auto"/>
        <w:tabs>
          <w:tab w:leader="none" w:pos="130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all or a portion of the unvested Restricted Shares may be forfeited if the Participant’s employment with the Company and its subsidiaries terminates before all of the Restricted Shares have vested, or if the Participant attempts to transfer Restricted Shares in a manner contrary to the Restrictions. Any Restricted Shares that are forfeited shall be returned to the Company for cancellation.</w:t>
      </w:r>
    </w:p>
    <w:p>
      <w:pPr>
        <w:spacing w:after="0" w:line="180" w:lineRule="exact"/>
        <w:rPr>
          <w:sz w:val="20"/>
          <w:szCs w:val="20"/>
          <w:color w:val="auto"/>
        </w:rPr>
      </w:pPr>
    </w:p>
    <w:p>
      <w:pPr>
        <w:jc w:val="both"/>
        <w:ind w:left="964" w:hanging="316"/>
        <w:spacing w:after="0" w:line="254" w:lineRule="auto"/>
        <w:tabs>
          <w:tab w:leader="none" w:pos="96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the Participant’s outstanding but unvested Restricted Shares, any cash dividends and any other dividends or distributions payable or distributable with respect to or in exchange for outstanding but unvested Restricted Shares, including any shares of Company common stock or other property or securities distributable as the result of any equity restructuring or other change in corporate capitalization described in Section 12(a) of the Plan, shall be delivered to, retained and held by the Company subject to the same Restrictions, vesting conditions and other terms of this Agreement to which the underlying unvested Restricted Shares are subject. At the time the underlying Restricted Shares vest, the Company shall deliver to the Participant (without interest) the portion of such retained dividends and distributions that relate to the Restricted Shares that have vested. The Participant agrees to execute and deliver to the Company any instruments of assignment that may be necessary to permit transfer to the Company of all or any portion of any dividends or distributions subject to this Section 2.b that may be forfeited.</w:t>
      </w:r>
    </w:p>
    <w:p>
      <w:pPr>
        <w:spacing w:after="0" w:line="188"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of Restricted Stock.</w:t>
      </w:r>
    </w:p>
    <w:p>
      <w:pPr>
        <w:spacing w:after="0" w:line="225" w:lineRule="exact"/>
        <w:rPr>
          <w:rFonts w:ascii="Times New Roman" w:cs="Times New Roman" w:eastAsia="Times New Roman" w:hAnsi="Times New Roman"/>
          <w:sz w:val="18"/>
          <w:szCs w:val="18"/>
          <w:color w:val="auto"/>
        </w:rPr>
      </w:pPr>
    </w:p>
    <w:p>
      <w:pPr>
        <w:jc w:val="both"/>
        <w:ind w:left="964" w:hanging="316"/>
        <w:spacing w:after="0" w:line="261" w:lineRule="auto"/>
        <w:tabs>
          <w:tab w:leader="none" w:pos="96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ScheduledVesting</w:t>
      </w:r>
      <w:r>
        <w:rPr>
          <w:rFonts w:ascii="Times New Roman" w:cs="Times New Roman" w:eastAsia="Times New Roman" w:hAnsi="Times New Roman"/>
          <w:sz w:val="18"/>
          <w:szCs w:val="18"/>
          <w:color w:val="auto"/>
        </w:rPr>
        <w:t>. If the Participant remains in Service to the Company or any of its subsidiaries continuously from the Grant Date, then the Restricted Shares will vest in the number(s) and on the date(s) specified in the Vesting Schedule on the Participant’s online award acceptance page of the Administrator, vesting in equal installments on each of the first three (3) anniversaries of the Grant Date (each, a “</w:t>
      </w:r>
      <w:r>
        <w:rPr>
          <w:rFonts w:ascii="Times New Roman" w:cs="Times New Roman" w:eastAsia="Times New Roman" w:hAnsi="Times New Roman"/>
          <w:sz w:val="18"/>
          <w:szCs w:val="18"/>
          <w:b w:val="1"/>
          <w:bCs w:val="1"/>
          <w:color w:val="auto"/>
        </w:rPr>
        <w:t>Scheduled Vesting Date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823" w:right="339" w:bottom="1440" w:gutter="0" w:footer="0" w:header="0"/>
        </w:sectPr>
      </w:pPr>
    </w:p>
    <w:bookmarkStart w:id="101" w:name="page102"/>
    <w:bookmarkEnd w:id="101"/>
    <w:p>
      <w:pPr>
        <w:jc w:val="both"/>
        <w:ind w:left="1620" w:hanging="316"/>
        <w:spacing w:after="0" w:line="254" w:lineRule="auto"/>
        <w:tabs>
          <w:tab w:leader="none" w:pos="16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for Normal Retirement</w:t>
      </w:r>
      <w:r>
        <w:rPr>
          <w:rFonts w:ascii="Times New Roman" w:cs="Times New Roman" w:eastAsia="Times New Roman" w:hAnsi="Times New Roman"/>
          <w:sz w:val="18"/>
          <w:szCs w:val="18"/>
          <w:color w:val="auto"/>
        </w:rPr>
        <w:t xml:space="preserve">. Notwithstanding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hereof, upon a termination of the Participant’s Service by reason of Normal Retirement, any Restricted Shares, to the extent not then-vested, shall continue to vest during the period beginning on the last date of employment and ending on the date that is one (1) year (two (2) years if at least six (6) months’ notice of Normal Retirement is provided) following such last date of employment, subject to the Participant’s execution on or after the last date of employment of an effective general release and waiver of all claims against the Company, its Affiliates and their respective officers and directors, substantially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However, any Restricted Shares, to the extent not then-vested, issued within six (6) months of this Agreement, as of the Participant’s last date of employment, shall be forfeited. “</w:t>
      </w:r>
      <w:r>
        <w:rPr>
          <w:rFonts w:ascii="Times New Roman" w:cs="Times New Roman" w:eastAsia="Times New Roman" w:hAnsi="Times New Roman"/>
          <w:sz w:val="18"/>
          <w:szCs w:val="18"/>
          <w:b w:val="1"/>
          <w:bCs w:val="1"/>
          <w:color w:val="auto"/>
        </w:rPr>
        <w:t>Normal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Retirement</w:t>
      </w:r>
      <w:r>
        <w:rPr>
          <w:rFonts w:ascii="Times New Roman" w:cs="Times New Roman" w:eastAsia="Times New Roman" w:hAnsi="Times New Roman"/>
          <w:sz w:val="18"/>
          <w:szCs w:val="18"/>
          <w:color w:val="auto"/>
        </w:rPr>
        <w:t>” shall mean a voluntary termination of Service by a Participant who has attained at least sixty (60) years of age and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least fifteen (15) years of Service to the Company or any of its Affiliates.</w:t>
      </w:r>
    </w:p>
    <w:p>
      <w:pPr>
        <w:spacing w:after="0" w:line="188" w:lineRule="exact"/>
        <w:rPr>
          <w:rFonts w:ascii="Times New Roman" w:cs="Times New Roman" w:eastAsia="Times New Roman" w:hAnsi="Times New Roman"/>
          <w:sz w:val="18"/>
          <w:szCs w:val="18"/>
          <w:color w:val="auto"/>
        </w:rPr>
      </w:pPr>
    </w:p>
    <w:p>
      <w:pPr>
        <w:jc w:val="both"/>
        <w:ind w:left="1620" w:hanging="316"/>
        <w:spacing w:after="0" w:line="255" w:lineRule="auto"/>
        <w:tabs>
          <w:tab w:leader="none" w:pos="16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TerminationofServicefollowingaChangeofControl</w:t>
      </w:r>
      <w:r>
        <w:rPr>
          <w:rFonts w:ascii="Times New Roman" w:cs="Times New Roman" w:eastAsia="Times New Roman" w:hAnsi="Times New Roman"/>
          <w:sz w:val="18"/>
          <w:szCs w:val="18"/>
          <w:color w:val="auto"/>
        </w:rPr>
        <w:t xml:space="preserve">. Notwithstanding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hereof, (i) in the event of a Change in Control the provisions of Section 12 of the Plan shall apply except as specifically provided herein; and (ii) in the event of (1) Participant’s Qualifying Termination (as defined under the CIC Policy) or (2) a termination of Participant’s Service by the Company or any Affiliate without Cause within the one (1) year period following a Change in Control, the Restricted Shares shall vest as of the date of such Qualifying Termination or termination of Participant’s Service, as applicable, subject to the Participant’s execution on or after the termination date of an effective general release and waiver of all claims against the Company, its Affiliates and their respective officers and directors, substantially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TerminationofServicefordeathorDisability</w:t>
      </w:r>
      <w:r>
        <w:rPr>
          <w:rFonts w:ascii="Times New Roman" w:cs="Times New Roman" w:eastAsia="Times New Roman" w:hAnsi="Times New Roman"/>
          <w:sz w:val="18"/>
          <w:szCs w:val="18"/>
          <w:color w:val="auto"/>
        </w:rPr>
        <w:t>. Upon a termination of the Participant’s Service by reason of death or Disability, any Restricted Shares, to the extent not then-vested, shall vest as of the date of such termination of Service.</w:t>
      </w:r>
    </w:p>
    <w:p>
      <w:pPr>
        <w:spacing w:after="0" w:line="161" w:lineRule="exact"/>
        <w:rPr>
          <w:rFonts w:ascii="Times New Roman" w:cs="Times New Roman" w:eastAsia="Times New Roman" w:hAnsi="Times New Roman"/>
          <w:sz w:val="18"/>
          <w:szCs w:val="18"/>
          <w:color w:val="auto"/>
        </w:rPr>
      </w:pPr>
    </w:p>
    <w:p>
      <w:pPr>
        <w:ind w:left="1620" w:right="20" w:hanging="316"/>
        <w:spacing w:after="0" w:line="266" w:lineRule="auto"/>
        <w:tabs>
          <w:tab w:leader="none" w:pos="16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Terminations of Service</w:t>
      </w:r>
      <w:r>
        <w:rPr>
          <w:rFonts w:ascii="Times New Roman" w:cs="Times New Roman" w:eastAsia="Times New Roman" w:hAnsi="Times New Roman"/>
          <w:sz w:val="18"/>
          <w:szCs w:val="18"/>
          <w:color w:val="auto"/>
        </w:rPr>
        <w:t xml:space="preserve">. Upon a termination of the Participant’s Service for any reason, other than as contemplated by </w:t>
      </w:r>
      <w:r>
        <w:rPr>
          <w:rFonts w:ascii="Times New Roman" w:cs="Times New Roman" w:eastAsia="Times New Roman" w:hAnsi="Times New Roman"/>
          <w:sz w:val="18"/>
          <w:szCs w:val="18"/>
          <w:u w:val="single" w:color="auto"/>
          <w:color w:val="auto"/>
        </w:rPr>
        <w:t>Sections 3.b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3.d</w:t>
      </w:r>
      <w:r>
        <w:rPr>
          <w:rFonts w:ascii="Times New Roman" w:cs="Times New Roman" w:eastAsia="Times New Roman" w:hAnsi="Times New Roman"/>
          <w:sz w:val="18"/>
          <w:szCs w:val="18"/>
          <w:color w:val="auto"/>
        </w:rPr>
        <w:t xml:space="preserve"> above, the Restricted Shares, to the extent not then-vested, shall immediately be forfeited by the Participant without consideration.</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131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of Unrestricted Shares</w:t>
      </w:r>
      <w:r>
        <w:rPr>
          <w:rFonts w:ascii="Times New Roman" w:cs="Times New Roman" w:eastAsia="Times New Roman" w:hAnsi="Times New Roman"/>
          <w:sz w:val="18"/>
          <w:szCs w:val="18"/>
          <w:color w:val="auto"/>
        </w:rPr>
        <w:t>. Upon the vesting of Restricted Shares and the corresponding lapse of the Restrictions as to those Shares, and after the Company has determined that all conditions to the release of unrestricted Shares to the Participant, including Sections 9 and 10 of this Agreement, have been satisfied, it shall release to the Participant such unrestricted Shares, as evidenced by issuance to him or her of a stock certificate without restrictive legend, by electronic delivery of such Shares to a brokerage account of the Participant, or by an unrestricted book-entry registration of such Shares with the Company’s transfer agent.</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2" w:name="page103"/>
    <w:bookmarkEnd w:id="102"/>
    <w:p>
      <w:pPr>
        <w:jc w:val="both"/>
        <w:ind w:firstLine="656"/>
        <w:spacing w:after="0" w:line="266" w:lineRule="auto"/>
        <w:tabs>
          <w:tab w:leader="none" w:pos="129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Covenant Agreement</w:t>
      </w:r>
      <w:r>
        <w:rPr>
          <w:rFonts w:ascii="Times New Roman" w:cs="Times New Roman" w:eastAsia="Times New Roman" w:hAnsi="Times New Roman"/>
          <w:sz w:val="18"/>
          <w:szCs w:val="18"/>
          <w:color w:val="auto"/>
        </w:rPr>
        <w:t>. The Participant and the Company may have previously entered into a restrictive covenant agreement. If applicable, Participant hereby reaffirms his obligations under such restrictive covenant agreement and nothing contained in this Agreement shall cancel, change or modify Participant’s obligations thereunder.</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56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xml:space="preserve">. The Participant, while providing Service to the Company and thereafter, shall not make any oral or written communication to any Person that disparages, or has the effect of damaging the reputation of, the Company, the Affiliates or their respective directors, officers, agents, employees, former employees, representatives or stockholders;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nothing in the foregoing shall preclude the Participant from disclosing any information to Participant’s attorney or in response to a lawful subpoena or court order requiring disclosure of information.</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45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Shares</w:t>
      </w:r>
      <w:r>
        <w:rPr>
          <w:rFonts w:ascii="Times New Roman" w:cs="Times New Roman" w:eastAsia="Times New Roman" w:hAnsi="Times New Roman"/>
          <w:sz w:val="18"/>
          <w:szCs w:val="18"/>
          <w:color w:val="auto"/>
        </w:rPr>
        <w:t>. In the event of any corporate event or transaction (as described in Section 12(a) of the Plan), the terms of this Agreement (including, without limitation, the number and kind of Shares subject to this Agreement) may be adjusted as set forth in Section 12(a) of the Plan.</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7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Continued Service</w:t>
      </w:r>
      <w:r>
        <w:rPr>
          <w:rFonts w:ascii="Times New Roman" w:cs="Times New Roman" w:eastAsia="Times New Roman" w:hAnsi="Times New Roman"/>
          <w:sz w:val="18"/>
          <w:szCs w:val="18"/>
          <w:color w:val="auto"/>
        </w:rPr>
        <w:t>. The granting of the Restricted Shares evidenced hereby and this Agreement shall impose no obligation on the Company or any Affiliate to continue the Service of the Participant and shall not lessen or affect any right that the Company or any Affiliate may have to terminate the Service of such Participant.</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145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Laws/Legend on Certificates</w:t>
      </w:r>
      <w:r>
        <w:rPr>
          <w:rFonts w:ascii="Times New Roman" w:cs="Times New Roman" w:eastAsia="Times New Roman" w:hAnsi="Times New Roman"/>
          <w:sz w:val="18"/>
          <w:szCs w:val="18"/>
          <w:color w:val="auto"/>
        </w:rPr>
        <w:t>. The issuance and delivery of Shares shall comply with Section 16(c) of the Plan as well as comply with (or be exempt from) all applicable requirements of law, including (without limitation) the Securities Act of 1933, as amended, the rules and regulations promulgated thereunder, state securities laws and regulations, and the regulations of any stock exchange or other securities market on which the Company’s securities may then be traded. The Company shall not be obligated to file any registration statement under any applicable securities laws to permit the purchase or issuance of any Shares under the Plan or Awards, and accordingly any certificates for Shares or documents granting Awards may have an appropriate legend or statement of applicable restrictions endorsed thereon. If the Company deems it necessary to ensure that the issuance of Shares under the Plan is not required to be registered under any applicable securities laws, each Participant to whom such Shares would be issued shall deliver to the Company an agreement or certificate containing such representations, warranties and covenants as the Company may reasonably request which satisfies such requirements.</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Participant may be required to pay to the Company or any Affiliate and the Company shall have the right and is hereby authorized to withhold, any applicable withholding taxes in respect of the Restricted Shares, their vesting or transfer and to take such other action as may be necessary in the opinion of the Committee to satisfy all obligations for the payment of such withholding taxes.</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35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notification required by the terms of this Agreement shall be given in writing and shall be deemed effective upon personal delivery or within three (3) days of deposit with the United States Postal Service, by registered or certified mail, with postage and fees prepaid. A notice shall be addressed to the Company, Attention: General Counsel, at its principal executive office and to the Participant at the address that he or she most recently provided to the Company.</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3" w:name="page104"/>
    <w:bookmarkEnd w:id="103"/>
    <w:p>
      <w:pPr>
        <w:jc w:val="both"/>
        <w:ind w:left="-656" w:firstLine="656"/>
        <w:spacing w:after="0" w:line="258" w:lineRule="auto"/>
        <w:tabs>
          <w:tab w:leader="none" w:pos="73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the details of the award on the Participant’s online award acceptance page of the Administrator, the terms of the Mandatory Clawback Policy and Supplemental Clawback policy, as amended from time to time, if applicable, and the Plan constitute the entire contract between the parties hereto with regard to the subject matter hereof. They supersede any other agreements, representations or understandings (whether oral or written and whether express or implied) which relate to the subject matter hereof; however if any term in either the Mandatory Clawback Policy or Supplemental Clawback Policy are contrary to any term contained herein, the terms of such policies shall prevail</w:t>
      </w:r>
    </w:p>
    <w:p>
      <w:pPr>
        <w:spacing w:after="0" w:line="183" w:lineRule="exact"/>
        <w:rPr>
          <w:rFonts w:ascii="Times New Roman" w:cs="Times New Roman" w:eastAsia="Times New Roman" w:hAnsi="Times New Roman"/>
          <w:sz w:val="18"/>
          <w:szCs w:val="18"/>
          <w:color w:val="auto"/>
        </w:rPr>
      </w:pPr>
    </w:p>
    <w:p>
      <w:pPr>
        <w:ind w:left="-656" w:right="20" w:firstLine="656"/>
        <w:spacing w:after="0" w:line="282" w:lineRule="auto"/>
        <w:tabs>
          <w:tab w:leader="none" w:pos="79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of any breach or condition of this Agreement shall be deemed to be a waiver of any other or subsequent breach or condition whether of like or different nature.</w:t>
      </w:r>
    </w:p>
    <w:p>
      <w:pPr>
        <w:spacing w:after="0" w:line="161" w:lineRule="exact"/>
        <w:rPr>
          <w:rFonts w:ascii="Times New Roman" w:cs="Times New Roman" w:eastAsia="Times New Roman" w:hAnsi="Times New Roman"/>
          <w:sz w:val="18"/>
          <w:szCs w:val="18"/>
          <w:color w:val="auto"/>
        </w:rPr>
      </w:pPr>
    </w:p>
    <w:p>
      <w:pPr>
        <w:jc w:val="both"/>
        <w:ind w:left="-656" w:firstLine="656"/>
        <w:spacing w:after="0" w:line="289" w:lineRule="auto"/>
        <w:tabs>
          <w:tab w:leader="none" w:pos="887"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The provisions of this Agreement shall inure to the benefit of, and be binding upon, the Company and its successors and assigns and upon the Participant, the Participant’s assigns and the legal representatives, heirs and legatees of the Participant’s estate, whether or not any such person shall have become a party to this Agreement and have agreed in writing to be joined herein and be bound by the terms hereof.</w:t>
      </w:r>
    </w:p>
    <w:p>
      <w:pPr>
        <w:spacing w:after="0" w:line="157" w:lineRule="exact"/>
        <w:rPr>
          <w:rFonts w:ascii="Times New Roman" w:cs="Times New Roman" w:eastAsia="Times New Roman" w:hAnsi="Times New Roman"/>
          <w:sz w:val="17"/>
          <w:szCs w:val="17"/>
          <w:color w:val="auto"/>
        </w:rPr>
      </w:pPr>
    </w:p>
    <w:p>
      <w:pPr>
        <w:jc w:val="both"/>
        <w:ind w:left="-656" w:firstLine="656"/>
        <w:spacing w:after="0" w:line="266" w:lineRule="auto"/>
        <w:tabs>
          <w:tab w:leader="none" w:pos="8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w:t>
      </w:r>
      <w:r>
        <w:rPr>
          <w:rFonts w:ascii="Times New Roman" w:cs="Times New Roman" w:eastAsia="Times New Roman" w:hAnsi="Times New Roman"/>
          <w:sz w:val="18"/>
          <w:szCs w:val="18"/>
          <w:color w:val="auto"/>
        </w:rPr>
        <w:t>. This Agreement shall be governed by the law of the State of Delaware (regardless of the laws that might otherwise govern under applicable Delaware principles of conflicts of law) as to all matters, including but not limited to matters of validity, construction, effect, performance and remedies.</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8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Shares Subject to Plan</w:t>
      </w:r>
      <w:r>
        <w:rPr>
          <w:rFonts w:ascii="Times New Roman" w:cs="Times New Roman" w:eastAsia="Times New Roman" w:hAnsi="Times New Roman"/>
          <w:sz w:val="18"/>
          <w:szCs w:val="18"/>
          <w:color w:val="auto"/>
        </w:rPr>
        <w:t>. By entering into this Agreement the Participant agrees and acknowledges that the Participant has received and read a copy of the Plan. The Restricted Shares are subject to the Plan.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w:t>
      </w:r>
    </w:p>
    <w:p>
      <w:pPr>
        <w:spacing w:after="0" w:line="179"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92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Guarantees Regarding Tax Treatment</w:t>
      </w:r>
      <w:r>
        <w:rPr>
          <w:rFonts w:ascii="Times New Roman" w:cs="Times New Roman" w:eastAsia="Times New Roman" w:hAnsi="Times New Roman"/>
          <w:sz w:val="18"/>
          <w:szCs w:val="18"/>
          <w:color w:val="auto"/>
        </w:rPr>
        <w:t>. Participants (or their beneficiaries) shall be responsible for all taxes with respect to the Restricted Shares. The Committee and the Company make no guarantees regarding the tax treatment of the Restricted Shares. None of the Company, any Subsidiary or Affiliate, or any of their employees or representatives shall have any liability to a Participant with respect thereto.</w:t>
      </w:r>
    </w:p>
    <w:p>
      <w:pPr>
        <w:spacing w:after="0" w:line="175" w:lineRule="exact"/>
        <w:rPr>
          <w:rFonts w:ascii="Times New Roman" w:cs="Times New Roman" w:eastAsia="Times New Roman" w:hAnsi="Times New Roman"/>
          <w:sz w:val="18"/>
          <w:szCs w:val="18"/>
          <w:color w:val="auto"/>
        </w:rPr>
      </w:pPr>
    </w:p>
    <w:p>
      <w:pPr>
        <w:ind w:left="-656" w:firstLine="656"/>
        <w:spacing w:after="0" w:line="282" w:lineRule="auto"/>
        <w:tabs>
          <w:tab w:leader="none" w:pos="73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The Committee, or the CEO, may amend or alter this Agreement and the Restricted Shares granted hereunder at any time, subject to the terms of the Plan.</w:t>
      </w:r>
    </w:p>
    <w:p>
      <w:pPr>
        <w:spacing w:after="0" w:line="157" w:lineRule="exact"/>
        <w:rPr>
          <w:rFonts w:ascii="Times New Roman" w:cs="Times New Roman" w:eastAsia="Times New Roman" w:hAnsi="Times New Roman"/>
          <w:sz w:val="18"/>
          <w:szCs w:val="18"/>
          <w:color w:val="auto"/>
        </w:rPr>
      </w:pPr>
    </w:p>
    <w:p>
      <w:pPr>
        <w:jc w:val="both"/>
        <w:ind w:left="-656" w:firstLine="656"/>
        <w:spacing w:after="0" w:line="257" w:lineRule="auto"/>
        <w:tabs>
          <w:tab w:leader="none" w:pos="73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83(b) Election</w:t>
      </w:r>
      <w:r>
        <w:rPr>
          <w:rFonts w:ascii="Times New Roman" w:cs="Times New Roman" w:eastAsia="Times New Roman" w:hAnsi="Times New Roman"/>
          <w:sz w:val="18"/>
          <w:szCs w:val="18"/>
          <w:color w:val="auto"/>
        </w:rPr>
        <w:t>. In the event the Participant determines to make an election with the Internal Revenue Service (the “</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under Section 83(b) of the Code and the regulations promulgated thereunder (the “</w:t>
      </w:r>
      <w:r>
        <w:rPr>
          <w:rFonts w:ascii="Times New Roman" w:cs="Times New Roman" w:eastAsia="Times New Roman" w:hAnsi="Times New Roman"/>
          <w:sz w:val="18"/>
          <w:szCs w:val="18"/>
          <w:b w:val="1"/>
          <w:bCs w:val="1"/>
          <w:color w:val="auto"/>
        </w:rPr>
        <w:t>83(b) Election</w:t>
      </w:r>
      <w:r>
        <w:rPr>
          <w:rFonts w:ascii="Times New Roman" w:cs="Times New Roman" w:eastAsia="Times New Roman" w:hAnsi="Times New Roman"/>
          <w:sz w:val="18"/>
          <w:szCs w:val="18"/>
          <w:color w:val="auto"/>
        </w:rPr>
        <w:t xml:space="preserve">”), the Participant shall provide a copy of such form to the Company promptly following its filing, which is required under current law to be filed with the IRS no later than thirty (30) days after the Date of Grant of the Restricted Shares. The form for making an 83(b) Election is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The Participant is advised to consult with his or her own tax advisors regarding the purchase and holding of the Restricted Shares, and the Company shall bear no liability for any consequence of the Participant making an 83(b) Election or failing to make an 83(b) Election.</w:t>
      </w:r>
    </w:p>
    <w:p>
      <w:pPr>
        <w:spacing w:after="0" w:line="186" w:lineRule="exact"/>
        <w:rPr>
          <w:sz w:val="20"/>
          <w:szCs w:val="20"/>
          <w:color w:val="auto"/>
        </w:rPr>
      </w:pPr>
    </w:p>
    <w:p>
      <w:pPr>
        <w:ind w:left="10504"/>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100330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104" w:name="page105"/>
    <w:bookmarkEnd w:id="104"/>
    <w:p>
      <w:pPr>
        <w:ind w:firstLine="656"/>
        <w:spacing w:after="0" w:line="282" w:lineRule="auto"/>
        <w:tabs>
          <w:tab w:leader="none" w:pos="138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157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Signature</w:t>
      </w:r>
      <w:r>
        <w:rPr>
          <w:rFonts w:ascii="Times New Roman" w:cs="Times New Roman" w:eastAsia="Times New Roman" w:hAnsi="Times New Roman"/>
          <w:sz w:val="18"/>
          <w:szCs w:val="18"/>
          <w:color w:val="auto"/>
        </w:rPr>
        <w:t>. The grant of Restricted Shares is subject to Participant’s acceptance of the terms and conditions of this Agreement. By clicking the acknowledgment button, Participant indicates he or she (1) has been provided access to a copy of the Plan, (2) has had the opportunity to obtain independent legal advice prior to accepting the grant, (3) has read this Agreement, (4) agrees fully to the terms of the Agreement and (5) consents to receive all applicable documentation by electronic delivery and to participate in the Plan through an on-line (and/or voice activated) system established and maintained by the Company or the Company’s third-party stock plan administrator. The Participant also acknowledges that all decisions, determinations and interpretations of the Committee in respect of the Plan, this Agreement and the Restricted Shares shall be final and conclusive.</w:t>
      </w:r>
    </w:p>
    <w:p>
      <w:pPr>
        <w:spacing w:after="0" w:line="187" w:lineRule="exact"/>
        <w:rPr>
          <w:rFonts w:ascii="Times New Roman" w:cs="Times New Roman" w:eastAsia="Times New Roman" w:hAnsi="Times New Roman"/>
          <w:sz w:val="18"/>
          <w:szCs w:val="18"/>
          <w:color w:val="auto"/>
        </w:rPr>
      </w:pPr>
    </w:p>
    <w:p>
      <w:pPr>
        <w:jc w:val="both"/>
        <w:ind w:firstLine="656"/>
        <w:spacing w:after="0" w:line="256" w:lineRule="auto"/>
        <w:tabs>
          <w:tab w:leader="none" w:pos="153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Recovery</w:t>
      </w:r>
      <w:r>
        <w:rPr>
          <w:rFonts w:ascii="Times New Roman" w:cs="Times New Roman" w:eastAsia="Times New Roman" w:hAnsi="Times New Roman"/>
          <w:sz w:val="18"/>
          <w:szCs w:val="18"/>
          <w:color w:val="auto"/>
        </w:rPr>
        <w:t xml:space="preserve">. In addition to those provisions in </w:t>
      </w:r>
      <w:r>
        <w:rPr>
          <w:rFonts w:ascii="Times New Roman" w:cs="Times New Roman" w:eastAsia="Times New Roman" w:hAnsi="Times New Roman"/>
          <w:sz w:val="18"/>
          <w:szCs w:val="18"/>
          <w:u w:val="single" w:color="auto"/>
          <w:color w:val="auto"/>
        </w:rPr>
        <w:t>Sections 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 to the extent that this Award and any compensation associated therewith is considered “incentive- based compensation” within the meaning and subject to the requirements of Section 10D of the Exchange Act, this Award and any compensation associated therewith shall be subject to potential forfeiture or recovery by the Company in accordance with any compensation recovery policy adopted by the Board or the Committee in response to the requirements of Section 10D of the Exchange Act and any implementing rules and regulations thereunder adopted by the Securities and Exchange Commission or any national securities exchange on which the Company’s Shares are then listed. This Agreement may be unilaterally amended by the Committee to comply with any such compensation recovery policy.</w:t>
      </w:r>
    </w:p>
    <w:p>
      <w:pPr>
        <w:spacing w:after="0" w:line="187" w:lineRule="exact"/>
        <w:rPr>
          <w:rFonts w:ascii="Times New Roman" w:cs="Times New Roman" w:eastAsia="Times New Roman" w:hAnsi="Times New Roman"/>
          <w:sz w:val="18"/>
          <w:szCs w:val="18"/>
          <w:color w:val="auto"/>
        </w:rPr>
      </w:pPr>
    </w:p>
    <w:p>
      <w:pPr>
        <w:jc w:val="both"/>
        <w:ind w:firstLine="656"/>
        <w:spacing w:after="0" w:line="255" w:lineRule="auto"/>
        <w:tabs>
          <w:tab w:leader="none" w:pos="133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w:t>
      </w:r>
      <w:r>
        <w:rPr>
          <w:rFonts w:ascii="Times New Roman" w:cs="Times New Roman" w:eastAsia="Times New Roman" w:hAnsi="Times New Roman"/>
          <w:sz w:val="18"/>
          <w:szCs w:val="18"/>
          <w:color w:val="auto"/>
        </w:rPr>
        <w:t>. Notwithstanding anything to the contrary in this Agreement, if the Participant’s Service is terminated for Cause, or if, during the term of the Participant’s Service with the Company and its Affiliates and for one year after such Service ends (or such longer period as specified in the Participant’s Restrictive Covenant Agreement, if applicable, or following the Participant’s Normal Retirement and prior to the Scheduled Vesting Date) (the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xml:space="preserve">”), the Participant breaches any of the restrictive covenants contained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then (i) the Participant shall immediately forfeit this Award and any right to receive Shares that have not yet been issued pursuant to Section 3, and (ii) with respect to Shares that have been issued pursuant to this Award, either (A) the Participant shall return such Shares to the Company, or (B) the Participant shall pay to the Company in cash an amount equal to the Fair Market Value of such Shares as of their respective vesting date.</w:t>
      </w: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RELEASE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release is required as a condition for receiving the benefits provided pursuant to the Restricted Stock Award Agreement between GENERAC</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HOLDINGS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Participant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dated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thus, by executing this release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you have advised us that you hold no claims against the Company, its predecessors, successors or assigns, affiliates, shareholders or members and each of their respective officers, directors, agents and employees (collectively, the “Releasees”), and by execution of this Release you agree to waive and release any such claims, except relating to any compensation, severance pay and benefits described in any written agreement between you and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3422015</wp:posOffset>
            </wp:positionH>
            <wp:positionV relativeFrom="paragraph">
              <wp:posOffset>-441960</wp:posOffset>
            </wp:positionV>
            <wp:extent cx="138811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5">
                      <a:extLst>
                        <a:ext uri="{28A0092B-C50C-407E-A947-70E740481C1C}"/>
                      </a:extLst>
                    </a:blip>
                    <a:srcRect/>
                    <a:stretch>
                      <a:fillRect/>
                    </a:stretch>
                  </pic:blipFill>
                  <pic:spPr bwMode="auto">
                    <a:xfrm>
                      <a:off x="0" y="0"/>
                      <a:ext cx="1388110" cy="8255"/>
                    </a:xfrm>
                    <a:prstGeom prst="rect">
                      <a:avLst/>
                    </a:prstGeom>
                    <a:noFill/>
                  </pic:spPr>
                </pic:pic>
              </a:graphicData>
            </a:graphic>
          </wp:anchor>
        </w:drawing>
      </w:r>
    </w:p>
    <w:p>
      <w:pPr>
        <w:spacing w:after="0" w:line="3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You understand and agree that this Release will extend to all claims, demands, liabilities and causes of action of every kind, nature and description whatsoever, whether known, unknown or suspected to exist, which you ever had or may now have against the Releasees in your capacity as an employee of the Company, including, without limitation, any claims, demands, liabilities and causes of action arising from your employment with the Releasees and the termination of that employment, including any claims for severance or vacation pay, business expenses, and/or pursuant to any federal, state, county, or local employment laws, regulations, executive orders, or other requirements, including, but not limited to, Title VII of the 1964 Civil Rights Act, the 1866 Civil Rights Act, the Age Discrimination in Employment Act as amended by the Older Workers Benefit Protection Act, the Americans with Disabilities Act, the Civil Rights Act of 1991, the Workers Adjustment and Retraining Notification Act and any other local, state or federal fair employment laws, and any contract or tort claims.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understand and agree that this Release is intended to include all claims by you or on your behalf alleging discrimination on the basis of race, sex, religion, national origin, age, disability, marital status, or any other protected status or involving any contract or tort claims based on your termination from the Company. It is also acknowledged that your termination is not in any way related to any work-related injury.</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It also is understood and agreed that the remedy at law for breach of the Award Agreement, any restrictive covenant agreements between you and the Company, and/or this Release shall be inadequate, and the Company shall be entitled to injunctive relief in respect thereof.</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Your ability to receive payments and benefits under the terms of the Award Agreement will remain open for a 21-day period after your Termination Date to give you an opportunity to consider the effect of this Release. At your option, you may elect to execute this Release on an earlier date. Additionally, you have seven days after the date you execute this Release to revoke it. As a result, this Release will not be effective until eight days after you execute it. We also want to advise you of your right to consult with legal counsel prior to executing a copy of this Release.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Finally, this is to expressly acknowledge:</w:t>
      </w:r>
    </w:p>
    <w:p>
      <w:pPr>
        <w:spacing w:after="0" w:line="225" w:lineRule="exact"/>
        <w:rPr>
          <w:sz w:val="20"/>
          <w:szCs w:val="20"/>
          <w:color w:val="auto"/>
        </w:rPr>
      </w:pPr>
    </w:p>
    <w:p>
      <w:pPr>
        <w:ind w:left="1300" w:hanging="644"/>
        <w:spacing w:after="0"/>
        <w:tabs>
          <w:tab w:leader="none" w:pos="1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understand that you are not waiving any claims or rights that may arise after the date you execute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06" w:name="page107"/>
    <w:bookmarkEnd w:id="106"/>
    <w:p>
      <w:pPr>
        <w:ind w:left="1180" w:hanging="644"/>
        <w:spacing w:after="0" w:line="282" w:lineRule="auto"/>
        <w:tabs>
          <w:tab w:leader="none" w:pos="11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understand and agree that the compensation and benefits described in the Award Agreement offer you consideration greater than that to which you would otherwise be entitled.</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 hereby state that I have carefully read this Release and that I am signing this Release knowingly and voluntarily with the full intent of releasing the Releases from any and all claims, except as set forth herein. Further, if signed prior to the completion of the 21 day review period, this is to acknowledge that I knowingly and voluntarily signed this Release on an earlier date.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-129540</wp:posOffset>
            </wp:positionV>
            <wp:extent cx="7134225" cy="3022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7">
                      <a:extLst>
                        <a:ext uri="{28A0092B-C50C-407E-A947-70E740481C1C}"/>
                      </a:extLst>
                    </a:blip>
                    <a:srcRect/>
                    <a:stretch>
                      <a:fillRect/>
                    </a:stretch>
                  </pic:blipFill>
                  <pic:spPr bwMode="auto">
                    <a:xfrm>
                      <a:off x="0" y="0"/>
                      <a:ext cx="7134225" cy="30226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531495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440" w:top="580"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83(b) ELECTION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statement is being made under Section 83(b) of the Internal Revenue Code, pursuant to Treas. Reg. Section 1.83-2.</w:t>
      </w:r>
    </w:p>
    <w:p>
      <w:pPr>
        <w:spacing w:after="0" w:line="252" w:lineRule="exact"/>
        <w:rPr>
          <w:sz w:val="20"/>
          <w:szCs w:val="20"/>
          <w:color w:val="auto"/>
        </w:rPr>
      </w:pPr>
    </w:p>
    <w:p>
      <w:pPr>
        <w:ind w:left="660" w:hanging="652"/>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taxpayer who performed the services is: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w:t>
      </w:r>
    </w:p>
    <w:p>
      <w:pPr>
        <w:spacing w:after="0" w:line="3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property with respect to which the election is being made is shares of the common stock, par value $0.01 per share, of Generac Holdings Inc.</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transferor of the property is Generac Holdings Inc.</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property was transferred on .</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taxable year in which the election is being made is the calendar year .</w:t>
      </w:r>
    </w:p>
    <w:p>
      <w:pPr>
        <w:spacing w:after="0" w:line="225" w:lineRule="exact"/>
        <w:rPr>
          <w:rFonts w:ascii="Times New Roman" w:cs="Times New Roman" w:eastAsia="Times New Roman" w:hAnsi="Times New Roman"/>
          <w:sz w:val="18"/>
          <w:szCs w:val="18"/>
          <w:color w:val="auto"/>
        </w:rPr>
      </w:pPr>
    </w:p>
    <w:p>
      <w:pPr>
        <w:ind w:left="660" w:right="60" w:hanging="652"/>
        <w:spacing w:after="0" w:line="282"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property will vest upon the third anniversary of the date of transfer, subject to the taxpayer’s continued service to Generac Holdings Inc. or its affiliates.</w:t>
      </w:r>
    </w:p>
    <w:p>
      <w:pPr>
        <w:spacing w:after="0" w:line="161" w:lineRule="exact"/>
        <w:rPr>
          <w:rFonts w:ascii="Times New Roman" w:cs="Times New Roman" w:eastAsia="Times New Roman" w:hAnsi="Times New Roman"/>
          <w:sz w:val="18"/>
          <w:szCs w:val="18"/>
          <w:color w:val="auto"/>
        </w:rPr>
      </w:pPr>
    </w:p>
    <w:p>
      <w:pPr>
        <w:ind w:left="660" w:right="360" w:hanging="652"/>
        <w:spacing w:after="0" w:line="282"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at the time of transfer (determined without regard to any restriction other than a restriction which by its terms will never lapse) is $ per share.</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paid for such property is $ per share.</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this statement was furnished to Generac Holdings Inc. for whom taxpayer rendered the services underlying the transfer of property.</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statement is executed 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-2922270</wp:posOffset>
            </wp:positionV>
            <wp:extent cx="25704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9">
                      <a:extLst>
                        <a:ext uri="{28A0092B-C50C-407E-A947-70E740481C1C}"/>
                      </a:extLst>
                    </a:blip>
                    <a:srcRect/>
                    <a:stretch>
                      <a:fillRect/>
                    </a:stretch>
                  </pic:blipFill>
                  <pic:spPr bwMode="auto">
                    <a:xfrm>
                      <a:off x="0" y="0"/>
                      <a:ext cx="257048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-2767965</wp:posOffset>
            </wp:positionV>
            <wp:extent cx="25704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0">
                      <a:extLst>
                        <a:ext uri="{28A0092B-C50C-407E-A947-70E740481C1C}"/>
                      </a:extLst>
                    </a:blip>
                    <a:srcRect/>
                    <a:stretch>
                      <a:fillRect/>
                    </a:stretch>
                  </pic:blipFill>
                  <pic:spPr bwMode="auto">
                    <a:xfrm>
                      <a:off x="0" y="0"/>
                      <a:ext cx="2570480"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-830580</wp:posOffset>
            </wp:positionV>
            <wp:extent cx="2857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1">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2196465</wp:posOffset>
            </wp:positionH>
            <wp:positionV relativeFrom="paragraph">
              <wp:posOffset>-556260</wp:posOffset>
            </wp:positionV>
            <wp:extent cx="2857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[Taxpayer’s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-127635</wp:posOffset>
            </wp:positionV>
            <wp:extent cx="270891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3">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election must be filed with the Internal Revenue Service Center with which taxpayer files his Federal income tax returns and must be made within thirty days after the Date of Grant. This filing should be made by registered or certified mail, return receipt requested. The taxpayer shall also provide a copy of such form to the Company promptly following its filing. The taxpayer should retain two (2) additional copies of the completed form for filing with Federal and state tax returns for the taxpayer’s current tax year and an additional copy for the taxpayer’s records.</w:t>
      </w:r>
    </w:p>
    <w:p>
      <w:pPr>
        <w:sectPr>
          <w:pgSz w:w="11900" w:h="16838" w:orient="portrait"/>
          <w:cols w:equalWidth="0" w:num="1">
            <w:col w:w="11240"/>
          </w:cols>
          <w:pgMar w:left="320" w:top="576"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10.45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Generac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2019 Equity Incentive Plan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NONQUALIFIED STOCK OPTION AWARD AGREEMENT</w:t>
      </w:r>
    </w:p>
    <w:p>
      <w:pPr>
        <w:spacing w:after="0" w:line="200" w:lineRule="exact"/>
        <w:rPr>
          <w:sz w:val="20"/>
          <w:szCs w:val="20"/>
          <w:color w:val="auto"/>
        </w:rPr>
      </w:pPr>
    </w:p>
    <w:p>
      <w:pPr>
        <w:spacing w:after="0" w:line="24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Upon acceptance by you through the online acceptance procedures of the Third Party Stock Plan Administrator ("</w:t>
      </w:r>
      <w:r>
        <w:rPr>
          <w:rFonts w:ascii="Times New Roman" w:cs="Times New Roman" w:eastAsia="Times New Roman" w:hAnsi="Times New Roman"/>
          <w:sz w:val="17"/>
          <w:szCs w:val="17"/>
          <w:b w:val="1"/>
          <w:bCs w:val="1"/>
          <w:color w:val="auto"/>
        </w:rPr>
        <w:t>Administrator</w:t>
      </w:r>
      <w:r>
        <w:rPr>
          <w:rFonts w:ascii="Times New Roman" w:cs="Times New Roman" w:eastAsia="Times New Roman" w:hAnsi="Times New Roman"/>
          <w:sz w:val="17"/>
          <w:szCs w:val="17"/>
          <w:color w:val="auto"/>
        </w:rPr>
        <w:t>"), this Nonqualified Stock Option Award Agreement (this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is made effective as of the date set forth on your online award acceptance page of the Administrator (“</w:t>
      </w:r>
      <w:r>
        <w:rPr>
          <w:rFonts w:ascii="Times New Roman" w:cs="Times New Roman" w:eastAsia="Times New Roman" w:hAnsi="Times New Roman"/>
          <w:sz w:val="17"/>
          <w:szCs w:val="17"/>
          <w:b w:val="1"/>
          <w:bCs w:val="1"/>
          <w:color w:val="auto"/>
        </w:rPr>
        <w:t>Grant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Date</w:t>
      </w:r>
      <w:r>
        <w:rPr>
          <w:rFonts w:ascii="Times New Roman" w:cs="Times New Roman" w:eastAsia="Times New Roman" w:hAnsi="Times New Roman"/>
          <w:sz w:val="17"/>
          <w:szCs w:val="17"/>
          <w:color w:val="auto"/>
        </w:rPr>
        <w:t>”), which is incorporated by reference herein, between Generac Holdings Inc., a Delaware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and you (the “</w:t>
      </w:r>
      <w:r>
        <w:rPr>
          <w:rFonts w:ascii="Times New Roman" w:cs="Times New Roman" w:eastAsia="Times New Roman" w:hAnsi="Times New Roman"/>
          <w:sz w:val="17"/>
          <w:szCs w:val="17"/>
          <w:b w:val="1"/>
          <w:bCs w:val="1"/>
          <w:color w:val="auto"/>
        </w:rPr>
        <w:t>Participant</w:t>
      </w:r>
      <w:r>
        <w:rPr>
          <w:rFonts w:ascii="Times New Roman" w:cs="Times New Roman" w:eastAsia="Times New Roman" w:hAnsi="Times New Roman"/>
          <w:sz w:val="17"/>
          <w:szCs w:val="17"/>
          <w:color w:val="auto"/>
        </w:rPr>
        <w: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 E C I T A L 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WHEREAS, the Company has adopted and the stockholders have approved the Generac Holdings Inc. 2019 Equity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which Plan is incorporated herein by reference and made a part of this Agreement. Capitalized terms not otherwise defined herein shall have the same meanings as in the Plan;</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WHEREAS, the Company has adopted the Generac Power Systems, Inc. Executive Change in Control Policy (the “</w:t>
      </w:r>
      <w:r>
        <w:rPr>
          <w:rFonts w:ascii="Times New Roman" w:cs="Times New Roman" w:eastAsia="Times New Roman" w:hAnsi="Times New Roman"/>
          <w:sz w:val="18"/>
          <w:szCs w:val="18"/>
          <w:b w:val="1"/>
          <w:bCs w:val="1"/>
          <w:color w:val="auto"/>
        </w:rPr>
        <w:t>CIC Policy</w:t>
      </w:r>
      <w:r>
        <w:rPr>
          <w:rFonts w:ascii="Times New Roman" w:cs="Times New Roman" w:eastAsia="Times New Roman" w:hAnsi="Times New Roman"/>
          <w:sz w:val="18"/>
          <w:szCs w:val="18"/>
          <w:color w:val="auto"/>
        </w:rPr>
        <w:t>”); and</w:t>
      </w:r>
    </w:p>
    <w:p>
      <w:pPr>
        <w:spacing w:after="0" w:line="229"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WHEREAS, the Committee has determined that it would be in the best interests of the Company and its stockholders to grant the option provided for herein to the Participant pursuant to the Plan and the terms set forth herein.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NOW THEREFORE, in consideration of the mutual covenants hereinafter set forth, the parties agree as follows:</w:t>
      </w:r>
    </w:p>
    <w:p>
      <w:pPr>
        <w:spacing w:after="0" w:line="221" w:lineRule="exact"/>
        <w:rPr>
          <w:sz w:val="20"/>
          <w:szCs w:val="20"/>
          <w:color w:val="auto"/>
        </w:rPr>
      </w:pPr>
    </w:p>
    <w:p>
      <w:pPr>
        <w:jc w:val="both"/>
        <w:ind w:firstLine="980"/>
        <w:spacing w:after="0" w:line="268" w:lineRule="auto"/>
        <w:tabs>
          <w:tab w:leader="none" w:pos="116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the Option</w:t>
      </w:r>
      <w:r>
        <w:rPr>
          <w:rFonts w:ascii="Times New Roman" w:cs="Times New Roman" w:eastAsia="Times New Roman" w:hAnsi="Times New Roman"/>
          <w:sz w:val="18"/>
          <w:szCs w:val="18"/>
          <w:color w:val="auto"/>
        </w:rPr>
        <w:t>. The Company hereby grants to the Participant the right and option (the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to purchase, on the terms and conditions hereinafter set forth, all or any part of an aggregate a certain number of Shares as set forth on the Participant’s online award acceptance page of the Administrator. The Option is intended to be a Non-Qualified Stock Option.</w:t>
      </w:r>
    </w:p>
    <w:p>
      <w:pPr>
        <w:spacing w:after="0" w:line="174" w:lineRule="exact"/>
        <w:rPr>
          <w:rFonts w:ascii="Times New Roman" w:cs="Times New Roman" w:eastAsia="Times New Roman" w:hAnsi="Times New Roman"/>
          <w:sz w:val="18"/>
          <w:szCs w:val="18"/>
          <w:color w:val="auto"/>
        </w:rPr>
      </w:pPr>
    </w:p>
    <w:p>
      <w:pPr>
        <w:jc w:val="both"/>
        <w:ind w:firstLine="980"/>
        <w:spacing w:after="0" w:line="266" w:lineRule="auto"/>
        <w:tabs>
          <w:tab w:leader="none" w:pos="116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Exercise Price</w:t>
      </w:r>
      <w:r>
        <w:rPr>
          <w:rFonts w:ascii="Times New Roman" w:cs="Times New Roman" w:eastAsia="Times New Roman" w:hAnsi="Times New Roman"/>
          <w:sz w:val="18"/>
          <w:szCs w:val="18"/>
          <w:color w:val="auto"/>
        </w:rPr>
        <w:t>. The purchase price of the Shares subject to the Option shall equal the exercise price as defined and calculated pursuant to Section 7 of the Plan, and which corresponds to the Grant Date set forth on your online award acceptance page of the Administrator and denoted as the award exercise price (the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980"/>
        <w:spacing w:after="0" w:line="266" w:lineRule="auto"/>
        <w:tabs>
          <w:tab w:leader="none" w:pos="116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Term</w:t>
      </w:r>
      <w:r>
        <w:rPr>
          <w:rFonts w:ascii="Times New Roman" w:cs="Times New Roman" w:eastAsia="Times New Roman" w:hAnsi="Times New Roman"/>
          <w:sz w:val="18"/>
          <w:szCs w:val="18"/>
          <w:color w:val="auto"/>
        </w:rPr>
        <w:t xml:space="preserve">. The term of the Option shall be ten (10) years, commencing on the Date of Grant, unless terminated at an earlier time pursuant to </w:t>
      </w:r>
      <w:r>
        <w:rPr>
          <w:rFonts w:ascii="Times New Roman" w:cs="Times New Roman" w:eastAsia="Times New Roman" w:hAnsi="Times New Roman"/>
          <w:sz w:val="18"/>
          <w:szCs w:val="18"/>
          <w:u w:val="single" w:color="auto"/>
          <w:color w:val="auto"/>
        </w:rPr>
        <w:t>Section6</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Option Term</w:t>
      </w:r>
      <w:r>
        <w:rPr>
          <w:rFonts w:ascii="Times New Roman" w:cs="Times New Roman" w:eastAsia="Times New Roman" w:hAnsi="Times New Roman"/>
          <w:sz w:val="18"/>
          <w:szCs w:val="18"/>
          <w:color w:val="auto"/>
        </w:rPr>
        <w:t>”). The Option shall automatically terminate upon the expiration of the Option Term, or at such earlier time specified herein or in the Plan.</w:t>
      </w:r>
    </w:p>
    <w:p>
      <w:pPr>
        <w:spacing w:after="0" w:line="175" w:lineRule="exact"/>
        <w:rPr>
          <w:rFonts w:ascii="Times New Roman" w:cs="Times New Roman" w:eastAsia="Times New Roman" w:hAnsi="Times New Roman"/>
          <w:sz w:val="18"/>
          <w:szCs w:val="18"/>
          <w:color w:val="auto"/>
        </w:rPr>
      </w:pPr>
    </w:p>
    <w:p>
      <w:pPr>
        <w:jc w:val="both"/>
        <w:ind w:firstLine="980"/>
        <w:spacing w:after="0" w:line="256" w:lineRule="auto"/>
        <w:tabs>
          <w:tab w:leader="none" w:pos="116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Scheduled Vesting of the Option</w:t>
      </w:r>
      <w:r>
        <w:rPr>
          <w:rFonts w:ascii="Times New Roman" w:cs="Times New Roman" w:eastAsia="Times New Roman" w:hAnsi="Times New Roman"/>
          <w:sz w:val="18"/>
          <w:szCs w:val="18"/>
          <w:color w:val="auto"/>
        </w:rPr>
        <w:t>. Subject to the Participant’s continued Service to the Company through the applicable vesting date, the Option shall vest in equal installments on each of the first four (4) anniversaries of the Date of Grant, such that twenty-five percent (25%) of the Option vests on each such anniversary. At any time, the portion of the Option which has become vested in accordance with the terms hereof shall be called the “</w:t>
      </w:r>
      <w:r>
        <w:rPr>
          <w:rFonts w:ascii="Times New Roman" w:cs="Times New Roman" w:eastAsia="Times New Roman" w:hAnsi="Times New Roman"/>
          <w:sz w:val="18"/>
          <w:szCs w:val="18"/>
          <w:b w:val="1"/>
          <w:bCs w:val="1"/>
          <w:color w:val="auto"/>
        </w:rPr>
        <w:t>Vested Portion</w:t>
      </w:r>
      <w:r>
        <w:rPr>
          <w:rFonts w:ascii="Times New Roman" w:cs="Times New Roman" w:eastAsia="Times New Roman" w:hAnsi="Times New Roman"/>
          <w:sz w:val="18"/>
          <w:szCs w:val="18"/>
          <w:color w:val="auto"/>
        </w:rPr>
        <w:t>”. To the extent the Option has not already been exercised and has not expired or been terminated or cancelled, the Participant or the person otherwise entitled to exercise the Option as provided in this Agreement may at any time during the Option Term purchase all or any portion of the Shares subject to the vested portion of the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9" w:name="page110"/>
    <w:bookmarkEnd w:id="109"/>
    <w:p>
      <w:pPr>
        <w:jc w:val="both"/>
        <w:ind w:right="20" w:firstLine="980"/>
        <w:spacing w:after="0" w:line="257" w:lineRule="auto"/>
        <w:tabs>
          <w:tab w:leader="none" w:pos="1287"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Acceleration of Vesting Upon Termination following a Change in Control</w:t>
      </w:r>
      <w:r>
        <w:rPr>
          <w:rFonts w:ascii="Times New Roman" w:cs="Times New Roman" w:eastAsia="Times New Roman" w:hAnsi="Times New Roman"/>
          <w:sz w:val="18"/>
          <w:szCs w:val="18"/>
          <w:color w:val="auto"/>
        </w:rPr>
        <w:t xml:space="preserve">. Notwithstanding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(i) in the event of a Change in Control, the provisions of Section 12 of the Plan shall apply except as specifically provided herein, and (ii) in the event of (1) Participant’s Qualifying Termination (as defined under the CIC Policy) or (2) a termination of Participant’s Service by the Company or any Affiliate without Cause within the one</w:t>
      </w:r>
    </w:p>
    <w:p>
      <w:pPr>
        <w:spacing w:after="0" w:line="1" w:lineRule="exact"/>
        <w:rPr>
          <w:rFonts w:ascii="Times New Roman" w:cs="Times New Roman" w:eastAsia="Times New Roman" w:hAnsi="Times New Roman"/>
          <w:sz w:val="18"/>
          <w:szCs w:val="18"/>
          <w:color w:val="auto"/>
        </w:rPr>
      </w:pPr>
    </w:p>
    <w:p>
      <w:pPr>
        <w:jc w:val="both"/>
        <w:ind w:firstLine="8"/>
        <w:spacing w:after="0" w:line="253" w:lineRule="auto"/>
        <w:tabs>
          <w:tab w:leader="none" w:pos="28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period following a Change in Control, the Option shall immediately vest and become exercisable in full as of the date of such Qualifying Termination or termination of Participant’s Service, as applicable, and shall remain exercisable until the earlier of (x) one (1) year following such Qualifying Termination or termination of Service, as applicable, and (y) the expiration of the Option Term. In addition, vesting and exercisability of this Option may be accelerated during the term of the Option under the circumstances described in Sections 12(b)(2) of the Plan.</w:t>
      </w:r>
    </w:p>
    <w:p>
      <w:pPr>
        <w:spacing w:after="0" w:line="18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4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for Cause</w:t>
      </w:r>
      <w:r>
        <w:rPr>
          <w:rFonts w:ascii="Times New Roman" w:cs="Times New Roman" w:eastAsia="Times New Roman" w:hAnsi="Times New Roman"/>
          <w:sz w:val="18"/>
          <w:szCs w:val="18"/>
          <w:color w:val="auto"/>
        </w:rPr>
        <w:t>. Upon a termination of the Participant’s Service by the Company for Cause, the Option, including the Vested Portion, shall immediately terminate and be forfeited without consideration.</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1"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for Normal Retirement</w:t>
      </w:r>
      <w:r>
        <w:rPr>
          <w:rFonts w:ascii="Times New Roman" w:cs="Times New Roman" w:eastAsia="Times New Roman" w:hAnsi="Times New Roman"/>
          <w:sz w:val="18"/>
          <w:szCs w:val="18"/>
          <w:color w:val="auto"/>
        </w:rPr>
        <w:t xml:space="preserve">. Upon a termination of the Participant’s Service by reason of Normal Retirement, any unvested portion of the Option shall continue to vest during the period beginning on the last date of the Participant’s employment with the Company and ending on the earlier of (i) one year (two years, if at least six (6) months’ notice of Normal Retirement is provided) following such last date of employment and (ii) the expiration of the Option Term, and any portion so vested shall remain exercisable until the earlier of (i) the end of such one (or two) year period following the last date of employment and (ii) the expiration of the Option Term. However, any unvested portion of an Option issued within six (6) months of this Agreement, as of the Participant’s last date of employment, shall be forfeited. Any Vested Portion as of the last date of employment as contemplated by this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shall remain exercisable until the earlier of (i) one year following such termination of Service and (ii) the expiration of the Option Term. “</w:t>
      </w:r>
      <w:r>
        <w:rPr>
          <w:rFonts w:ascii="Times New Roman" w:cs="Times New Roman" w:eastAsia="Times New Roman" w:hAnsi="Times New Roman"/>
          <w:sz w:val="18"/>
          <w:szCs w:val="18"/>
          <w:b w:val="1"/>
          <w:bCs w:val="1"/>
          <w:color w:val="auto"/>
        </w:rPr>
        <w:t>Normal Retirement</w:t>
      </w:r>
      <w:r>
        <w:rPr>
          <w:rFonts w:ascii="Times New Roman" w:cs="Times New Roman" w:eastAsia="Times New Roman" w:hAnsi="Times New Roman"/>
          <w:sz w:val="18"/>
          <w:szCs w:val="18"/>
          <w:color w:val="auto"/>
        </w:rPr>
        <w:t>” shall mean a voluntary termination of employment or service by a Participant who has attained at least sixty (60) years of age and has at least fifteen (15) years of service to the Company or any of its Affiliates.</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for death or Disability</w:t>
      </w:r>
      <w:r>
        <w:rPr>
          <w:rFonts w:ascii="Times New Roman" w:cs="Times New Roman" w:eastAsia="Times New Roman" w:hAnsi="Times New Roman"/>
          <w:sz w:val="18"/>
          <w:szCs w:val="18"/>
          <w:color w:val="auto"/>
        </w:rPr>
        <w:t>. Upon a termination of the Participant’s Service by reason of death or Disability, any unvested portion of the Option shall vest as of the termination of Service and the Option shall remain exercisable until the earlier of (i) one year following such termination of Service and (ii) the expiration of the Option Term.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10" w:name="page111"/>
    <w:bookmarkEnd w:id="110"/>
    <w:p>
      <w:pPr>
        <w:jc w:val="both"/>
        <w:ind w:firstLine="1304"/>
        <w:spacing w:after="0" w:line="261" w:lineRule="auto"/>
        <w:tabs>
          <w:tab w:leader="none" w:pos="1551"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Terminations of Service. Upon a termination of the Participant’s Service for any reason, other than as contemplated by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xml:space="preserve"> , 6</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6(c)</w:t>
      </w:r>
      <w:r>
        <w:rPr>
          <w:rFonts w:ascii="Times New Roman" w:cs="Times New Roman" w:eastAsia="Times New Roman" w:hAnsi="Times New Roman"/>
          <w:sz w:val="18"/>
          <w:szCs w:val="18"/>
          <w:color w:val="auto"/>
        </w:rPr>
        <w:t xml:space="preserve">, above, any unvested portion of the Option shall immediately terminate and be forfeited without consideration. Any Vested Portion as of the date of a termination of Service contemplated by this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xml:space="preserve"> shall remain exercisable until the earlier of (i) ninety (90) days following such termination of Service and (ii) the expiration of the Option Term.</w:t>
      </w:r>
    </w:p>
    <w:p>
      <w:pPr>
        <w:spacing w:after="0" w:line="17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Procedures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the Participant or the Participant’s representative may exercise the Vested Portion or any part thereof prior to the expiration of the Option Term by giving written notice to the Company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 Exercise</w:t>
      </w:r>
      <w:r>
        <w:rPr>
          <w:rFonts w:ascii="Times New Roman" w:cs="Times New Roman" w:eastAsia="Times New Roman" w:hAnsi="Times New Roman"/>
          <w:sz w:val="18"/>
          <w:szCs w:val="18"/>
          <w:color w:val="auto"/>
        </w:rPr>
        <w:t>”). The Notice of Exercise shall be signed by the person exercising such Option. In the event that such Option is being exercised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Participant’s representative, the Notice of Exercise shall be accompanied by proof (satisfactory to the Company) of such representative’s right to exercise such Option. In the event the Option is being exercised following the termination of the Participant’s Service, exercise shall be subject to the Participant’s execution on or after the termination date of an effective general release and waiver of all claims against the Company, its Affiliates and their respective officers and directors, substantially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The Participant or the Participant’s representative shall deliver to the Company, at the time the Notice of Exercise is given, payment in a form permissible under Section 7 of the Plan for the full amount of the aggregate Exercise Price for the exercised Option.</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Shares</w:t>
      </w:r>
      <w:r>
        <w:rPr>
          <w:rFonts w:ascii="Times New Roman" w:cs="Times New Roman" w:eastAsia="Times New Roman" w:hAnsi="Times New Roman"/>
          <w:sz w:val="18"/>
          <w:szCs w:val="18"/>
          <w:color w:val="auto"/>
        </w:rPr>
        <w:t xml:space="preserve">. Provided the Company receives a properly completed and executed Notice of Exercise and has determined that all other conditions to exercise, including satisfaction of withholding tax obligations and compliance with applicable laws as provided in Section 16(c) of the Plan, have been satisfied, payment for the full amount of the aggregate Exercise Price, and, if applicable, an effective release and waiver of all claims as required by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the Company shall promptly cause to be issued certificates for the Shares underlying the exercised Option, registered in the name of the Person exercising the applicable Option, as evidenced by issuance of a stock certificate or certificates, electronic delivery of such Shares to a brokerage account of such person, or book-entry registration of such Shares with the Company’s transfer agent. The Company shall pay any original issue or transfer taxes with respect to the issue or transfer of the Shares and all fees and expenses incurred by it in connection therewith. All Shares so issued shall be fully paid and nonassessable.</w:t>
      </w:r>
    </w:p>
    <w:p>
      <w:pPr>
        <w:spacing w:after="0" w:line="191" w:lineRule="exact"/>
        <w:rPr>
          <w:rFonts w:ascii="Times New Roman" w:cs="Times New Roman" w:eastAsia="Times New Roman" w:hAnsi="Times New Roman"/>
          <w:sz w:val="18"/>
          <w:szCs w:val="18"/>
          <w:color w:val="auto"/>
        </w:rPr>
      </w:pPr>
    </w:p>
    <w:p>
      <w:pPr>
        <w:jc w:val="both"/>
        <w:ind w:firstLine="980"/>
        <w:spacing w:after="0" w:line="266" w:lineRule="auto"/>
        <w:tabs>
          <w:tab w:leader="none" w:pos="115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Covenant Agreement</w:t>
      </w:r>
      <w:r>
        <w:rPr>
          <w:rFonts w:ascii="Times New Roman" w:cs="Times New Roman" w:eastAsia="Times New Roman" w:hAnsi="Times New Roman"/>
          <w:sz w:val="18"/>
          <w:szCs w:val="18"/>
          <w:color w:val="auto"/>
        </w:rPr>
        <w:t>. The Participant and the Company may have previously entered into a restrictive covenant agreement. If applicable, Participant hereby reaffirms their obligations under such restrictive covenant agreement and nothing contained in this Agreement shall cancel, change or modify Participant’s obligations thereunder.</w:t>
      </w:r>
    </w:p>
    <w:p>
      <w:pPr>
        <w:spacing w:after="0" w:line="175" w:lineRule="exact"/>
        <w:rPr>
          <w:rFonts w:ascii="Times New Roman" w:cs="Times New Roman" w:eastAsia="Times New Roman" w:hAnsi="Times New Roman"/>
          <w:sz w:val="18"/>
          <w:szCs w:val="18"/>
          <w:color w:val="auto"/>
        </w:rPr>
      </w:pPr>
    </w:p>
    <w:p>
      <w:pPr>
        <w:jc w:val="both"/>
        <w:ind w:firstLine="980"/>
        <w:spacing w:after="0" w:line="261" w:lineRule="auto"/>
        <w:tabs>
          <w:tab w:leader="none" w:pos="119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xml:space="preserve">. The Participant, while providing Service to the Company and thereafter, shall not make any oral or written communication to any Person that disparages, or has the effect of damaging the reputation of, the Company, the Affiliates or their respective directors, officers, agents, employees, former employees, representatives or stockholders;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nothing in the foregoing shall preclude the Participant from disclosing any information to Participant’s attorney or in response to a lawful subpoena or court order requiring disclosure of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-4700270</wp:posOffset>
            </wp:positionV>
            <wp:extent cx="49466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6">
                      <a:extLst>
                        <a:ext uri="{28A0092B-C50C-407E-A947-70E740481C1C}"/>
                      </a:extLst>
                    </a:blip>
                    <a:srcRect/>
                    <a:stretch>
                      <a:fillRect/>
                    </a:stretch>
                  </pic:blipFill>
                  <pic:spPr bwMode="auto">
                    <a:xfrm>
                      <a:off x="0" y="0"/>
                      <a:ext cx="494665" cy="8255"/>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1" w:name="page112"/>
    <w:bookmarkEnd w:id="111"/>
    <w:p>
      <w:pPr>
        <w:jc w:val="both"/>
        <w:ind w:firstLine="980"/>
        <w:spacing w:after="0" w:line="266" w:lineRule="auto"/>
        <w:tabs>
          <w:tab w:leader="none" w:pos="125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Shares</w:t>
      </w:r>
      <w:r>
        <w:rPr>
          <w:rFonts w:ascii="Times New Roman" w:cs="Times New Roman" w:eastAsia="Times New Roman" w:hAnsi="Times New Roman"/>
          <w:sz w:val="18"/>
          <w:szCs w:val="18"/>
          <w:color w:val="auto"/>
        </w:rPr>
        <w:t>. In the event of any corporate event or transaction (as described in Section 12(a) of the Plan), the terms of this Agreement (including, without limitation, the number and kind of Shares subject to this Agreement and the Exercise Price) may be adjusted as set forth in Section 12(a) of the Plan.</w:t>
      </w:r>
    </w:p>
    <w:p>
      <w:pPr>
        <w:spacing w:after="0" w:line="175" w:lineRule="exact"/>
        <w:rPr>
          <w:rFonts w:ascii="Times New Roman" w:cs="Times New Roman" w:eastAsia="Times New Roman" w:hAnsi="Times New Roman"/>
          <w:sz w:val="18"/>
          <w:szCs w:val="18"/>
          <w:color w:val="auto"/>
        </w:rPr>
      </w:pPr>
    </w:p>
    <w:p>
      <w:pPr>
        <w:jc w:val="both"/>
        <w:ind w:firstLine="980"/>
        <w:spacing w:after="0" w:line="266" w:lineRule="auto"/>
        <w:tabs>
          <w:tab w:leader="none" w:pos="124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Continued Service</w:t>
      </w:r>
      <w:r>
        <w:rPr>
          <w:rFonts w:ascii="Times New Roman" w:cs="Times New Roman" w:eastAsia="Times New Roman" w:hAnsi="Times New Roman"/>
          <w:sz w:val="18"/>
          <w:szCs w:val="18"/>
          <w:color w:val="auto"/>
        </w:rPr>
        <w:t>. The granting of the Option evidenced hereby and this Agreement shall impose no obligation on the Company or any Affiliate to continue the Service of the Participant and shall not lessen or affect any right that the Company or any Affiliate may have to terminate the Service of such Participant.</w:t>
      </w:r>
    </w:p>
    <w:p>
      <w:pPr>
        <w:spacing w:after="0" w:line="175" w:lineRule="exact"/>
        <w:rPr>
          <w:rFonts w:ascii="Times New Roman" w:cs="Times New Roman" w:eastAsia="Times New Roman" w:hAnsi="Times New Roman"/>
          <w:sz w:val="18"/>
          <w:szCs w:val="18"/>
          <w:color w:val="auto"/>
        </w:rPr>
      </w:pPr>
    </w:p>
    <w:p>
      <w:pPr>
        <w:jc w:val="both"/>
        <w:ind w:firstLine="980"/>
        <w:spacing w:after="0" w:line="254" w:lineRule="auto"/>
        <w:tabs>
          <w:tab w:leader="none" w:pos="124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Laws/Legend on Certificates</w:t>
      </w:r>
      <w:r>
        <w:rPr>
          <w:rFonts w:ascii="Times New Roman" w:cs="Times New Roman" w:eastAsia="Times New Roman" w:hAnsi="Times New Roman"/>
          <w:sz w:val="18"/>
          <w:szCs w:val="18"/>
          <w:color w:val="auto"/>
        </w:rPr>
        <w:t>. The issuance and delivery of Shares shall comply with Section 16(c) of the Plan (or be exempt from) all applicable requirements of law, including (without limitation) the Securities Act of 1933, as amended, the rules and regulations promulgated thereunder, state securities laws and regulations, and the regulations of any stock exchange or other securities market on which the Company’s securities may then be traded. The Company shall not be obligated to file any registration statement under any applicable securities laws to permit the purchase or issuance of any Shares under the Plan or Awards, and accordingly any certificates for Shares or documents granting Awards may have an appropriate legend or statement of applicable restrictions endorsed thereon. If the Company deems it necessary to ensure that the issuance of Shares under the Plan is not required to be registered under any applicable securities laws, each Participant to whom such Shares would be issued shall deliver to the Company an agreement or certificate containing such representations, warranties and covenants as the Company may reasonably request which satisfies such requirements.</w:t>
      </w:r>
    </w:p>
    <w:p>
      <w:pPr>
        <w:spacing w:after="0" w:line="188" w:lineRule="exact"/>
        <w:rPr>
          <w:rFonts w:ascii="Times New Roman" w:cs="Times New Roman" w:eastAsia="Times New Roman" w:hAnsi="Times New Roman"/>
          <w:sz w:val="18"/>
          <w:szCs w:val="18"/>
          <w:color w:val="auto"/>
        </w:rPr>
      </w:pPr>
    </w:p>
    <w:p>
      <w:pPr>
        <w:jc w:val="both"/>
        <w:ind w:firstLine="980"/>
        <w:spacing w:after="0" w:line="255" w:lineRule="auto"/>
        <w:tabs>
          <w:tab w:leader="none" w:pos="126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xml:space="preserve">. Unless otherwise provided by the Committee, the Option may not be assigned, alienated, pledged, attached, sold or otherwise transferred or encumbered by the Participant other than by will or by the laws of descent and distribution, and any such purported assignment, alienation, pledge, attachment, sale, transfer or encumbrance shall be void and unenforceable against the Company or any Affiliate;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the designation of a beneficiary shall not constitute an assignment, alienation, pledge, attachment, sale, transfer or encumbrance. No such permitted transfer of the Option to heirs or legatees of the Participant shall be effective to bind the Company unless the Committee shall have been furnished with written notice thereof and a copy of such evidence as the Committee may deem necessary to establish the validity of the transfer and the acceptance by the transferee or transferees of the terms and conditions hereof. During the Participant’s lifetime, the Option is exercisable only by the Participant.</w:t>
      </w:r>
    </w:p>
    <w:p>
      <w:pPr>
        <w:spacing w:after="0" w:line="188" w:lineRule="exact"/>
        <w:rPr>
          <w:rFonts w:ascii="Times New Roman" w:cs="Times New Roman" w:eastAsia="Times New Roman" w:hAnsi="Times New Roman"/>
          <w:sz w:val="18"/>
          <w:szCs w:val="18"/>
          <w:color w:val="auto"/>
        </w:rPr>
      </w:pPr>
    </w:p>
    <w:p>
      <w:pPr>
        <w:jc w:val="both"/>
        <w:ind w:firstLine="980"/>
        <w:spacing w:after="0" w:line="266" w:lineRule="auto"/>
        <w:tabs>
          <w:tab w:leader="none" w:pos="124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Participant may be required to pay to the Company or any Affiliate and the Company shall have the right and is hereby authorized to withhold, any applicable withholding taxes in respect of the Option, its exercise or transfer and to take such other action as may be necessary in the opinion of the Committee to satisfy all obligations for the payment of such withholding taxes.</w:t>
      </w:r>
    </w:p>
    <w:p>
      <w:pPr>
        <w:spacing w:after="0" w:line="175" w:lineRule="exact"/>
        <w:rPr>
          <w:rFonts w:ascii="Times New Roman" w:cs="Times New Roman" w:eastAsia="Times New Roman" w:hAnsi="Times New Roman"/>
          <w:sz w:val="18"/>
          <w:szCs w:val="18"/>
          <w:color w:val="auto"/>
        </w:rPr>
      </w:pPr>
    </w:p>
    <w:p>
      <w:pPr>
        <w:jc w:val="both"/>
        <w:ind w:firstLine="980"/>
        <w:spacing w:after="0" w:line="261" w:lineRule="auto"/>
        <w:tabs>
          <w:tab w:leader="none" w:pos="125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notification required by the terms of this Award Agreement shall be given in writing and shall be deemed effective upon personal delivery or within three (3) days of deposit with the United States Postal Service, by registered or certified mail, with postage and fees prepaid. A notice shall be addressed to the Company, Attention: General Counsel, at its principal executive office and to the Participant at the address that he or she most recently provided to the Company.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2" w:name="page113"/>
    <w:bookmarkEnd w:id="112"/>
    <w:p>
      <w:pPr>
        <w:jc w:val="both"/>
        <w:ind w:firstLine="980"/>
        <w:spacing w:after="0" w:line="258" w:lineRule="auto"/>
        <w:tabs>
          <w:tab w:leader="none" w:pos="124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the details of the award on the Participant’s online award acceptance page of the Administrator, the terms of the Mandatory Clawback Policy and Supplemental Clawback policy, as amended from time to time, if applicable, and the Plan constitute the entire contract between the parties hereto with regard to the subject matter hereof. They supersede any other agreements, representations or understandings (whether oral or written and whether express or implied) which relate to the subject matter hereof; however if any term in either the Mandatory Clawback Policy or Supplemental Clawback Policy are contrary to any term contained herein, the terms of such policies shall prevail</w:t>
      </w:r>
    </w:p>
    <w:p>
      <w:pPr>
        <w:spacing w:after="0" w:line="183" w:lineRule="exact"/>
        <w:rPr>
          <w:rFonts w:ascii="Times New Roman" w:cs="Times New Roman" w:eastAsia="Times New Roman" w:hAnsi="Times New Roman"/>
          <w:sz w:val="18"/>
          <w:szCs w:val="18"/>
          <w:color w:val="auto"/>
        </w:rPr>
      </w:pPr>
    </w:p>
    <w:p>
      <w:pPr>
        <w:ind w:firstLine="980"/>
        <w:spacing w:after="0" w:line="282" w:lineRule="auto"/>
        <w:tabs>
          <w:tab w:leader="none" w:pos="12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of any breach or condition of this Agreement shall be deemed to be a waiver of any other or subsequent breach or condition whether of like or different nature.</w:t>
      </w:r>
    </w:p>
    <w:p>
      <w:pPr>
        <w:spacing w:after="0" w:line="161" w:lineRule="exact"/>
        <w:rPr>
          <w:rFonts w:ascii="Times New Roman" w:cs="Times New Roman" w:eastAsia="Times New Roman" w:hAnsi="Times New Roman"/>
          <w:sz w:val="18"/>
          <w:szCs w:val="18"/>
          <w:color w:val="auto"/>
        </w:rPr>
      </w:pPr>
    </w:p>
    <w:p>
      <w:pPr>
        <w:jc w:val="both"/>
        <w:ind w:firstLine="980"/>
        <w:spacing w:after="0" w:line="289" w:lineRule="auto"/>
        <w:tabs>
          <w:tab w:leader="none" w:pos="1269"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The provisions of this Agreement shall inure to the benefit of, and be binding upon, the Company and its successors and assigns and upon the Participant, the Participant’s assigns and the legal representatives, heirs and legatees of the Participant’s estate, whether or not any such person shall have become a party to this Agreement and have agreed in writing to be joined herein and be bound by the terms hereof.</w:t>
      </w:r>
    </w:p>
    <w:p>
      <w:pPr>
        <w:spacing w:after="0" w:line="157" w:lineRule="exact"/>
        <w:rPr>
          <w:rFonts w:ascii="Times New Roman" w:cs="Times New Roman" w:eastAsia="Times New Roman" w:hAnsi="Times New Roman"/>
          <w:sz w:val="17"/>
          <w:szCs w:val="17"/>
          <w:color w:val="auto"/>
        </w:rPr>
      </w:pPr>
    </w:p>
    <w:p>
      <w:pPr>
        <w:jc w:val="both"/>
        <w:ind w:firstLine="980"/>
        <w:spacing w:after="0" w:line="266" w:lineRule="auto"/>
        <w:tabs>
          <w:tab w:leader="none" w:pos="124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w:t>
      </w:r>
      <w:r>
        <w:rPr>
          <w:rFonts w:ascii="Times New Roman" w:cs="Times New Roman" w:eastAsia="Times New Roman" w:hAnsi="Times New Roman"/>
          <w:sz w:val="18"/>
          <w:szCs w:val="18"/>
          <w:color w:val="auto"/>
        </w:rPr>
        <w:t>. This Agreement shall be governed by the law of the State of Delaware (regardless of the laws that might otherwise govern under applicable Delaware principles of conflicts of law) as to all matters, including but not limited to matters of validity, construction, effect, performance and remedies.</w:t>
      </w:r>
    </w:p>
    <w:p>
      <w:pPr>
        <w:spacing w:after="0" w:line="175" w:lineRule="exact"/>
        <w:rPr>
          <w:rFonts w:ascii="Times New Roman" w:cs="Times New Roman" w:eastAsia="Times New Roman" w:hAnsi="Times New Roman"/>
          <w:sz w:val="18"/>
          <w:szCs w:val="18"/>
          <w:color w:val="auto"/>
        </w:rPr>
      </w:pPr>
    </w:p>
    <w:p>
      <w:pPr>
        <w:jc w:val="both"/>
        <w:ind w:firstLine="980"/>
        <w:spacing w:after="0" w:line="261" w:lineRule="auto"/>
        <w:tabs>
          <w:tab w:leader="none" w:pos="12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Subject to Plan</w:t>
      </w:r>
      <w:r>
        <w:rPr>
          <w:rFonts w:ascii="Times New Roman" w:cs="Times New Roman" w:eastAsia="Times New Roman" w:hAnsi="Times New Roman"/>
          <w:sz w:val="18"/>
          <w:szCs w:val="18"/>
          <w:color w:val="auto"/>
        </w:rPr>
        <w:t>. By entering into this Agreement, the Participant agrees and acknowledges that the Participant has received and read a copy of the Plan. The Option is subject to the Plan.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w:t>
      </w:r>
    </w:p>
    <w:p>
      <w:pPr>
        <w:spacing w:after="0" w:line="179" w:lineRule="exact"/>
        <w:rPr>
          <w:rFonts w:ascii="Times New Roman" w:cs="Times New Roman" w:eastAsia="Times New Roman" w:hAnsi="Times New Roman"/>
          <w:sz w:val="18"/>
          <w:szCs w:val="18"/>
          <w:color w:val="auto"/>
        </w:rPr>
      </w:pPr>
    </w:p>
    <w:p>
      <w:pPr>
        <w:jc w:val="both"/>
        <w:ind w:firstLine="980"/>
        <w:spacing w:after="0" w:line="261" w:lineRule="auto"/>
        <w:tabs>
          <w:tab w:leader="none" w:pos="12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Guarantees Regarding Tax Treatment</w:t>
      </w:r>
      <w:r>
        <w:rPr>
          <w:rFonts w:ascii="Times New Roman" w:cs="Times New Roman" w:eastAsia="Times New Roman" w:hAnsi="Times New Roman"/>
          <w:sz w:val="18"/>
          <w:szCs w:val="18"/>
          <w:color w:val="auto"/>
        </w:rPr>
        <w:t>. The Participant (or their beneficiaries) shall be responsible for all taxes with respect to the Option. The Committee and the Company make no guarantees regarding the tax treatment of the Option. Neither the Committee nor the Company has any obligation to take any action to prevent the assessment of any tax under Section 409A of the Code or Section 457A of the Code or otherwise and none of the Company, any Affiliate, or any of their employees or representatives shall have any liability to the Participant with respect thereto.</w:t>
      </w:r>
    </w:p>
    <w:p>
      <w:pPr>
        <w:spacing w:after="0" w:line="179" w:lineRule="exact"/>
        <w:rPr>
          <w:rFonts w:ascii="Times New Roman" w:cs="Times New Roman" w:eastAsia="Times New Roman" w:hAnsi="Times New Roman"/>
          <w:sz w:val="18"/>
          <w:szCs w:val="18"/>
          <w:color w:val="auto"/>
        </w:rPr>
      </w:pPr>
    </w:p>
    <w:p>
      <w:pPr>
        <w:ind w:firstLine="980"/>
        <w:spacing w:after="0" w:line="282" w:lineRule="auto"/>
        <w:tabs>
          <w:tab w:leader="none" w:pos="124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The Committee, or the CEO, may amend or alter this Agreement and the Option granted hereunder at any time, subject to the terms of the Plan.</w:t>
      </w:r>
    </w:p>
    <w:p>
      <w:pPr>
        <w:spacing w:after="0" w:line="161" w:lineRule="exact"/>
        <w:rPr>
          <w:rFonts w:ascii="Times New Roman" w:cs="Times New Roman" w:eastAsia="Times New Roman" w:hAnsi="Times New Roman"/>
          <w:sz w:val="18"/>
          <w:szCs w:val="18"/>
          <w:color w:val="auto"/>
        </w:rPr>
      </w:pPr>
    </w:p>
    <w:p>
      <w:pPr>
        <w:ind w:firstLine="980"/>
        <w:spacing w:after="0" w:line="282" w:lineRule="auto"/>
        <w:tabs>
          <w:tab w:leader="none" w:pos="124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3" w:name="page114"/>
    <w:bookmarkEnd w:id="113"/>
    <w:p>
      <w:pPr>
        <w:jc w:val="both"/>
        <w:ind w:firstLine="980"/>
        <w:spacing w:after="0" w:line="256" w:lineRule="auto"/>
        <w:tabs>
          <w:tab w:leader="none" w:pos="124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Signature in Counterparts</w:t>
      </w:r>
      <w:r>
        <w:rPr>
          <w:rFonts w:ascii="Times New Roman" w:cs="Times New Roman" w:eastAsia="Times New Roman" w:hAnsi="Times New Roman"/>
          <w:sz w:val="18"/>
          <w:szCs w:val="18"/>
          <w:color w:val="auto"/>
        </w:rPr>
        <w:t>. The grant of Options is subject to Participant’s acceptance of the terms and conditions of this Agreement. By clicking the acknowledgment button, Participant indicates he or she (1) has been provided access to a copy of the Plan, (2) has had the opportunity to obtain independent legal advice prior to accepting the grant, (3) has read this Agreement, (4) agrees fully to the terms of the Agreement and (5) has consented to receive all applicable documentation by electronic delivery and to participate in the Plan through an on-line (and/or voice activated) system established and maintained by the Company or the Company’s third-party stock plan administrator. The Participant also acknowledges that all decisions, determinations and interpretations of the Committee in respect of the Plan, this Agreement and the Options shall be final and conclusive.</w:t>
      </w:r>
    </w:p>
    <w:p>
      <w:pPr>
        <w:spacing w:after="0" w:line="187" w:lineRule="exact"/>
        <w:rPr>
          <w:rFonts w:ascii="Times New Roman" w:cs="Times New Roman" w:eastAsia="Times New Roman" w:hAnsi="Times New Roman"/>
          <w:sz w:val="18"/>
          <w:szCs w:val="18"/>
          <w:color w:val="auto"/>
        </w:rPr>
      </w:pPr>
    </w:p>
    <w:p>
      <w:pPr>
        <w:jc w:val="both"/>
        <w:ind w:firstLine="980"/>
        <w:spacing w:after="0" w:line="256" w:lineRule="auto"/>
        <w:tabs>
          <w:tab w:leader="none" w:pos="126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Recovery</w:t>
      </w:r>
      <w:r>
        <w:rPr>
          <w:rFonts w:ascii="Times New Roman" w:cs="Times New Roman" w:eastAsia="Times New Roman" w:hAnsi="Times New Roman"/>
          <w:sz w:val="18"/>
          <w:szCs w:val="18"/>
          <w:color w:val="auto"/>
        </w:rPr>
        <w:t xml:space="preserve">. In addition to those provisions in </w:t>
      </w:r>
      <w:r>
        <w:rPr>
          <w:rFonts w:ascii="Times New Roman" w:cs="Times New Roman" w:eastAsia="Times New Roman" w:hAnsi="Times New Roman"/>
          <w:sz w:val="18"/>
          <w:szCs w:val="18"/>
          <w:u w:val="single" w:color="auto"/>
          <w:color w:val="auto"/>
        </w:rPr>
        <w:t>Sections 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 to the extent that this Award and any compensation associated therewith is considered “incentive- based compensation” within the meaning and subject to the requirements of Section 10D of the Exchange Act, this Award and any compensation associated therewith shall be subject to potential forfeiture or recovery by the Company in accordance with any compensation recovery policy adopted by the Board or the Committee in response to the requirements of Section 10D of the Exchange Act and any implementing rules and regulations thereunder adopted by the Securities and Exchange Commission or any national securities exchange on which the Company’s Shares are then listed. This Agreement may be unilaterally amended by the Committee to comply with any such compensation recovery policy.</w:t>
      </w:r>
    </w:p>
    <w:p>
      <w:pPr>
        <w:spacing w:after="0" w:line="187" w:lineRule="exact"/>
        <w:rPr>
          <w:rFonts w:ascii="Times New Roman" w:cs="Times New Roman" w:eastAsia="Times New Roman" w:hAnsi="Times New Roman"/>
          <w:sz w:val="18"/>
          <w:szCs w:val="18"/>
          <w:color w:val="auto"/>
        </w:rPr>
      </w:pPr>
    </w:p>
    <w:p>
      <w:pPr>
        <w:jc w:val="both"/>
        <w:ind w:firstLine="980"/>
        <w:spacing w:after="0" w:line="254" w:lineRule="auto"/>
        <w:tabs>
          <w:tab w:leader="none" w:pos="124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w:t>
      </w:r>
      <w:r>
        <w:rPr>
          <w:rFonts w:ascii="Times New Roman" w:cs="Times New Roman" w:eastAsia="Times New Roman" w:hAnsi="Times New Roman"/>
          <w:sz w:val="18"/>
          <w:szCs w:val="18"/>
          <w:color w:val="auto"/>
        </w:rPr>
        <w:t>. Notwithstanding anything to the contrary in this Agreement, if the Participant’s Service is terminated for Cause, or if, during the term of the Participant’s Service with the Company and its Affiliates and for one year after such Service ends (or such longer period as specified in the Participant’s Restrictive Covenant Agreement, if applicable, or following the Participant’s Normal Retirement and prior to the Scheduled Vesting Date) (the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xml:space="preserve">”), the Participant breaches any of the restrictive covenants contained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then (i) the Participant shall immediately forfeit this Award and any right to receive Options that have not yet been issued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(ii) all outstanding but not-yet-exercised Options shall be canceled, and (iii) with respect to Shares that have been issued pursuant to this Award, either (A) the Participant shall return such Shares to the Company, or (B) the Participant shall pay to the Company in cash an amount equal to the Fair Market Value of such Shares as of their date of issuance pursuant to this Agreement.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440" w:type="dxa"/>
            <w:vAlign w:val="bottom"/>
          </w:tcPr>
          <w:p>
            <w:pPr>
              <w:jc w:val="center"/>
              <w:ind w:right="1810"/>
              <w:spacing w:after="0"/>
              <w:rPr>
                <w:sz w:val="20"/>
                <w:szCs w:val="20"/>
                <w:color w:val="auto"/>
              </w:rPr>
            </w:pPr>
            <w:r>
              <w:rPr>
                <w:rFonts w:ascii="Times New Roman" w:cs="Times New Roman" w:eastAsia="Times New Roman" w:hAnsi="Times New Roman"/>
                <w:sz w:val="18"/>
                <w:szCs w:val="18"/>
                <w:b w:val="1"/>
                <w:bCs w:val="1"/>
                <w:color w:val="auto"/>
                <w:w w:val="99"/>
              </w:rPr>
              <w:t>EXHIBIT A</w:t>
            </w:r>
          </w:p>
        </w:tc>
      </w:tr>
      <w:tr>
        <w:trPr>
          <w:trHeight w:val="432"/>
        </w:trPr>
        <w:tc>
          <w:tcPr>
            <w:tcW w:w="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440" w:type="dxa"/>
            <w:vAlign w:val="bottom"/>
          </w:tcPr>
          <w:p>
            <w:pPr>
              <w:jc w:val="center"/>
              <w:ind w:right="1830"/>
              <w:spacing w:after="0"/>
              <w:rPr>
                <w:sz w:val="20"/>
                <w:szCs w:val="20"/>
                <w:color w:val="auto"/>
              </w:rPr>
            </w:pPr>
            <w:r>
              <w:rPr>
                <w:rFonts w:ascii="Times New Roman" w:cs="Times New Roman" w:eastAsia="Times New Roman" w:hAnsi="Times New Roman"/>
                <w:sz w:val="18"/>
                <w:szCs w:val="18"/>
                <w:b w:val="1"/>
                <w:bCs w:val="1"/>
                <w:color w:val="auto"/>
                <w:w w:val="99"/>
              </w:rPr>
              <w:t>NOTICE OF EXERCISE</w:t>
            </w:r>
          </w:p>
        </w:tc>
      </w:tr>
      <w:tr>
        <w:trPr>
          <w:trHeight w:val="414"/>
        </w:trPr>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Generac Holdings Inc.</w:t>
            </w:r>
          </w:p>
        </w:tc>
        <w:tc>
          <w:tcPr>
            <w:tcW w:w="6440" w:type="dxa"/>
            <w:vAlign w:val="bottom"/>
          </w:tcPr>
          <w:p>
            <w:pPr>
              <w:spacing w:after="0"/>
              <w:rPr>
                <w:sz w:val="24"/>
                <w:szCs w:val="24"/>
                <w:color w:val="auto"/>
              </w:rPr>
            </w:pPr>
          </w:p>
        </w:tc>
      </w:tr>
      <w:tr>
        <w:trPr>
          <w:trHeight w:val="216"/>
        </w:trPr>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S45 W29290 Hwy. 59</w:t>
            </w:r>
          </w:p>
        </w:tc>
        <w:tc>
          <w:tcPr>
            <w:tcW w:w="6440" w:type="dxa"/>
            <w:vAlign w:val="bottom"/>
          </w:tcPr>
          <w:p>
            <w:pPr>
              <w:spacing w:after="0"/>
              <w:rPr>
                <w:sz w:val="18"/>
                <w:szCs w:val="18"/>
                <w:color w:val="auto"/>
              </w:rPr>
            </w:pPr>
          </w:p>
        </w:tc>
      </w:tr>
      <w:tr>
        <w:trPr>
          <w:trHeight w:val="216"/>
        </w:trPr>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Waukesha, Wisconsin 53187</w:t>
            </w:r>
          </w:p>
        </w:tc>
        <w:tc>
          <w:tcPr>
            <w:tcW w:w="6440" w:type="dxa"/>
            <w:vAlign w:val="bottom"/>
          </w:tcPr>
          <w:p>
            <w:pPr>
              <w:spacing w:after="0"/>
              <w:rPr>
                <w:sz w:val="18"/>
                <w:szCs w:val="18"/>
                <w:color w:val="auto"/>
              </w:rPr>
            </w:pPr>
          </w:p>
        </w:tc>
      </w:tr>
      <w:tr>
        <w:trPr>
          <w:trHeight w:val="194"/>
        </w:trPr>
        <w:tc>
          <w:tcPr>
            <w:tcW w:w="3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7"/>
              </w:rPr>
              <w:t>Attn:</w:t>
            </w:r>
          </w:p>
        </w:tc>
        <w:tc>
          <w:tcPr>
            <w:tcW w:w="16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c>
          <w:tcPr>
            <w:tcW w:w="6440" w:type="dxa"/>
            <w:vAlign w:val="bottom"/>
          </w:tcPr>
          <w:p>
            <w:pPr>
              <w:ind w:left="5200"/>
              <w:spacing w:after="0" w:line="194" w:lineRule="exact"/>
              <w:rPr>
                <w:sz w:val="20"/>
                <w:szCs w:val="20"/>
                <w:color w:val="auto"/>
              </w:rPr>
            </w:pPr>
            <w:r>
              <w:rPr>
                <w:rFonts w:ascii="Times New Roman" w:cs="Times New Roman" w:eastAsia="Times New Roman" w:hAnsi="Times New Roman"/>
                <w:sz w:val="18"/>
                <w:szCs w:val="18"/>
                <w:color w:val="auto"/>
                <w:w w:val="97"/>
              </w:rPr>
              <w:t>Date of Exercise: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6252845</wp:posOffset>
            </wp:positionH>
            <wp:positionV relativeFrom="paragraph">
              <wp:posOffset>-7620</wp:posOffset>
            </wp:positionV>
            <wp:extent cx="8559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1">
                      <a:extLst>
                        <a:ext uri="{28A0092B-C50C-407E-A947-70E740481C1C}"/>
                      </a:extLst>
                    </a:blip>
                    <a:srcRect/>
                    <a:stretch>
                      <a:fillRect/>
                    </a:stretch>
                  </pic:blipFill>
                  <pic:spPr bwMode="auto">
                    <a:xfrm>
                      <a:off x="0" y="0"/>
                      <a:ext cx="85598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&amp; Gentlemen:</w:t>
      </w:r>
    </w:p>
    <w:p>
      <w:pPr>
        <w:spacing w:after="0" w:line="223" w:lineRule="exact"/>
        <w:rPr>
          <w:sz w:val="20"/>
          <w:szCs w:val="20"/>
          <w:color w:val="auto"/>
        </w:rPr>
      </w:pPr>
    </w:p>
    <w:p>
      <w:pPr>
        <w:jc w:val="both"/>
        <w:ind w:firstLine="656"/>
        <w:spacing w:after="0" w:line="261" w:lineRule="auto"/>
        <w:tabs>
          <w:tab w:leader="none" w:pos="82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Exercise of Option</w:t>
      </w:r>
      <w:r>
        <w:rPr>
          <w:rFonts w:ascii="Times New Roman" w:cs="Times New Roman" w:eastAsia="Times New Roman" w:hAnsi="Times New Roman"/>
          <w:sz w:val="18"/>
          <w:szCs w:val="18"/>
          <w:color w:val="auto"/>
        </w:rPr>
        <w:t>. This constitutes notice to Generac Holdings,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that pursuant to my Nonqualified Stock Option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(the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under the Company’s 2019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I elect to purchase the number of Shares of Company common stock set forth below and for the price set forth below. By signing and delivering this notice to the Company, I hereby acknowledge that I am the holder of the stock option (the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exercised by this notice and have full power and authority to exercise the same.</w:t>
      </w:r>
    </w:p>
    <w:p>
      <w:pPr>
        <w:spacing w:after="0" w:line="18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Date of Grant:</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Number of Shares as to</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which the Option is exercised</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Optioned Shares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Certificates to be issued in name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17145</wp:posOffset>
            </wp:positionV>
            <wp:extent cx="27686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2">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19" w:lineRule="exact"/>
        <w:rPr>
          <w:sz w:val="20"/>
          <w:szCs w:val="20"/>
          <w:color w:val="auto"/>
        </w:rPr>
      </w:pPr>
    </w:p>
    <w:p>
      <w:pPr>
        <w:ind w:left="700"/>
        <w:spacing w:after="0"/>
        <w:tabs>
          <w:tab w:leader="none" w:pos="4220" w:val="left"/>
        </w:tabs>
        <w:rPr>
          <w:sz w:val="20"/>
          <w:szCs w:val="20"/>
          <w:color w:val="auto"/>
        </w:rPr>
      </w:pPr>
      <w:r>
        <w:rPr>
          <w:rFonts w:ascii="Times New Roman" w:cs="Times New Roman" w:eastAsia="Times New Roman" w:hAnsi="Times New Roman"/>
          <w:sz w:val="18"/>
          <w:szCs w:val="18"/>
          <w:color w:val="auto"/>
        </w:rPr>
        <w:t>Total exercise price:</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17145</wp:posOffset>
            </wp:positionV>
            <wp:extent cx="266573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3">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1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auto"/>
        </w:rPr>
        <w:t>Cash Exercise</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Cash payment delivered</w:t>
      </w:r>
    </w:p>
    <w:p>
      <w:pPr>
        <w:spacing w:after="0" w:line="9" w:lineRule="exact"/>
        <w:rPr>
          <w:sz w:val="20"/>
          <w:szCs w:val="20"/>
          <w:color w:val="auto"/>
        </w:rPr>
      </w:pPr>
    </w:p>
    <w:p>
      <w:pPr>
        <w:ind w:left="700"/>
        <w:spacing w:after="0"/>
        <w:tabs>
          <w:tab w:leader="none" w:pos="4220" w:val="left"/>
        </w:tabs>
        <w:rPr>
          <w:sz w:val="20"/>
          <w:szCs w:val="20"/>
          <w:color w:val="auto"/>
        </w:rPr>
      </w:pPr>
      <w:r>
        <w:rPr>
          <w:rFonts w:ascii="Times New Roman" w:cs="Times New Roman" w:eastAsia="Times New Roman" w:hAnsi="Times New Roman"/>
          <w:sz w:val="18"/>
          <w:szCs w:val="18"/>
          <w:color w:val="auto"/>
        </w:rPr>
        <w:t>herewith:</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-1905</wp:posOffset>
            </wp:positionV>
            <wp:extent cx="266573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4">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185" w:lineRule="exact"/>
        <w:rPr>
          <w:sz w:val="20"/>
          <w:szCs w:val="20"/>
          <w:color w:val="auto"/>
        </w:rPr>
      </w:pPr>
    </w:p>
    <w:p>
      <w:pPr>
        <w:jc w:val="both"/>
        <w:ind w:right="20" w:firstLine="656"/>
        <w:spacing w:after="0" w:line="267" w:lineRule="auto"/>
        <w:tabs>
          <w:tab w:leader="none" w:pos="82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Form of Payment</w:t>
      </w:r>
      <w:r>
        <w:rPr>
          <w:rFonts w:ascii="Times New Roman" w:cs="Times New Roman" w:eastAsia="Times New Roman" w:hAnsi="Times New Roman"/>
          <w:sz w:val="18"/>
          <w:szCs w:val="18"/>
          <w:color w:val="auto"/>
        </w:rPr>
        <w:t>. Forms of payment other than cash or its equivalent (e.g. by cashier’s check) are limited by the Plan and are permissible only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extent approved by the compensation committee of the Board of Directors of the Company (the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or any committee designated thereby, in its sole discretion.</w:t>
      </w:r>
    </w:p>
    <w:p>
      <w:pPr>
        <w:spacing w:after="0" w:line="173" w:lineRule="exact"/>
        <w:rPr>
          <w:rFonts w:ascii="Times New Roman" w:cs="Times New Roman" w:eastAsia="Times New Roman" w:hAnsi="Times New Roman"/>
          <w:sz w:val="18"/>
          <w:szCs w:val="18"/>
          <w:color w:val="auto"/>
        </w:rPr>
      </w:pPr>
    </w:p>
    <w:p>
      <w:pPr>
        <w:ind w:firstLine="656"/>
        <w:spacing w:after="0" w:line="284" w:lineRule="auto"/>
        <w:tabs>
          <w:tab w:leader="none" w:pos="85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Payment</w:t>
      </w:r>
      <w:r>
        <w:rPr>
          <w:rFonts w:ascii="Times New Roman" w:cs="Times New Roman" w:eastAsia="Times New Roman" w:hAnsi="Times New Roman"/>
          <w:sz w:val="18"/>
          <w:szCs w:val="18"/>
          <w:color w:val="auto"/>
        </w:rPr>
        <w:t>. With this notice, I hereby deliver to the Company the full purchase price of the Optioned Shares and any and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withholding taxes due in connection with the exercise of my Option.</w:t>
      </w:r>
    </w:p>
    <w:p>
      <w:pPr>
        <w:spacing w:after="0" w:line="158" w:lineRule="exact"/>
        <w:rPr>
          <w:rFonts w:ascii="Times New Roman" w:cs="Times New Roman" w:eastAsia="Times New Roman" w:hAnsi="Times New Roman"/>
          <w:sz w:val="18"/>
          <w:szCs w:val="18"/>
          <w:color w:val="auto"/>
        </w:rPr>
      </w:pPr>
    </w:p>
    <w:p>
      <w:pPr>
        <w:jc w:val="both"/>
        <w:ind w:firstLine="656"/>
        <w:spacing w:after="0" w:line="261" w:lineRule="auto"/>
        <w:tabs>
          <w:tab w:leader="none" w:pos="82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Rights as Stockholder</w:t>
      </w:r>
      <w:r>
        <w:rPr>
          <w:rFonts w:ascii="Times New Roman" w:cs="Times New Roman" w:eastAsia="Times New Roman" w:hAnsi="Times New Roman"/>
          <w:sz w:val="18"/>
          <w:szCs w:val="18"/>
          <w:color w:val="auto"/>
        </w:rPr>
        <w:t>. While the Company will endeavor to process this notice in a timely manner, I acknowledge that until the issuance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underlying the Optioned Shares (as evidenced by the appropriate entry on the books of the Company or of a duly authorized transfer agent of the Company), no right to vote or receive dividends or any other rights as a stockholder shall exist with respect to such shares, notwithstanding the exercise of my option(s). No adjustment shall be made for a dividend or other right for which the record date is prior to the date of issuance of the optioned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15" w:name="page116"/>
    <w:bookmarkEnd w:id="115"/>
    <w:p>
      <w:pPr>
        <w:jc w:val="both"/>
        <w:ind w:firstLine="656"/>
        <w:spacing w:after="0" w:line="267" w:lineRule="auto"/>
        <w:tabs>
          <w:tab w:leader="none" w:pos="82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Interpretation</w:t>
      </w:r>
      <w:r>
        <w:rPr>
          <w:rFonts w:ascii="Times New Roman" w:cs="Times New Roman" w:eastAsia="Times New Roman" w:hAnsi="Times New Roman"/>
          <w:sz w:val="18"/>
          <w:szCs w:val="18"/>
          <w:color w:val="auto"/>
        </w:rPr>
        <w:t>. Any dispute regarding the interpretation of this notice shall be submitted promptly by me or by the Company to the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shall review such dispute at its next regular meeting. The resolution of such a dispute by such administrator of the Plan shall be final and binding on all parties.</w:t>
      </w:r>
    </w:p>
    <w:p>
      <w:pPr>
        <w:spacing w:after="0" w:line="173" w:lineRule="exact"/>
        <w:rPr>
          <w:rFonts w:ascii="Times New Roman" w:cs="Times New Roman" w:eastAsia="Times New Roman" w:hAnsi="Times New Roman"/>
          <w:sz w:val="18"/>
          <w:szCs w:val="18"/>
          <w:color w:val="auto"/>
        </w:rPr>
      </w:pPr>
    </w:p>
    <w:p>
      <w:pPr>
        <w:jc w:val="both"/>
        <w:ind w:firstLine="656"/>
        <w:spacing w:after="0" w:line="267" w:lineRule="auto"/>
        <w:tabs>
          <w:tab w:leader="none" w:pos="82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Governing Law; Severability</w:t>
      </w:r>
      <w:r>
        <w:rPr>
          <w:rFonts w:ascii="Times New Roman" w:cs="Times New Roman" w:eastAsia="Times New Roman" w:hAnsi="Times New Roman"/>
          <w:sz w:val="18"/>
          <w:szCs w:val="18"/>
          <w:color w:val="auto"/>
        </w:rPr>
        <w:t>. This notice is governed by the internal substantive laws but not the choice of law rules, of Delaware. In the event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any provision hereof becomes or is declared by a court of competent jurisdiction to be illegal, unenforceable or void, this notice will continue in full force and effect without said provision.</w:t>
      </w:r>
    </w:p>
    <w:p>
      <w:pPr>
        <w:spacing w:after="0" w:line="173" w:lineRule="exact"/>
        <w:rPr>
          <w:rFonts w:ascii="Times New Roman" w:cs="Times New Roman" w:eastAsia="Times New Roman" w:hAnsi="Times New Roman"/>
          <w:sz w:val="18"/>
          <w:szCs w:val="18"/>
          <w:color w:val="auto"/>
        </w:rPr>
      </w:pPr>
    </w:p>
    <w:p>
      <w:pPr>
        <w:ind w:right="20" w:firstLine="656"/>
        <w:spacing w:after="0" w:line="284" w:lineRule="auto"/>
        <w:tabs>
          <w:tab w:leader="none" w:pos="82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The Plan and the Award Agreement under which the Optioned Shares were granted are incorporated herein by reference,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together with this notice constitute the entire agreement of the parties with respect to the subject matter hereof.</w:t>
      </w:r>
    </w:p>
    <w:p>
      <w:pPr>
        <w:spacing w:after="0" w:line="16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291465</wp:posOffset>
            </wp:positionV>
            <wp:extent cx="270891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6">
                      <a:extLst>
                        <a:ext uri="{28A0092B-C50C-407E-A947-70E740481C1C}"/>
                      </a:extLst>
                    </a:blip>
                    <a:srcRect/>
                    <a:stretch>
                      <a:fillRect/>
                    </a:stretch>
                  </pic:blipFill>
                  <pic:spPr bwMode="auto">
                    <a:xfrm>
                      <a:off x="0" y="0"/>
                      <a:ext cx="270891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574675</wp:posOffset>
            </wp:positionV>
            <wp:extent cx="270891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7">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EXHIBIT B FORM OF RELEASE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release is required as a condition for receiving the benefits provided pursuant to the Nonqualified Stock Option Award Agreement between</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GENERAC HOLDINGSINC.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dated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thus, by executing this release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you have advised us that you hold no claims against the Company, its predecessors, successors or assigns, affiliates, shareholders or members and each of their respective officers, directors, agents and employees (collectively, the “Releasees”), and by execution of this Release you agree to waive and release any such claims, except relating to any compensation, severance pay and benefits described in any written agreement between you and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2437765</wp:posOffset>
            </wp:positionH>
            <wp:positionV relativeFrom="paragraph">
              <wp:posOffset>-441960</wp:posOffset>
            </wp:positionV>
            <wp:extent cx="85407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9">
                      <a:extLst>
                        <a:ext uri="{28A0092B-C50C-407E-A947-70E740481C1C}"/>
                      </a:extLst>
                    </a:blip>
                    <a:srcRect/>
                    <a:stretch>
                      <a:fillRect/>
                    </a:stretch>
                  </pic:blipFill>
                  <pic:spPr bwMode="auto">
                    <a:xfrm>
                      <a:off x="0" y="0"/>
                      <a:ext cx="854075" cy="8255"/>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-441960</wp:posOffset>
            </wp:positionV>
            <wp:extent cx="7886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0">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3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You understand and agree that this Release will extend to all claims, demands, liabilities and causes of action of every kind, nature and description whatsoever, whether known, unknown or suspected to exist, which you ever had or may now have against the Releasees in your capacity as an employee of the Company, including, without limitation, any claims, demands, liabilities and causes of action arising from your employment with the Releasees and the termination of that employment, including any claims for severance or vacation pay, business expenses, and/or pursuant to any federal, state, county, or local employment laws, regulations, executive orders, or other requirements, including, but not limited to, Title VII of the 1964 Civil Rights Act, the 1866 Civil Rights Act, the Age Discrimination in Employment Act as amended by the Older Workers Benefit Protection Act, the Americans with Disabilities Act, the Civil Rights Act of 1991, the Workers Adjustment and Retraining Notification Act and any other local, state or federal fair employment laws, and any contract or tort claims.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understand and agree that this Release is intended to include all claims by you or on your behalf alleging discrimination on the basis of race, sex, religion, national origin, age, disability, marital status, or any other protected status or involving any contract or tort claims based on your termination from the Company. It is also acknowledged that your termination is not in any way related to any work-related injury.</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It also is understood and agreed that the remedy at law for breach of the Award Agreement, any restrictive covenant agreements between you and the Company, and/or this Release shall be inadequate, and the Company shall be entitled to injunctive relief in respect thereof.</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Your ability to receive payments and benefits under the terms of the Award Agreement will remain open for a 21-day period after your Termination Date to give you an opportunity to consider the effect of this Release. At your option, you may elect to execute this Release on an earlier date. Additionally, you have seven days after the date you execute this Release to revoke it. As a result, this Release will not be effective until eight days after you execute it. We also want to advise you of your right to consult with legal counsel prior to executing a copy of this Release.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Finally, this is to expressly acknowledge:</w:t>
      </w:r>
    </w:p>
    <w:p>
      <w:pPr>
        <w:spacing w:after="0" w:line="225" w:lineRule="exact"/>
        <w:rPr>
          <w:sz w:val="20"/>
          <w:szCs w:val="20"/>
          <w:color w:val="auto"/>
        </w:rPr>
      </w:pPr>
    </w:p>
    <w:p>
      <w:pPr>
        <w:ind w:left="1300" w:hanging="644"/>
        <w:spacing w:after="0"/>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understand that you are not waiving any claims or rights that may arise after the date you execute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7" w:name="page118"/>
    <w:bookmarkEnd w:id="117"/>
    <w:p>
      <w:pPr>
        <w:ind w:left="1300" w:hanging="644"/>
        <w:spacing w:after="0" w:line="282" w:lineRule="auto"/>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understand and agree that the compensation and benefits described in the Award Agreement offer you consideration greater than that to which you would otherwise be entitled.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 hereby state that I have carefully read this Release and that I am signing this Release knowingly and voluntarily with the full intent of releasing the Releases from any and all claims, except as set forth herein. Further, if signed prior to the completion of the 21 day review period, this is to acknowledge that I knowingly and voluntarily signed this Release on an earlier date.</w:t>
      </w:r>
    </w:p>
    <w:p>
      <w:pPr>
        <w:spacing w:after="0" w:line="200" w:lineRule="exact"/>
        <w:rPr>
          <w:sz w:val="20"/>
          <w:szCs w:val="20"/>
          <w:color w:val="auto"/>
        </w:rPr>
      </w:pP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134225" cy="3022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2">
                      <a:extLst>
                        <a:ext uri="{28A0092B-C50C-407E-A947-70E740481C1C}"/>
                      </a:extLst>
                    </a:blip>
                    <a:srcRect/>
                    <a:stretch>
                      <a:fillRect/>
                    </a:stretch>
                  </pic:blipFill>
                  <pic:spPr bwMode="auto">
                    <a:xfrm>
                      <a:off x="0" y="0"/>
                      <a:ext cx="7134225" cy="30226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10.46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Generac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2019 Equity Incentive Plan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SHARE UNIT AWARD AGREEMENT</w:t>
      </w:r>
    </w:p>
    <w:p>
      <w:pPr>
        <w:spacing w:after="0" w:line="225" w:lineRule="exact"/>
        <w:rPr>
          <w:sz w:val="20"/>
          <w:szCs w:val="20"/>
          <w:color w:val="auto"/>
        </w:rPr>
      </w:pPr>
    </w:p>
    <w:p>
      <w:pPr>
        <w:jc w:val="both"/>
        <w:ind w:firstLine="972"/>
        <w:spacing w:after="0" w:line="262" w:lineRule="auto"/>
        <w:rPr>
          <w:sz w:val="20"/>
          <w:szCs w:val="20"/>
          <w:color w:val="auto"/>
        </w:rPr>
      </w:pPr>
      <w:r>
        <w:rPr>
          <w:rFonts w:ascii="Times New Roman" w:cs="Times New Roman" w:eastAsia="Times New Roman" w:hAnsi="Times New Roman"/>
          <w:sz w:val="18"/>
          <w:szCs w:val="18"/>
          <w:color w:val="auto"/>
        </w:rPr>
        <w:t>Upon acceptance by you through the online acceptance procedures of the Third Party Stock Plan Administrator ("</w:t>
      </w: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 this Performance Share Unit Award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effective as of the date set forth on your online award acceptance page of the Administrator (“</w:t>
      </w:r>
      <w:r>
        <w:rPr>
          <w:rFonts w:ascii="Times New Roman" w:cs="Times New Roman" w:eastAsia="Times New Roman" w:hAnsi="Times New Roman"/>
          <w:sz w:val="18"/>
          <w:szCs w:val="18"/>
          <w:b w:val="1"/>
          <w:bCs w:val="1"/>
          <w:color w:val="auto"/>
        </w:rPr>
        <w:t>Grant Date</w:t>
      </w:r>
      <w:r>
        <w:rPr>
          <w:rFonts w:ascii="Times New Roman" w:cs="Times New Roman" w:eastAsia="Times New Roman" w:hAnsi="Times New Roman"/>
          <w:sz w:val="18"/>
          <w:szCs w:val="18"/>
          <w:color w:val="auto"/>
        </w:rPr>
        <w:t>”), which is incorporated by reference herein, between Generac Holdings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you (the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 E C I T A L 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WHEREAS, the Company has adopted and its stockholders have approved the Generac Holdings Inc. 2019 Equity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which Plan is incorporated herein by reference and made a part of this Award Agreement. Capitalized terms not otherwise defined herein shall have the same meanings as in the Plan;</w:t>
      </w:r>
    </w:p>
    <w:p>
      <w:pPr>
        <w:spacing w:after="0" w:line="176" w:lineRule="exact"/>
        <w:rPr>
          <w:sz w:val="20"/>
          <w:szCs w:val="20"/>
          <w:color w:val="auto"/>
        </w:rPr>
      </w:pPr>
    </w:p>
    <w:p>
      <w:pPr>
        <w:ind w:left="120" w:right="4240" w:firstLine="864"/>
        <w:spacing w:after="0" w:line="282" w:lineRule="auto"/>
        <w:rPr>
          <w:sz w:val="20"/>
          <w:szCs w:val="20"/>
          <w:color w:val="auto"/>
        </w:rPr>
      </w:pPr>
      <w:r>
        <w:rPr>
          <w:rFonts w:ascii="Times New Roman" w:cs="Times New Roman" w:eastAsia="Times New Roman" w:hAnsi="Times New Roman"/>
          <w:sz w:val="18"/>
          <w:szCs w:val="18"/>
          <w:color w:val="auto"/>
        </w:rPr>
        <w:t>WHEREAS, the Company has adopted the Generac Power Systems, Inc. Executive Change in Control Policy (the “</w:t>
      </w:r>
      <w:r>
        <w:rPr>
          <w:rFonts w:ascii="Times New Roman" w:cs="Times New Roman" w:eastAsia="Times New Roman" w:hAnsi="Times New Roman"/>
          <w:sz w:val="18"/>
          <w:szCs w:val="18"/>
          <w:b w:val="1"/>
          <w:bCs w:val="1"/>
          <w:color w:val="auto"/>
        </w:rPr>
        <w:t>CIC Policy</w:t>
      </w:r>
      <w:r>
        <w:rPr>
          <w:rFonts w:ascii="Times New Roman" w:cs="Times New Roman" w:eastAsia="Times New Roman" w:hAnsi="Times New Roman"/>
          <w:sz w:val="18"/>
          <w:szCs w:val="18"/>
          <w:color w:val="auto"/>
        </w:rPr>
        <w:t>”); and</w:t>
      </w:r>
    </w:p>
    <w:p>
      <w:pPr>
        <w:spacing w:after="0" w:line="158" w:lineRule="exact"/>
        <w:rPr>
          <w:sz w:val="20"/>
          <w:szCs w:val="20"/>
          <w:color w:val="auto"/>
        </w:rPr>
      </w:pPr>
    </w:p>
    <w:p>
      <w:pPr>
        <w:jc w:val="both"/>
        <w:ind w:firstLine="972"/>
        <w:spacing w:after="0" w:line="268" w:lineRule="auto"/>
        <w:rPr>
          <w:sz w:val="20"/>
          <w:szCs w:val="20"/>
          <w:color w:val="auto"/>
        </w:rPr>
      </w:pPr>
      <w:r>
        <w:rPr>
          <w:rFonts w:ascii="Times New Roman" w:cs="Times New Roman" w:eastAsia="Times New Roman" w:hAnsi="Times New Roman"/>
          <w:sz w:val="18"/>
          <w:szCs w:val="18"/>
          <w:color w:val="auto"/>
        </w:rPr>
        <w:t>WHEREAS, the Compensation Committee (the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has determined that it would be in the best interests of the Company and its stockholders to grant the performance share unit award provided for herein to the Participant pursuant to the Plan and the terms and conditions set forth herein.</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NOW THEREFORE, in consideration of the mutual covenants hereinafter set forth, the parties agree as follows:</w:t>
      </w:r>
    </w:p>
    <w:p>
      <w:pPr>
        <w:spacing w:after="0" w:line="225" w:lineRule="exact"/>
        <w:rPr>
          <w:sz w:val="20"/>
          <w:szCs w:val="20"/>
          <w:color w:val="auto"/>
        </w:rPr>
      </w:pPr>
    </w:p>
    <w:p>
      <w:pPr>
        <w:jc w:val="both"/>
        <w:ind w:firstLine="980"/>
        <w:spacing w:after="0" w:line="254" w:lineRule="auto"/>
        <w:tabs>
          <w:tab w:leader="none" w:pos="1152"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Share Award</w:t>
      </w:r>
      <w:r>
        <w:rPr>
          <w:rFonts w:ascii="Times New Roman" w:cs="Times New Roman" w:eastAsia="Times New Roman" w:hAnsi="Times New Roman"/>
          <w:sz w:val="18"/>
          <w:szCs w:val="18"/>
          <w:color w:val="auto"/>
        </w:rPr>
        <w:t>. The Company hereby confirms the grant to the Participant, as of the Grant Date and subject to the terms and conditions of this Agreement and the Plan, of an award of Performance Share Units (the “</w:t>
      </w: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 in an amount initially equal to the Target Number of Performance Share Units specified on the Participant’s online award acceptance page of the Administrator (“</w:t>
      </w:r>
      <w:r>
        <w:rPr>
          <w:rFonts w:ascii="Times New Roman" w:cs="Times New Roman" w:eastAsia="Times New Roman" w:hAnsi="Times New Roman"/>
          <w:sz w:val="18"/>
          <w:szCs w:val="18"/>
          <w:b w:val="1"/>
          <w:bCs w:val="1"/>
          <w:color w:val="auto"/>
        </w:rPr>
        <w:t>Target Number of Units</w:t>
      </w:r>
      <w:r>
        <w:rPr>
          <w:rFonts w:ascii="Times New Roman" w:cs="Times New Roman" w:eastAsia="Times New Roman" w:hAnsi="Times New Roman"/>
          <w:sz w:val="18"/>
          <w:szCs w:val="18"/>
          <w:color w:val="auto"/>
        </w:rPr>
        <w:t xml:space="preserve">”). The number of Units that may actually be earned and become eligible to vest pursuant to this Award can be between 0% and 200% of the Target Number of Units. Each Unit that is earned as a result of the performance goals specified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this Agreement having been satisfied and which thereafter vests represents the right to receive one Share of the Company’s common stock. Prior to their settlement or forfeiture in accordance with the terms of this Agreement, the Units granted to the Participant will be credited to a performance share unit account in the Participant’s name maintained by the Company. This account will be unfunded and maintained for book-keeping purposes only, with the Units simply representing an unfunded and unsecured contingent obligation of the Company.</w:t>
      </w:r>
    </w:p>
    <w:p>
      <w:pPr>
        <w:spacing w:after="0" w:line="188" w:lineRule="exact"/>
        <w:rPr>
          <w:rFonts w:ascii="Times New Roman" w:cs="Times New Roman" w:eastAsia="Times New Roman" w:hAnsi="Times New Roman"/>
          <w:sz w:val="18"/>
          <w:szCs w:val="18"/>
          <w:color w:val="auto"/>
        </w:rPr>
      </w:pPr>
    </w:p>
    <w:p>
      <w:pPr>
        <w:ind w:left="1160" w:hanging="180"/>
        <w:spacing w:after="0"/>
        <w:tabs>
          <w:tab w:leader="none" w:pos="11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Scheduled Vesting Date</w:t>
      </w:r>
      <w:r>
        <w:rPr>
          <w:rFonts w:ascii="Times New Roman" w:cs="Times New Roman" w:eastAsia="Times New Roman" w:hAnsi="Times New Roman"/>
          <w:sz w:val="18"/>
          <w:szCs w:val="18"/>
          <w:color w:val="auto"/>
        </w:rPr>
        <w:t xml:space="preserve">. The number of Units that have been earned during the Performance Period, as determined by the Committee in accordance with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will vest on the Scheduled Vesting Date, so long as the Participant’s Service has been continuous from the Grant Date to the Scheduled Vesting Date. For these purposes, the “</w:t>
      </w:r>
      <w:r>
        <w:rPr>
          <w:rFonts w:ascii="Times New Roman" w:cs="Times New Roman" w:eastAsia="Times New Roman" w:hAnsi="Times New Roman"/>
          <w:sz w:val="18"/>
          <w:szCs w:val="18"/>
          <w:b w:val="1"/>
          <w:bCs w:val="1"/>
          <w:color w:val="auto"/>
        </w:rPr>
        <w:t>Scheduled Vesting Date</w:t>
      </w:r>
      <w:r>
        <w:rPr>
          <w:rFonts w:ascii="Times New Roman" w:cs="Times New Roman" w:eastAsia="Times New Roman" w:hAnsi="Times New Roman"/>
          <w:sz w:val="18"/>
          <w:szCs w:val="18"/>
          <w:color w:val="auto"/>
        </w:rPr>
        <w:t>” means the date the Committee certifies (i) the degree to which the applicable performance goals for the Performance Period have been satisfied, and (ii) the number of Units that have been earned during the Performance Period specified on the Participant’s online award acceptance page of the Administrator (“</w:t>
      </w:r>
      <w:r>
        <w:rPr>
          <w:rFonts w:ascii="Times New Roman" w:cs="Times New Roman" w:eastAsia="Times New Roman" w:hAnsi="Times New Roman"/>
          <w:sz w:val="18"/>
          <w:szCs w:val="18"/>
          <w:b w:val="1"/>
          <w:bCs w:val="1"/>
          <w:color w:val="auto"/>
        </w:rPr>
        <w:t>Performance Period</w:t>
      </w:r>
      <w:r>
        <w:rPr>
          <w:rFonts w:ascii="Times New Roman" w:cs="Times New Roman" w:eastAsia="Times New Roman" w:hAnsi="Times New Roman"/>
          <w:sz w:val="18"/>
          <w:szCs w:val="18"/>
          <w:color w:val="auto"/>
        </w:rPr>
        <w:t xml:space="preserve">”) as determined in accordance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which certification shall occur no later than March 10 of the calendar year immediately following the calendar year during which the Performance Period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9" w:name="page120"/>
    <w:bookmarkEnd w:id="119"/>
    <w:p>
      <w:pPr>
        <w:ind w:left="328" w:right="100" w:hanging="328"/>
        <w:spacing w:after="0" w:line="266" w:lineRule="auto"/>
        <w:tabs>
          <w:tab w:leader="none" w:pos="32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 xml:space="preserve">. Notwithstanding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hereof, upon a termination of the Participant’s Service for any reason (except as set forth in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2(e)</w:t>
      </w:r>
      <w:r>
        <w:rPr>
          <w:rFonts w:ascii="Times New Roman" w:cs="Times New Roman" w:eastAsia="Times New Roman" w:hAnsi="Times New Roman"/>
          <w:sz w:val="18"/>
          <w:szCs w:val="18"/>
          <w:color w:val="auto"/>
        </w:rPr>
        <w:t>), the Units, to the extent not then vested, shall immediately be forfeited by the Participant without consideration.</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53" w:lineRule="auto"/>
        <w:tabs>
          <w:tab w:leader="none" w:pos="32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for Normal Retirement</w:t>
      </w:r>
      <w:r>
        <w:rPr>
          <w:rFonts w:ascii="Times New Roman" w:cs="Times New Roman" w:eastAsia="Times New Roman" w:hAnsi="Times New Roman"/>
          <w:sz w:val="18"/>
          <w:szCs w:val="18"/>
          <w:color w:val="auto"/>
        </w:rPr>
        <w:t xml:space="preserve">. Notwithstanding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hereof, upon a termination of the Participant’s Service by reason of Normal Retirement, as defined below, prior to the Scheduled Vesting Date, the Participant will be entitled to have vest on the Scheduled Vesting Date a pro rata portion of the Units that would otherwise have been determined to have been earned during the Performance Period in accordance with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if the Participant’s Service had been continuous until the Scheduled Vesting Date, subject to the Participant’s execution on or within the 21-day period after the Award payment date of an effective general release and waiver of all claims against the Company, its Affiliates and their respective officers and directors, substantially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pro rata portion shall be determined by multiplying the number of Units that would otherwise have been determined to have been earned by a fraction whose numerator is the number of days during the Performance Period prior to the Participant’s employment termination date and whose denominator is the number of days in the Performance Period. For purposes of this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“Normal Retirement” shall mean a voluntary termination of employment by a Participant who has attained at least sixty (60) years of age and has at least fifteen (15) years of service to the Company or any of its Affiliates.</w:t>
      </w:r>
    </w:p>
    <w:p>
      <w:pPr>
        <w:spacing w:after="0" w:line="194"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for Death</w:t>
      </w:r>
      <w:r>
        <w:rPr>
          <w:rFonts w:ascii="Times New Roman" w:cs="Times New Roman" w:eastAsia="Times New Roman" w:hAnsi="Times New Roman"/>
          <w:sz w:val="18"/>
          <w:szCs w:val="18"/>
          <w:color w:val="auto"/>
        </w:rPr>
        <w:t xml:space="preserve">. Notwithstanding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hereof, upon a termination of the Participant’s Service by reason of his or her death prior to the Scheduled Vesting Date, a pro rata portion of the Target Number of Units shall vest as of the date of Participant’s death and shall be paid to the beneficiary designated by the Participant or, in the absence of any such designation, to the Participant’s estate. The pro rata portion shall be determined utilizing a fraction determined in the same manner as provided in Section 2(c) above.</w:t>
      </w:r>
    </w:p>
    <w:p>
      <w:pPr>
        <w:spacing w:after="0" w:line="179"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32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for Disability</w:t>
      </w:r>
      <w:r>
        <w:rPr>
          <w:rFonts w:ascii="Times New Roman" w:cs="Times New Roman" w:eastAsia="Times New Roman" w:hAnsi="Times New Roman"/>
          <w:sz w:val="18"/>
          <w:szCs w:val="18"/>
          <w:color w:val="auto"/>
        </w:rPr>
        <w:t xml:space="preserve">. Notwithstanding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hereof, upon a termination of the Participant’s Service by reason of his or her Disability prior to the Scheduled Vesting Date, a pro rata portion of the Target Number of Units shall vest as of the date of such termination of Service, subject to the Participant’s execution on or within the 21-day period after the termination of Service date of an effective general release and waiver of all claims against the Company, its Affiliates and their respective officers and directors, substantially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pro rata portion shall be determined utilizing a fraction determined in the same manner as provided in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above.</w:t>
      </w:r>
    </w:p>
    <w:p>
      <w:pPr>
        <w:spacing w:after="0" w:line="183" w:lineRule="exact"/>
        <w:rPr>
          <w:rFonts w:ascii="Times New Roman" w:cs="Times New Roman" w:eastAsia="Times New Roman" w:hAnsi="Times New Roman"/>
          <w:sz w:val="18"/>
          <w:szCs w:val="18"/>
          <w:color w:val="auto"/>
        </w:rPr>
      </w:pPr>
    </w:p>
    <w:p>
      <w:pPr>
        <w:jc w:val="both"/>
        <w:ind w:left="328" w:hanging="328"/>
        <w:spacing w:after="0" w:line="254" w:lineRule="auto"/>
        <w:tabs>
          <w:tab w:leader="none" w:pos="32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following a Change in Control</w:t>
      </w:r>
      <w:r>
        <w:rPr>
          <w:rFonts w:ascii="Times New Roman" w:cs="Times New Roman" w:eastAsia="Times New Roman" w:hAnsi="Times New Roman"/>
          <w:sz w:val="18"/>
          <w:szCs w:val="18"/>
          <w:color w:val="auto"/>
        </w:rPr>
        <w:t xml:space="preserve">. Notwithstanding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hereof, (i) in the event of a Change in Control the provisions of Section 12 of the Plan shall apply except as specifically provided herein, (ii) in the event of (1) the Participant’s Qualifying Termination (as defined under the CIC Policy) on or after the occurrence of a Change in Control but prior to the Scheduled Vesting Date, or (2) a termination of Participant’s Service by the Company or any Affiliate within the one (1) year period following a Change in Control, the Target Number of Units shall vest as of the date of such Qualifying Termination or termination of Participant’s Service, as applicable, and (iii) in the event of a Qualifying Termination within 120 days prior to the occurrence of a Change in Control and prior to the Scheduled Vesting Date, the Target Number of Units will vest upon the Change in Control. In all cases the vesting of Units pursuant to this </w:t>
      </w:r>
      <w:r>
        <w:rPr>
          <w:rFonts w:ascii="Times New Roman" w:cs="Times New Roman" w:eastAsia="Times New Roman" w:hAnsi="Times New Roman"/>
          <w:sz w:val="18"/>
          <w:szCs w:val="18"/>
          <w:u w:val="single" w:color="auto"/>
          <w:color w:val="auto"/>
        </w:rPr>
        <w:t>Section 2(f)</w:t>
      </w:r>
      <w:r>
        <w:rPr>
          <w:rFonts w:ascii="Times New Roman" w:cs="Times New Roman" w:eastAsia="Times New Roman" w:hAnsi="Times New Roman"/>
          <w:sz w:val="18"/>
          <w:szCs w:val="18"/>
          <w:color w:val="auto"/>
        </w:rPr>
        <w:t xml:space="preserve"> shall be subject to the Participant’s execution on or after the termination of Service date of an effective general release and waiver of all claims against the Company, its Affiliates and their respective officers and directors, substantially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left="328" w:hanging="328"/>
        <w:spacing w:after="0" w:line="286" w:lineRule="auto"/>
        <w:tabs>
          <w:tab w:leader="none" w:pos="32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Modifications to Vesting Schedule</w:t>
      </w:r>
      <w:r>
        <w:rPr>
          <w:rFonts w:ascii="Times New Roman" w:cs="Times New Roman" w:eastAsia="Times New Roman" w:hAnsi="Times New Roman"/>
          <w:sz w:val="18"/>
          <w:szCs w:val="18"/>
          <w:color w:val="auto"/>
        </w:rPr>
        <w:t>. In the event that the Participant takes an authorized leave of absence (“</w:t>
      </w:r>
      <w:r>
        <w:rPr>
          <w:rFonts w:ascii="Times New Roman" w:cs="Times New Roman" w:eastAsia="Times New Roman" w:hAnsi="Times New Roman"/>
          <w:sz w:val="18"/>
          <w:szCs w:val="18"/>
          <w:b w:val="1"/>
          <w:bCs w:val="1"/>
          <w:color w:val="auto"/>
        </w:rPr>
        <w:t>LOA</w:t>
      </w:r>
      <w:r>
        <w:rPr>
          <w:rFonts w:ascii="Times New Roman" w:cs="Times New Roman" w:eastAsia="Times New Roman" w:hAnsi="Times New Roman"/>
          <w:sz w:val="18"/>
          <w:szCs w:val="18"/>
          <w:color w:val="auto"/>
        </w:rPr>
        <w:t>”) prior to the Scheduled Vesting Date, the Units subject to this Agreement that are scheduled to vest shall be modified as follows:</w:t>
      </w:r>
    </w:p>
    <w:p>
      <w:pPr>
        <w:spacing w:after="0" w:line="159" w:lineRule="exact"/>
        <w:rPr>
          <w:sz w:val="20"/>
          <w:szCs w:val="20"/>
          <w:color w:val="auto"/>
        </w:rPr>
      </w:pPr>
    </w:p>
    <w:p>
      <w:pPr>
        <w:ind w:left="808" w:right="20" w:firstLine="2"/>
        <w:spacing w:after="0" w:line="282" w:lineRule="auto"/>
        <w:tabs>
          <w:tab w:leader="none" w:pos="103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duration of the Participant’s LOA is sixty (60) days or less, the vesting schedule set forth in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shall not be affected by the Participant’s LOA.</w:t>
      </w:r>
    </w:p>
    <w:p>
      <w:pPr>
        <w:spacing w:after="0" w:line="16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85725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07" w:right="339" w:bottom="1440" w:gutter="0" w:footer="0" w:header="0"/>
        </w:sectPr>
      </w:pPr>
    </w:p>
    <w:bookmarkStart w:id="120" w:name="page121"/>
    <w:bookmarkEnd w:id="120"/>
    <w:p>
      <w:pPr>
        <w:ind w:left="1140" w:right="20" w:firstLine="2"/>
        <w:spacing w:after="0" w:line="282" w:lineRule="auto"/>
        <w:tabs>
          <w:tab w:leader="none" w:pos="141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duration of the Participant’s LOA is greater than sixty (60) days, the scheduled vesting of any Units awarded by this Agreement that are not then vested shall be deferred for a period of time equal to the duration of the Participant’s LOA.</w:t>
      </w:r>
    </w:p>
    <w:p>
      <w:pPr>
        <w:spacing w:after="0" w:line="162" w:lineRule="exact"/>
        <w:rPr>
          <w:sz w:val="20"/>
          <w:szCs w:val="20"/>
          <w:color w:val="auto"/>
        </w:rPr>
      </w:pPr>
    </w:p>
    <w:p>
      <w:pPr>
        <w:jc w:val="both"/>
        <w:ind w:firstLine="1142"/>
        <w:spacing w:after="0" w:line="254" w:lineRule="auto"/>
        <w:tabs>
          <w:tab w:leader="none" w:pos="132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Shares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below, as soon as administratively practicable, but not later than sixty (60) days (thirty (30) days in the case of vesting pursuant to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2(f))</w:t>
      </w:r>
      <w:r>
        <w:rPr>
          <w:rFonts w:ascii="Times New Roman" w:cs="Times New Roman" w:eastAsia="Times New Roman" w:hAnsi="Times New Roman"/>
          <w:sz w:val="18"/>
          <w:szCs w:val="18"/>
          <w:color w:val="auto"/>
        </w:rPr>
        <w:t xml:space="preserve"> following the vesting of the Units (as described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 the Company shall cause to be issued and delivered to the Participant (or to his or her personal representative or designated beneficiary or estate in the event of the Participant’s death, as applicable) one Share in payment and settlement of each vested Unit. Delivery of the Shares shall be effected by the issuance of a stock certificate to the Participant, by an appropriate entry in the stock register maintained by the Company’s transfer agent with a notice of issuance provided to the Participant, or by the electronic delivery of the Shares to Participant’s brokerage account with the Administrator, and shall be subject to the tax withholding provisions of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and compliance with all applicable legal requirements as provided in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hereof and Section 16(c) of the Plan, and shall be in complete satisfaction and settlement of such vested Units.</w:t>
      </w:r>
    </w:p>
    <w:p>
      <w:pPr>
        <w:spacing w:after="0" w:line="191" w:lineRule="exact"/>
        <w:rPr>
          <w:rFonts w:ascii="Times New Roman" w:cs="Times New Roman" w:eastAsia="Times New Roman" w:hAnsi="Times New Roman"/>
          <w:sz w:val="18"/>
          <w:szCs w:val="18"/>
          <w:color w:val="auto"/>
        </w:rPr>
      </w:pPr>
    </w:p>
    <w:p>
      <w:pPr>
        <w:ind w:firstLine="1142"/>
        <w:spacing w:after="0" w:line="282" w:lineRule="auto"/>
        <w:tabs>
          <w:tab w:leader="none" w:pos="131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the Participant shall have none of the rights of a stockholder of the Company in connection with the Units unless and until Shares are issued to him or her in settlement of earned and vested Units as provided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1142"/>
        <w:spacing w:after="0" w:line="254" w:lineRule="auto"/>
        <w:tabs>
          <w:tab w:leader="none" w:pos="131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xml:space="preserve">. If the Company pays cash dividends on its Shares while any Units subject to this Agreement are outstanding, then on the date this Award vests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above, a total Dividend Equivalent amount will be credited to the Participant’s performance share unit account and shall be deemed reinvested in additional Units (“</w:t>
      </w:r>
      <w:r>
        <w:rPr>
          <w:rFonts w:ascii="Times New Roman" w:cs="Times New Roman" w:eastAsia="Times New Roman" w:hAnsi="Times New Roman"/>
          <w:sz w:val="18"/>
          <w:szCs w:val="18"/>
          <w:b w:val="1"/>
          <w:bCs w:val="1"/>
          <w:color w:val="auto"/>
        </w:rPr>
        <w:t>Dividend Equivalent Units</w:t>
      </w:r>
      <w:r>
        <w:rPr>
          <w:rFonts w:ascii="Times New Roman" w:cs="Times New Roman" w:eastAsia="Times New Roman" w:hAnsi="Times New Roman"/>
          <w:sz w:val="18"/>
          <w:szCs w:val="18"/>
          <w:color w:val="auto"/>
        </w:rPr>
        <w:t>”). The total Dividend Equivalent amount will be determined by multiplying the number of underlying Units determined to have vested by the per share amount of each cash dividend paid on the Company’s common stock with a record date and payment date occurring between the Grant Date and the applicable vesting date, and adding those products together. Each of those products is referred to as a “</w:t>
      </w:r>
      <w:r>
        <w:rPr>
          <w:rFonts w:ascii="Times New Roman" w:cs="Times New Roman" w:eastAsia="Times New Roman" w:hAnsi="Times New Roman"/>
          <w:sz w:val="18"/>
          <w:szCs w:val="18"/>
          <w:b w:val="1"/>
          <w:bCs w:val="1"/>
          <w:color w:val="auto"/>
        </w:rPr>
        <w:t>Dividend Equivalent Amount</w:t>
      </w:r>
      <w:r>
        <w:rPr>
          <w:rFonts w:ascii="Times New Roman" w:cs="Times New Roman" w:eastAsia="Times New Roman" w:hAnsi="Times New Roman"/>
          <w:sz w:val="18"/>
          <w:szCs w:val="18"/>
          <w:color w:val="auto"/>
        </w:rPr>
        <w:t xml:space="preserve">.” The number of Dividend Equivalent Units to be credited to the Participant’s performance share unit account pursuant to this deemed reinvestment will be determined by dividing each Dividend Equivalent Amount by the Fair Market Value of a share of the Company’s common stock on the applicable dividend payment date, and adding those quotients together. Any Dividend Equivalent Units so credited will be fully vested and subject to settlement with the underlying Units as provided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above.</w:t>
      </w:r>
    </w:p>
    <w:p>
      <w:pPr>
        <w:spacing w:after="0" w:line="188" w:lineRule="exact"/>
        <w:rPr>
          <w:rFonts w:ascii="Times New Roman" w:cs="Times New Roman" w:eastAsia="Times New Roman" w:hAnsi="Times New Roman"/>
          <w:sz w:val="18"/>
          <w:szCs w:val="18"/>
          <w:color w:val="auto"/>
        </w:rPr>
      </w:pPr>
    </w:p>
    <w:p>
      <w:pPr>
        <w:jc w:val="both"/>
        <w:ind w:firstLine="1142"/>
        <w:spacing w:after="0" w:line="266" w:lineRule="auto"/>
        <w:tabs>
          <w:tab w:leader="none" w:pos="132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Covenant Agreement</w:t>
      </w:r>
      <w:r>
        <w:rPr>
          <w:rFonts w:ascii="Times New Roman" w:cs="Times New Roman" w:eastAsia="Times New Roman" w:hAnsi="Times New Roman"/>
          <w:sz w:val="18"/>
          <w:szCs w:val="18"/>
          <w:color w:val="auto"/>
        </w:rPr>
        <w:t>. The Participant and the Company may have previously entered into a restrictive covenant agreement (“</w:t>
      </w:r>
      <w:r>
        <w:rPr>
          <w:rFonts w:ascii="Times New Roman" w:cs="Times New Roman" w:eastAsia="Times New Roman" w:hAnsi="Times New Roman"/>
          <w:sz w:val="18"/>
          <w:szCs w:val="18"/>
          <w:b w:val="1"/>
          <w:bCs w:val="1"/>
          <w:color w:val="auto"/>
        </w:rPr>
        <w:t>Restrictive Covenant Agreement</w:t>
      </w:r>
      <w:r>
        <w:rPr>
          <w:rFonts w:ascii="Times New Roman" w:cs="Times New Roman" w:eastAsia="Times New Roman" w:hAnsi="Times New Roman"/>
          <w:sz w:val="18"/>
          <w:szCs w:val="18"/>
          <w:color w:val="auto"/>
        </w:rPr>
        <w:t>”). If applicable, Participant hereby reaffirms their obligations under such Restrictive Covenant Agreement and nothing contained in this Agreement shall cancel, change or modify Participant’s obligations thereunder.</w:t>
      </w:r>
    </w:p>
    <w:p>
      <w:pPr>
        <w:spacing w:after="0" w:line="175" w:lineRule="exact"/>
        <w:rPr>
          <w:rFonts w:ascii="Times New Roman" w:cs="Times New Roman" w:eastAsia="Times New Roman" w:hAnsi="Times New Roman"/>
          <w:sz w:val="18"/>
          <w:szCs w:val="18"/>
          <w:color w:val="auto"/>
        </w:rPr>
      </w:pPr>
    </w:p>
    <w:p>
      <w:pPr>
        <w:jc w:val="both"/>
        <w:ind w:firstLine="1142"/>
        <w:spacing w:after="0" w:line="256" w:lineRule="auto"/>
        <w:tabs>
          <w:tab w:leader="none" w:pos="131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xml:space="preserve">. The Participant, while providing Services to the Company and thereafter to the fullest extent permitted by law, shall not make any oral or written communication to any person or entity that disparages, or has the effect of damaging the reputation of, the Company, the Affiliates or their respective directors, officers, agents, employees, former employees, representatives or stockholders;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nothing in the foregoing shall preclude the Participant from disclosing any information to Participant’s attorney, or from responding truthfully to any inquiry from a governmental entity, and/or engaging in any protected activities and/or from communicating with the Company’s CEO and/or those employees or directors with a need to know about personnel issues involving Company officers, directors and/or employees.</w:t>
      </w:r>
    </w:p>
    <w:p>
      <w:pPr>
        <w:spacing w:after="0" w:line="187" w:lineRule="exact"/>
        <w:rPr>
          <w:rFonts w:ascii="Times New Roman" w:cs="Times New Roman" w:eastAsia="Times New Roman" w:hAnsi="Times New Roman"/>
          <w:sz w:val="18"/>
          <w:szCs w:val="18"/>
          <w:color w:val="auto"/>
        </w:rPr>
      </w:pPr>
    </w:p>
    <w:p>
      <w:pPr>
        <w:jc w:val="both"/>
        <w:ind w:firstLine="1142"/>
        <w:spacing w:after="0" w:line="266" w:lineRule="auto"/>
        <w:tabs>
          <w:tab w:leader="none" w:pos="132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Shares</w:t>
      </w:r>
      <w:r>
        <w:rPr>
          <w:rFonts w:ascii="Times New Roman" w:cs="Times New Roman" w:eastAsia="Times New Roman" w:hAnsi="Times New Roman"/>
          <w:sz w:val="18"/>
          <w:szCs w:val="18"/>
          <w:color w:val="auto"/>
        </w:rPr>
        <w:t>. In the event of any corporate event or transaction (as described in Section 12(a) of the Plan), the terms of this Award Agreement (including, without limitation, the number and kind of Units subject to this Agreement and the shares of stock deliverable with respect to such Units) may be adjusted as set forth in Section 12(a) of the Plan.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1" w:name="page122"/>
    <w:bookmarkEnd w:id="121"/>
    <w:p>
      <w:pPr>
        <w:jc w:val="both"/>
        <w:ind w:right="20" w:firstLine="1142"/>
        <w:spacing w:after="0" w:line="266" w:lineRule="auto"/>
        <w:tabs>
          <w:tab w:leader="none" w:pos="1341"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Continued Service</w:t>
      </w:r>
      <w:r>
        <w:rPr>
          <w:rFonts w:ascii="Times New Roman" w:cs="Times New Roman" w:eastAsia="Times New Roman" w:hAnsi="Times New Roman"/>
          <w:sz w:val="18"/>
          <w:szCs w:val="18"/>
          <w:color w:val="auto"/>
        </w:rPr>
        <w:t>. The granting of the Units evidenced hereby and this Agreement shall impose no obligation on the Company or any Affiliate to continue the Service of the Participant and shall not lessen or affect any right that the Company or any Affiliate may have to terminate the Service of such Participant.</w:t>
      </w:r>
    </w:p>
    <w:p>
      <w:pPr>
        <w:spacing w:after="0" w:line="175" w:lineRule="exact"/>
        <w:rPr>
          <w:rFonts w:ascii="Times New Roman" w:cs="Times New Roman" w:eastAsia="Times New Roman" w:hAnsi="Times New Roman"/>
          <w:sz w:val="18"/>
          <w:szCs w:val="18"/>
          <w:color w:val="auto"/>
        </w:rPr>
      </w:pPr>
    </w:p>
    <w:p>
      <w:pPr>
        <w:jc w:val="both"/>
        <w:ind w:firstLine="1142"/>
        <w:spacing w:after="0" w:line="254" w:lineRule="auto"/>
        <w:tabs>
          <w:tab w:leader="none" w:pos="140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Laws/Restrictions</w:t>
      </w:r>
      <w:r>
        <w:rPr>
          <w:rFonts w:ascii="Times New Roman" w:cs="Times New Roman" w:eastAsia="Times New Roman" w:hAnsi="Times New Roman"/>
          <w:sz w:val="18"/>
          <w:szCs w:val="18"/>
          <w:color w:val="auto"/>
        </w:rPr>
        <w:t>. The issuance and delivery of Shares pursuant to this Award Agreement shall comply with Section 16(c) of the Plan as well as comply with (or be exempt from) all applicable requirements of law, including (without limitation) the Securities Act of 1933, as amended, the rules and regulations promulgated thereunder, state securities laws and regulations, and the regulations of any stock exchange or other securities market on which the Company’s securities may then be traded. The Company shall not be obligated to file any registration statement under any applicable securities laws to permit the purchase or issuance of any shares of common stock under the Plan or Awards, and accordingly any certificates or other indicia of ownership for shares of common stock may have an appropriate legend or statement of applicable restrictions endorsed thereon. If the Company deems it necessary to ensure that the issuance of shares of common stock under the Plan is not required to be registered under any applicable securities laws, each Participant to whom such shares of common stock would be issued shall deliver to the Company an agreement or certificate containing such representations, warranties and covenants as the Company may reasonably request which satisfies such requirements.</w:t>
      </w:r>
    </w:p>
    <w:p>
      <w:pPr>
        <w:spacing w:after="0" w:line="188" w:lineRule="exact"/>
        <w:rPr>
          <w:rFonts w:ascii="Times New Roman" w:cs="Times New Roman" w:eastAsia="Times New Roman" w:hAnsi="Times New Roman"/>
          <w:sz w:val="18"/>
          <w:szCs w:val="18"/>
          <w:color w:val="auto"/>
        </w:rPr>
      </w:pPr>
    </w:p>
    <w:p>
      <w:pPr>
        <w:jc w:val="both"/>
        <w:ind w:firstLine="1142"/>
        <w:spacing w:after="0" w:line="255" w:lineRule="auto"/>
        <w:tabs>
          <w:tab w:leader="none" w:pos="142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xml:space="preserve">. Unless otherwise provided by the Committee, the Units may not be assigned, alienated, pledged, attached, sold or otherwise transferred or encumbered by the Participant other than by will or by the laws of descent and distribution, and any such purported assignment, alienation, pledge, attachment, sale, transfer or encumbrance shall be void and unenforceable against the Company or any Affiliate;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the designation of a beneficiary shall not constitute an assignment, alienation, pledge, attachment, sale, transfer or encumbrance. No such permitted transfer of the Units to heirs or legatees of the Participant shall be effective to bind the Company unless the Committee shall have been furnished with written notice thereof and a copy of such evidence as the Committee may deem necessary to establish the validity of the transfer and the acceptance by the transferee or transferees of the terms and conditions hereof.</w:t>
      </w:r>
    </w:p>
    <w:p>
      <w:pPr>
        <w:spacing w:after="0" w:line="188" w:lineRule="exact"/>
        <w:rPr>
          <w:rFonts w:ascii="Times New Roman" w:cs="Times New Roman" w:eastAsia="Times New Roman" w:hAnsi="Times New Roman"/>
          <w:sz w:val="18"/>
          <w:szCs w:val="18"/>
          <w:color w:val="auto"/>
        </w:rPr>
      </w:pPr>
    </w:p>
    <w:p>
      <w:pPr>
        <w:jc w:val="both"/>
        <w:ind w:firstLine="1142"/>
        <w:spacing w:after="0" w:line="266" w:lineRule="auto"/>
        <w:tabs>
          <w:tab w:leader="none" w:pos="141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Participant may be required to pay to the Company or any Affiliate and the Company shall have the right and is hereby authorized to withhold, any applicable withholding taxes in respect of the transfer of Shares and to take such other action as may be necessary in the opinion of the Committee to satisfy all obligations for the payment of such withholding taxes.</w:t>
      </w:r>
    </w:p>
    <w:p>
      <w:pPr>
        <w:spacing w:after="0" w:line="175" w:lineRule="exact"/>
        <w:rPr>
          <w:rFonts w:ascii="Times New Roman" w:cs="Times New Roman" w:eastAsia="Times New Roman" w:hAnsi="Times New Roman"/>
          <w:sz w:val="18"/>
          <w:szCs w:val="18"/>
          <w:color w:val="auto"/>
        </w:rPr>
      </w:pPr>
    </w:p>
    <w:p>
      <w:pPr>
        <w:jc w:val="both"/>
        <w:ind w:firstLine="1142"/>
        <w:spacing w:after="0" w:line="261" w:lineRule="auto"/>
        <w:tabs>
          <w:tab w:leader="none" w:pos="140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notification required by the terms of this Agreement shall be given in writing and shall be deemed effective upon personal delivery or within three (3) days of deposit with the United States Postal Service, by registered or certified mail, with postage and fees prepaid. A notice shall be addressed to the Company, Attention: General Counsel, at its principal executive office and to the Participant at the address that he or she most recently provided to the Company.</w:t>
      </w:r>
    </w:p>
    <w:p>
      <w:pPr>
        <w:spacing w:after="0" w:line="179" w:lineRule="exact"/>
        <w:rPr>
          <w:rFonts w:ascii="Times New Roman" w:cs="Times New Roman" w:eastAsia="Times New Roman" w:hAnsi="Times New Roman"/>
          <w:sz w:val="18"/>
          <w:szCs w:val="18"/>
          <w:color w:val="auto"/>
        </w:rPr>
      </w:pPr>
    </w:p>
    <w:p>
      <w:pPr>
        <w:jc w:val="both"/>
        <w:ind w:firstLine="1142"/>
        <w:spacing w:after="0" w:line="258" w:lineRule="auto"/>
        <w:tabs>
          <w:tab w:leader="none" w:pos="140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the details of the award on the Participant’s online award acceptance page of the Administrator, the terms of the Mandatory Clawback Policy and Supplemental Clawback policy, as amended from time to time, if applicable, and the Plan constitute the entire contract between the parties hereto with regard to the subject matter hereof. They supersede any other agreements, representations or understandings (whether oral or written and whether express or implied) which relate to the subject matter hereof; however if any term in either the Mandatory Clawback Policy or Supplemental Clawback Policy are contrary to any term contained herein, the terms of such policies shall prevail</w:t>
      </w:r>
    </w:p>
    <w:p>
      <w:pPr>
        <w:spacing w:after="0" w:line="183" w:lineRule="exact"/>
        <w:rPr>
          <w:rFonts w:ascii="Times New Roman" w:cs="Times New Roman" w:eastAsia="Times New Roman" w:hAnsi="Times New Roman"/>
          <w:sz w:val="18"/>
          <w:szCs w:val="18"/>
          <w:color w:val="auto"/>
        </w:rPr>
      </w:pPr>
    </w:p>
    <w:p>
      <w:pPr>
        <w:ind w:firstLine="1142"/>
        <w:spacing w:after="0" w:line="282" w:lineRule="auto"/>
        <w:tabs>
          <w:tab w:leader="none" w:pos="140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of any breach or condition of this Agreement shall be deemed to be a waiver of any other or subsequent breach or condition whether of like or different nature.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2" w:name="page123"/>
    <w:bookmarkEnd w:id="122"/>
    <w:p>
      <w:pPr>
        <w:ind w:left="1140"/>
        <w:spacing w:after="0"/>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provisions of this Agreement shall inure to the</w:t>
      </w:r>
    </w:p>
    <w:p>
      <w:pPr>
        <w:spacing w:after="0" w:line="225"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benefit of, and be binding upon, the Company and its successors and assigns and upon the Participant, the Participant’s assigns and the legal representatives, heirs and legatees of the Participant’s estate, whether or not any such person shall have become a party to this Agreement and have agreed in writing to be joined herein and be bound by the terms hereof.</w:t>
      </w:r>
    </w:p>
    <w:p>
      <w:pPr>
        <w:spacing w:after="0" w:line="176" w:lineRule="exact"/>
        <w:rPr>
          <w:sz w:val="20"/>
          <w:szCs w:val="20"/>
          <w:color w:val="auto"/>
        </w:rPr>
      </w:pPr>
    </w:p>
    <w:p>
      <w:pPr>
        <w:jc w:val="both"/>
        <w:ind w:firstLine="1142"/>
        <w:spacing w:after="0" w:line="266" w:lineRule="auto"/>
        <w:tabs>
          <w:tab w:leader="none" w:pos="141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w:t>
      </w:r>
      <w:r>
        <w:rPr>
          <w:rFonts w:ascii="Times New Roman" w:cs="Times New Roman" w:eastAsia="Times New Roman" w:hAnsi="Times New Roman"/>
          <w:sz w:val="18"/>
          <w:szCs w:val="18"/>
          <w:color w:val="auto"/>
        </w:rPr>
        <w:t>. This Agreement shall be governed by the law of the State of Delaware (regardless of the laws that might otherwise govern under applicable Delaware principles of conflicts of law) as to all matters, including but not limited to matters of validity, construction, effect, performance and remedies.</w:t>
      </w:r>
    </w:p>
    <w:p>
      <w:pPr>
        <w:spacing w:after="0" w:line="175" w:lineRule="exact"/>
        <w:rPr>
          <w:rFonts w:ascii="Times New Roman" w:cs="Times New Roman" w:eastAsia="Times New Roman" w:hAnsi="Times New Roman"/>
          <w:sz w:val="18"/>
          <w:szCs w:val="18"/>
          <w:color w:val="auto"/>
        </w:rPr>
      </w:pPr>
    </w:p>
    <w:p>
      <w:pPr>
        <w:jc w:val="both"/>
        <w:ind w:firstLine="1142"/>
        <w:spacing w:after="0" w:line="261" w:lineRule="auto"/>
        <w:tabs>
          <w:tab w:leader="none" w:pos="141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Units Subject to Plan</w:t>
      </w:r>
      <w:r>
        <w:rPr>
          <w:rFonts w:ascii="Times New Roman" w:cs="Times New Roman" w:eastAsia="Times New Roman" w:hAnsi="Times New Roman"/>
          <w:sz w:val="18"/>
          <w:szCs w:val="18"/>
          <w:color w:val="auto"/>
        </w:rPr>
        <w:t>. By entering into this Agreement the Participant agrees and acknowledges that the Participant has received and read a copy of the Plan. The Units are subject to the Plan.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w:t>
      </w:r>
    </w:p>
    <w:p>
      <w:pPr>
        <w:spacing w:after="0" w:line="179" w:lineRule="exact"/>
        <w:rPr>
          <w:rFonts w:ascii="Times New Roman" w:cs="Times New Roman" w:eastAsia="Times New Roman" w:hAnsi="Times New Roman"/>
          <w:sz w:val="18"/>
          <w:szCs w:val="18"/>
          <w:color w:val="auto"/>
        </w:rPr>
      </w:pPr>
    </w:p>
    <w:p>
      <w:pPr>
        <w:jc w:val="both"/>
        <w:ind w:firstLine="1142"/>
        <w:spacing w:after="0" w:line="255" w:lineRule="auto"/>
        <w:tabs>
          <w:tab w:leader="none" w:pos="140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Guarantees Regarding Tax Treatment</w:t>
      </w:r>
      <w:r>
        <w:rPr>
          <w:rFonts w:ascii="Times New Roman" w:cs="Times New Roman" w:eastAsia="Times New Roman" w:hAnsi="Times New Roman"/>
          <w:sz w:val="18"/>
          <w:szCs w:val="18"/>
          <w:color w:val="auto"/>
        </w:rPr>
        <w:t>. Participants (or their beneficiaries) shall be responsible for all taxes with respect to the Units and related Shares, if any, that are vested and earned. The Committee and the Company make no guarantees regarding the tax treatment of this Award. Neither the Committee nor the Company has any obligation to take any action to prevent the assessment of any tax under Section 409A of the Code or Section 457A of the Code or otherwise and none of the Company, any Subsidiary or Affiliate, or any of their employees or representatives shall have any liability to a Participant with respect thereto. If the delivery of Shares pursuant to the vesting of the Units is conditioned upon the execution of a release by the Participant and the combined time period for the execution of the release and the delivery of such shares overlaps the end of a calendar year, the shares of common stock shall be delivered in the second calendar year.</w:t>
      </w:r>
    </w:p>
    <w:p>
      <w:pPr>
        <w:spacing w:after="0" w:line="188" w:lineRule="exact"/>
        <w:rPr>
          <w:rFonts w:ascii="Times New Roman" w:cs="Times New Roman" w:eastAsia="Times New Roman" w:hAnsi="Times New Roman"/>
          <w:sz w:val="18"/>
          <w:szCs w:val="18"/>
          <w:color w:val="auto"/>
        </w:rPr>
      </w:pPr>
    </w:p>
    <w:p>
      <w:pPr>
        <w:ind w:right="20" w:firstLine="1142"/>
        <w:spacing w:after="0" w:line="282" w:lineRule="auto"/>
        <w:tabs>
          <w:tab w:leader="none" w:pos="140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The Committee, or the CEO, may amend or alter this Agreement and the Units granted hereunder at any time, subject to the terms of the Plan.</w:t>
      </w:r>
    </w:p>
    <w:p>
      <w:pPr>
        <w:spacing w:after="0" w:line="161" w:lineRule="exact"/>
        <w:rPr>
          <w:rFonts w:ascii="Times New Roman" w:cs="Times New Roman" w:eastAsia="Times New Roman" w:hAnsi="Times New Roman"/>
          <w:sz w:val="18"/>
          <w:szCs w:val="18"/>
          <w:color w:val="auto"/>
        </w:rPr>
      </w:pPr>
    </w:p>
    <w:p>
      <w:pPr>
        <w:ind w:firstLine="1142"/>
        <w:spacing w:after="0" w:line="282" w:lineRule="auto"/>
        <w:tabs>
          <w:tab w:leader="none" w:pos="140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61" w:lineRule="exact"/>
        <w:rPr>
          <w:rFonts w:ascii="Times New Roman" w:cs="Times New Roman" w:eastAsia="Times New Roman" w:hAnsi="Times New Roman"/>
          <w:sz w:val="18"/>
          <w:szCs w:val="18"/>
          <w:color w:val="auto"/>
        </w:rPr>
      </w:pPr>
    </w:p>
    <w:p>
      <w:pPr>
        <w:jc w:val="both"/>
        <w:ind w:firstLine="1142"/>
        <w:spacing w:after="0" w:line="256" w:lineRule="auto"/>
        <w:tabs>
          <w:tab w:leader="none" w:pos="1431"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Signature</w:t>
      </w:r>
      <w:r>
        <w:rPr>
          <w:rFonts w:ascii="Times New Roman" w:cs="Times New Roman" w:eastAsia="Times New Roman" w:hAnsi="Times New Roman"/>
          <w:sz w:val="18"/>
          <w:szCs w:val="18"/>
          <w:color w:val="auto"/>
        </w:rPr>
        <w:t>. The Agreement is subject to Participant’s acceptance of the terms and conditions of this Agreement. By clicking the acknowledgment button, Participant indicates he or she (1) has been provided access to a copy of the Plan, (2) has had the opportunity to obtain independent legal advice prior to accepting the grant, (3) has read this Agreement, (4) agrees fully to the terms of the Agreement and (5) consents to receive all applicable documentation by electronic delivery and to participate in the Plan through an on-line (and/or voice activated) system established and maintained by the Company or the Company’s third-party stock plan administrator. The Participant also acknowledges that all decisions, determinations and interpretations of the Committee in respect of the Plan, this Agreement and the Units shall be final and conclusive.</w:t>
      </w:r>
    </w:p>
    <w:p>
      <w:pPr>
        <w:spacing w:after="0" w:line="187" w:lineRule="exact"/>
        <w:rPr>
          <w:rFonts w:ascii="Times New Roman" w:cs="Times New Roman" w:eastAsia="Times New Roman" w:hAnsi="Times New Roman"/>
          <w:sz w:val="18"/>
          <w:szCs w:val="18"/>
          <w:color w:val="auto"/>
        </w:rPr>
      </w:pPr>
    </w:p>
    <w:p>
      <w:pPr>
        <w:jc w:val="both"/>
        <w:ind w:firstLine="1142"/>
        <w:spacing w:after="0" w:line="256" w:lineRule="auto"/>
        <w:tabs>
          <w:tab w:leader="none" w:pos="1431"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Recovery</w:t>
      </w:r>
      <w:r>
        <w:rPr>
          <w:rFonts w:ascii="Times New Roman" w:cs="Times New Roman" w:eastAsia="Times New Roman" w:hAnsi="Times New Roman"/>
          <w:sz w:val="18"/>
          <w:szCs w:val="18"/>
          <w:color w:val="auto"/>
        </w:rPr>
        <w:t xml:space="preserve">. In addition to those provisions in </w:t>
      </w:r>
      <w:r>
        <w:rPr>
          <w:rFonts w:ascii="Times New Roman" w:cs="Times New Roman" w:eastAsia="Times New Roman" w:hAnsi="Times New Roman"/>
          <w:sz w:val="18"/>
          <w:szCs w:val="18"/>
          <w:u w:val="single" w:color="auto"/>
          <w:color w:val="auto"/>
        </w:rPr>
        <w:t>Sections 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to the extent that this Award and any compensation associated therewith is considered “incentive-based compensation” within the meaning and subject to the requirements of Section 10D of the Exchange Act, this Award and any compensation associated therewith shall be subject to potential forfeiture or recovery by the Company in accordance with any compensation recovery policy adopted by the Board or the Committee in response to the requirements of Section 10D of the Exchange Act and any implementing rules and regulations thereunder adopted by the Securities and Exchange Commission or any national securities exchange on which the Company’s Shares are then listed. This Agreement may be unilaterally amended by the Committee to comply with any such compensation recovery policy.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3" w:name="page124"/>
    <w:bookmarkEnd w:id="123"/>
    <w:p>
      <w:pPr>
        <w:jc w:val="both"/>
        <w:ind w:firstLine="1142"/>
        <w:spacing w:after="0" w:line="255" w:lineRule="auto"/>
        <w:tabs>
          <w:tab w:leader="none" w:pos="140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w:t>
      </w:r>
      <w:r>
        <w:rPr>
          <w:rFonts w:ascii="Times New Roman" w:cs="Times New Roman" w:eastAsia="Times New Roman" w:hAnsi="Times New Roman"/>
          <w:sz w:val="18"/>
          <w:szCs w:val="18"/>
          <w:color w:val="auto"/>
        </w:rPr>
        <w:t xml:space="preserve">. Notwithstanding anything to the contrary in this Agreement, if the Participant’s Service is terminated for Cause, or if, during the term of the Participant’s Service with the Company and its Affiliates and for one year after such Service ends (or such longer period as specified in the Participant’s Restrictive Covenant Agreement, if applicable, or following the Participant’s Normal Retirement and prior to the Scheduled Vesting Date) (the “Restricted Period”), the Participant breaches any of the restrictive covenants contained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then (i) the Participant shall immediately forfeit this Award and any right to receive Shares that have not yet been issued pursuant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and (ii) with respect to Shares that have been issued pursuant to this Award, either (A) the Participant shall return such Shares to the Company, or (B) the Participant shall pay to the Company in cash an amount equal to the Fair Market Value of such Shares as of the respective vesting date of the underlying Units.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4" w:name="page125"/>
    <w:bookmarkEnd w:id="1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Performance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A shall be provided by separate document and constitutes part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788670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03" w:right="1440"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RELEASE</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release is required as a condition for receiving the benefits provided pursuant to the Performance Share  Award  Agreement between</w:t>
      </w:r>
    </w:p>
    <w:p>
      <w:pPr>
        <w:spacing w:after="0" w:line="27" w:lineRule="exact"/>
        <w:rPr>
          <w:sz w:val="20"/>
          <w:szCs w:val="20"/>
          <w:color w:val="auto"/>
        </w:rPr>
      </w:pPr>
    </w:p>
    <w:p>
      <w:pPr>
        <w:jc w:val="both"/>
        <w:ind w:firstLine="49"/>
        <w:spacing w:after="0" w:line="253" w:lineRule="auto"/>
        <w:rPr>
          <w:sz w:val="20"/>
          <w:szCs w:val="20"/>
          <w:color w:val="auto"/>
        </w:rPr>
      </w:pPr>
      <w:r>
        <w:rPr>
          <w:rFonts w:ascii="Times New Roman" w:cs="Times New Roman" w:eastAsia="Times New Roman" w:hAnsi="Times New Roman"/>
          <w:sz w:val="18"/>
          <w:szCs w:val="18"/>
          <w:color w:val="auto"/>
        </w:rPr>
        <w:t>GENERAC HOLDINGS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dated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thus, by executing this release (“Release”), you have advised us that you hold no claims against the Company, its predecessors, successors or assigns, affiliates, shareholders or members and each of their respective officers, directors, agents and employees (collectively, the “Releasees”), and by execution of this Release you agree to waive and release any such claims, except relating to any compensation, severance pay and benefits described in any written agreement between you and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2532380</wp:posOffset>
            </wp:positionH>
            <wp:positionV relativeFrom="paragraph">
              <wp:posOffset>-441960</wp:posOffset>
            </wp:positionV>
            <wp:extent cx="140843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0">
                      <a:extLst>
                        <a:ext uri="{28A0092B-C50C-407E-A947-70E740481C1C}"/>
                      </a:extLst>
                    </a:blip>
                    <a:srcRect/>
                    <a:stretch>
                      <a:fillRect/>
                    </a:stretch>
                  </pic:blipFill>
                  <pic:spPr bwMode="auto">
                    <a:xfrm>
                      <a:off x="0" y="0"/>
                      <a:ext cx="1408430" cy="8890"/>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-441960</wp:posOffset>
            </wp:positionV>
            <wp:extent cx="81724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1">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385"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You understand and agree that this Release will extend to all claims, demands, liabilities and causes of action of every kind, nature and description whatsoever, whether known, unknown or suspected to exist, which you ever had or may now have against the Releasees in your capacity as an employee of the Company, including, without limitation, any claims, demands, liabilities and causes of action arising from your employment with the Releasees and the termination of that employment, including any claims for severance or vacation pay, business expenses, and/or pursuant to any federal, state, county, or local employment laws, regulations, executive orders, or other requirements, including, but not limited to, Title VII of the 1964 Civil Rights Act, the 1866 Civil Rights Act, the Age Discrimination in Employment Act as amended by the Older Workers Benefit Protection Act, the Americans with Disabilities Act, the Civil Rights Act of 1991, the Workers Adjustment and Retraining Notification Act and any other local, state or federal fair employment laws, and any contract or tort claims.</w:t>
      </w:r>
    </w:p>
    <w:p>
      <w:pPr>
        <w:spacing w:after="0" w:line="192" w:lineRule="exact"/>
        <w:rPr>
          <w:sz w:val="20"/>
          <w:szCs w:val="20"/>
          <w:color w:val="auto"/>
        </w:rPr>
      </w:pPr>
    </w:p>
    <w:p>
      <w:pPr>
        <w:jc w:val="both"/>
        <w:ind w:right="20" w:firstLine="972"/>
        <w:spacing w:after="0" w:line="266" w:lineRule="auto"/>
        <w:rPr>
          <w:sz w:val="20"/>
          <w:szCs w:val="20"/>
          <w:color w:val="auto"/>
        </w:rPr>
      </w:pPr>
      <w:r>
        <w:rPr>
          <w:rFonts w:ascii="Times New Roman" w:cs="Times New Roman" w:eastAsia="Times New Roman" w:hAnsi="Times New Roman"/>
          <w:sz w:val="18"/>
          <w:szCs w:val="18"/>
          <w:color w:val="auto"/>
        </w:rPr>
        <w:t>You understand and agree that this Release is intended to include all claims by you or on your behalf alleging discrimination on the basis of race, sex, religion, national origin, age, disability, marital status, or any other protected status or involving any contract or tort claims based on your termination from the Company. It is also acknowledged that your termination is not in any way related to any work-related injury.</w:t>
      </w:r>
    </w:p>
    <w:p>
      <w:pPr>
        <w:spacing w:after="0" w:line="176"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It also is understood and agreed that the remedy at law for breach of the Award Agreement, any restrictive covenant agreements between you and the Company, and/or this Release shall be inadequate, and the Company shall be entitled to injunctive relief in respect thereof.</w:t>
      </w:r>
    </w:p>
    <w:p>
      <w:pPr>
        <w:spacing w:after="0" w:line="162"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Your ability to receive payments and benefits under the terms of the Award Agreement will remain open for a 21-day period after your Termination Date to give you an opportunity to consider the effect of this Release. At your option, you may elect to execute this Release on an earlier date. Additionally, you have seven days after the date you execute this Release to revoke it. As a result, this Release will not be effective until eight days after you execute it. We also want to advise you of your right to consult with legal counsel prior to executing a copy of this Release.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Finally, this is to expressly acknowledge:</w:t>
      </w:r>
    </w:p>
    <w:p>
      <w:pPr>
        <w:spacing w:after="0" w:line="225" w:lineRule="exact"/>
        <w:rPr>
          <w:sz w:val="20"/>
          <w:szCs w:val="20"/>
          <w:color w:val="auto"/>
        </w:rPr>
      </w:pPr>
    </w:p>
    <w:p>
      <w:pPr>
        <w:ind w:left="1620" w:hanging="640"/>
        <w:spacing w:after="0"/>
        <w:tabs>
          <w:tab w:leader="none" w:pos="16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understand that you are not waiving any claims or rights that may arise after the date you execute this Release.</w:t>
      </w:r>
    </w:p>
    <w:p>
      <w:pPr>
        <w:spacing w:after="0" w:line="252" w:lineRule="exact"/>
        <w:rPr>
          <w:rFonts w:ascii="Times New Roman" w:cs="Times New Roman" w:eastAsia="Times New Roman" w:hAnsi="Times New Roman"/>
          <w:sz w:val="18"/>
          <w:szCs w:val="18"/>
          <w:color w:val="auto"/>
        </w:rPr>
      </w:pPr>
    </w:p>
    <w:p>
      <w:pPr>
        <w:ind w:left="1620" w:hanging="640"/>
        <w:spacing w:after="0" w:line="282" w:lineRule="auto"/>
        <w:tabs>
          <w:tab w:leader="none" w:pos="16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understand and agree that the compensation and benefits described in the Award Agreement offer you consideration greater than that to which you would otherwise be entitled.</w:t>
      </w:r>
    </w:p>
    <w:p>
      <w:pPr>
        <w:spacing w:after="0" w:line="162"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I hereby state that I have carefully read this Release and that I am signing this Release knowingly and voluntarily with the full intent of releasing the Releases from any and all claims, except as set forth herein. Further, if signed prior to the completion of the 21 day review period, this is to acknowledge that I knowingly and voluntarily signed this Release on an earlier date.</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134225" cy="3022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2">
                      <a:extLst>
                        <a:ext uri="{28A0092B-C50C-407E-A947-70E740481C1C}"/>
                      </a:extLst>
                    </a:blip>
                    <a:srcRect/>
                    <a:stretch>
                      <a:fillRect/>
                    </a:stretch>
                  </pic:blipFill>
                  <pic:spPr bwMode="auto">
                    <a:xfrm>
                      <a:off x="0" y="0"/>
                      <a:ext cx="7134225" cy="30226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40" w:type="dxa"/>
            <w:vAlign w:val="bottom"/>
            <w:gridSpan w:val="3"/>
          </w:tcPr>
          <w:p>
            <w:pPr>
              <w:ind w:left="3100"/>
              <w:spacing w:after="0"/>
              <w:rPr>
                <w:sz w:val="20"/>
                <w:szCs w:val="20"/>
                <w:color w:val="auto"/>
              </w:rPr>
            </w:pPr>
            <w:r>
              <w:rPr>
                <w:rFonts w:ascii="Times New Roman" w:cs="Times New Roman" w:eastAsia="Times New Roman" w:hAnsi="Times New Roman"/>
                <w:sz w:val="18"/>
                <w:szCs w:val="18"/>
                <w:b w:val="1"/>
                <w:bCs w:val="1"/>
                <w:color w:val="auto"/>
              </w:rPr>
              <w:t>LISTING OF SUBSIDIARIES OF GENERAC HOLDINGS INC.</w:t>
            </w:r>
          </w:p>
        </w:tc>
      </w:tr>
      <w:tr>
        <w:trPr>
          <w:trHeight w:val="648"/>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c>
          <w:tcPr>
            <w:tcW w:w="240" w:type="dxa"/>
            <w:vAlign w:val="bottom"/>
          </w:tcPr>
          <w:p>
            <w:pPr>
              <w:spacing w:after="0"/>
              <w:rPr>
                <w:sz w:val="24"/>
                <w:szCs w:val="24"/>
                <w:color w:val="auto"/>
              </w:rPr>
            </w:pPr>
          </w:p>
        </w:tc>
        <w:tc>
          <w:tcPr>
            <w:tcW w:w="6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tc>
      </w:tr>
      <w:tr>
        <w:trPr>
          <w:trHeight w:val="191"/>
        </w:trPr>
        <w:tc>
          <w:tcPr>
            <w:tcW w:w="4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Generac Power Systems, Inc.</w:t>
            </w:r>
          </w:p>
        </w:tc>
        <w:tc>
          <w:tcPr>
            <w:tcW w:w="240" w:type="dxa"/>
            <w:vAlign w:val="bottom"/>
          </w:tcPr>
          <w:p>
            <w:pPr>
              <w:spacing w:after="0"/>
              <w:rPr>
                <w:sz w:val="16"/>
                <w:szCs w:val="16"/>
                <w:color w:val="auto"/>
              </w:rPr>
            </w:pPr>
          </w:p>
        </w:tc>
        <w:tc>
          <w:tcPr>
            <w:tcW w:w="6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Wisconsin, U.S.</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Generac Mobile Products, LLC</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Wisconsin, U.S.</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Warehouse Development Group LLC</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Wisconsin, U.S.</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Generac Ventures LLC</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Wisconsin, U.S.</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Generac Acquisition Corp.</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Delaware, U.S.</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MAC, Inc.</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Delaware, U.S.</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CHP Holdings, Inc.</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Delaware, U.S.</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Country Home Products, Inc.</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Delaware, U.S.</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Powermate, LLC</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Delaware, U.S.</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Generac Grid Services LLC</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Delaware, U.S.</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Pika Energy, Inc.</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Delaware, U.S.</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Power Management Holdings (U.S.), Inc.</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Delaware, U.S.</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Enbala U.S. Power Inc.</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Delaware, U.S.</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Generac TEP I, LLC</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Delaware, U.S.</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Sunnova TEP V-A, LLC</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Delaware, U.S.</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Tank Utility, Inc.</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Delaware, U.S.</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Energy Systems Holdings Inc.</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Delaware, U.S.</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Generac Power Plan, Inc.</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Vermont, U.S.</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Generac Services, Inc.</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Vermont, U.S.</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Route 22A &amp; 1 Main LLC</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Vermont, U.S.</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MAC Holdings, LLC</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North Dakota, U.S</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PR-NA Industries Inc.</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Florida, U.S.</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Motortech Americas, L.L.C</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Louisiana, U.S.</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East Coast Energy Systems LLC</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Massachusetts, U.S.</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Electronic Environments Co. LLC</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Massachusetts, U.S.</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Wolverine Power Systems, LLC</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Michigan, U.S.</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Energy Systems New York, LLC</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New York, U.S.</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West Coast Energy Systems LLC</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California, U.S.</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Energy Systems Texas, LLC</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Texas, U.S.</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ecobee Ltd.</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Nevada, U.S.</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Deep Sea Electronics, Inc.</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Illinois, U.S.</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 Australia PTY Ltd</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 Middle East WLL</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Bahrain</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Generac do Brasil Ltda</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GPR Brazil Equipamentos Ltda</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Neurio Technology ULC</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ecobee Technologies ULC</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Generac Industrial ULC</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Pramac Fu Lee Foshan Power Equipment Ltd</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Motortech Shanghai Co., Ltd.</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Suzhou Generac Power Systems Co., Ltd</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Generac Colombia S.A.S.</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Colombia</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Pramac Europe SAS</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Services &amp; Gestion France Sarl</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Pramac GmbH</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Motortech GmbH</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Pramac Storage Systems GmbH</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Captiva Energy Solutions Pvt. Ltd.</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Deep Sea Electronics India Private Limited</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 Industrial S.r.l.</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PRO S.r.l</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IFC, S.r.l</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La Serena Sculture S.r.l</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Generac Mexico Administracion, S.A. de C.V.</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Generac Mexico, S.A. de C.V.</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Selmec Equipos Industriales, S.A. de C.V.</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Generac Servicios Mantenimiento, S.A. de C.V.</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Servicios Administrativos Selmec, S.A. de C.V.</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Generac Hidalgo, S.A. de C.V.</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GMH 2020, S. de R.L. de C.V.</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Pramac Sp. Z.o.o.</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Poland</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Motortech Polska Sp. Z.o.o.</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Poland</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Pramac Generators S.r.l.</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Romania</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Pramac RUS Ltd</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Russia</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Pramac Iberica S.A.U.</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Spain</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 Middle East Fze</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Generac UK Acquisition Limited</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Generac UK DSE Topco Limited</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Generac UK DSE Midco Limited</w:t>
            </w: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Generac UK DSE Bidco Limited</w:t>
            </w:r>
          </w:p>
        </w:tc>
        <w:tc>
          <w:tcPr>
            <w:tcW w:w="24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bl>
    <w:p>
      <w:pPr>
        <w:sectPr>
          <w:pgSz w:w="11900" w:h="16838" w:orient="portrait"/>
          <w:cols w:equalWidth="0" w:num="1">
            <w:col w:w="11240"/>
          </w:cols>
          <w:pgMar w:left="320" w:top="117" w:right="339" w:bottom="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color w:val="auto"/>
        </w:rPr>
        <w:t>Deep Sea Electronics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Generac Holdings UK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Generac Global UK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Ottomotores Nominees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Pramac - Generac UK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Pramac Racing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DSE Development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 Grid Energy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Cocoon Labs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United Kingdom</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w:t>
      </w:r>
    </w:p>
    <w:p>
      <w:pPr>
        <w:sectPr>
          <w:pgSz w:w="11900" w:h="16838" w:orient="portrait"/>
          <w:cols w:equalWidth="0" w:num="2">
            <w:col w:w="4020" w:space="720"/>
            <w:col w:w="5399"/>
          </w:cols>
          <w:pgMar w:left="320" w:top="121" w:right="1440"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333-164851, 333-183109, 333-197944, 333-233050, and 333-283011 on Form S-8 of our reports dated February 19, 2025, relating to the financial statements of Generac Holdings Inc., and the effectiveness of Generac Holdings Inc.'s internal control over financial reporting, appearing in this Annual Report on Form 10-K for the year ended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19, 2025</w:t>
      </w:r>
    </w:p>
    <w:p>
      <w:pPr>
        <w:sectPr>
          <w:pgSz w:w="11900" w:h="16838" w:orient="portrait"/>
          <w:cols w:equalWidth="0" w:num="1">
            <w:col w:w="11240"/>
          </w:cols>
          <w:pgMar w:left="320" w:top="117"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 AS ADOPTED</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Aaron Jagdfeld, certify that:</w:t>
      </w:r>
    </w:p>
    <w:p>
      <w:pPr>
        <w:spacing w:after="0" w:line="225" w:lineRule="exact"/>
        <w:rPr>
          <w:sz w:val="20"/>
          <w:szCs w:val="20"/>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Generac Holdings Inc.;</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30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300"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30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30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19, 2025</w:t>
            </w: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Aaron Jagdfeld</w:t>
            </w:r>
          </w:p>
        </w:tc>
        <w:tc>
          <w:tcPr>
            <w:tcW w:w="4780" w:type="dxa"/>
            <w:vAlign w:val="bottom"/>
            <w:tcBorders>
              <w:bottom w:val="single" w:sz="8" w:color="auto"/>
            </w:tcBorders>
          </w:tcPr>
          <w:p>
            <w:pPr>
              <w:spacing w:after="0"/>
              <w:rPr>
                <w:sz w:val="20"/>
                <w:szCs w:val="20"/>
                <w:color w:val="auto"/>
              </w:rPr>
            </w:pPr>
          </w:p>
        </w:tc>
      </w:tr>
      <w:tr>
        <w:trPr>
          <w:trHeight w:val="189"/>
        </w:trPr>
        <w:tc>
          <w:tcPr>
            <w:tcW w:w="5080" w:type="dxa"/>
            <w:vAlign w:val="bottom"/>
          </w:tcPr>
          <w:p>
            <w:pPr>
              <w:spacing w:after="0"/>
              <w:rPr>
                <w:sz w:val="16"/>
                <w:szCs w:val="16"/>
                <w:color w:val="auto"/>
              </w:rPr>
            </w:pPr>
          </w:p>
        </w:tc>
        <w:tc>
          <w:tcPr>
            <w:tcW w:w="13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478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Aaron Jagdfeld</w:t>
            </w:r>
          </w:p>
        </w:tc>
      </w:tr>
      <w:tr>
        <w:trPr>
          <w:trHeight w:val="236"/>
        </w:trPr>
        <w:tc>
          <w:tcPr>
            <w:tcW w:w="508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Chairman, President and Chief Executive Officer</w:t>
            </w:r>
          </w:p>
        </w:tc>
      </w:tr>
    </w:tbl>
    <w:p>
      <w:pPr>
        <w:sectPr>
          <w:pgSz w:w="11900" w:h="16838" w:orient="portrait"/>
          <w:cols w:equalWidth="0" w:num="1">
            <w:col w:w="11240"/>
          </w:cols>
          <w:pgMar w:left="320" w:top="117"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 AS ADOPTED</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York A. Ragen, certify that:</w:t>
      </w:r>
    </w:p>
    <w:p>
      <w:pPr>
        <w:spacing w:after="0" w:line="225" w:lineRule="exact"/>
        <w:rPr>
          <w:sz w:val="20"/>
          <w:szCs w:val="20"/>
          <w:color w:val="auto"/>
        </w:rPr>
      </w:pPr>
    </w:p>
    <w:p>
      <w:pPr>
        <w:ind w:left="660" w:hanging="328"/>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Generac Holdings Inc.;</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30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300" w:val="left"/>
        </w:tabs>
        <w:numPr>
          <w:ilvl w:val="1"/>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30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30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19, 2025</w:t>
            </w:r>
          </w:p>
        </w:tc>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York A. Ragen</w:t>
            </w:r>
          </w:p>
        </w:tc>
        <w:tc>
          <w:tcPr>
            <w:tcW w:w="4800" w:type="dxa"/>
            <w:vAlign w:val="bottom"/>
            <w:tcBorders>
              <w:bottom w:val="single" w:sz="8" w:color="auto"/>
            </w:tcBorders>
          </w:tcPr>
          <w:p>
            <w:pPr>
              <w:spacing w:after="0"/>
              <w:rPr>
                <w:sz w:val="20"/>
                <w:szCs w:val="20"/>
                <w:color w:val="auto"/>
              </w:rPr>
            </w:pPr>
          </w:p>
        </w:tc>
      </w:tr>
      <w:tr>
        <w:trPr>
          <w:trHeight w:val="189"/>
        </w:trPr>
        <w:tc>
          <w:tcPr>
            <w:tcW w:w="5080" w:type="dxa"/>
            <w:vAlign w:val="bottom"/>
          </w:tcPr>
          <w:p>
            <w:pPr>
              <w:spacing w:after="0"/>
              <w:rPr>
                <w:sz w:val="16"/>
                <w:szCs w:val="16"/>
                <w:color w:val="auto"/>
              </w:rPr>
            </w:pPr>
          </w:p>
        </w:tc>
        <w:tc>
          <w:tcPr>
            <w:tcW w:w="1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480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York A. Ragen</w:t>
            </w:r>
          </w:p>
        </w:tc>
      </w:tr>
      <w:tr>
        <w:trPr>
          <w:trHeight w:val="236"/>
        </w:trPr>
        <w:tc>
          <w:tcPr>
            <w:tcW w:w="508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bl>
    <w:p>
      <w:pPr>
        <w:sectPr>
          <w:pgSz w:w="11900" w:h="16838" w:orient="portrait"/>
          <w:cols w:equalWidth="0" w:num="1">
            <w:col w:w="11240"/>
          </w:cols>
          <w:pgMar w:left="320" w:top="117"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SECTION 906 OF THE SARBANES-OXLEY ACT OF 2002</w:t>
      </w:r>
    </w:p>
    <w:p>
      <w:pPr>
        <w:spacing w:after="0" w:line="207" w:lineRule="exact"/>
        <w:rPr>
          <w:sz w:val="20"/>
          <w:szCs w:val="20"/>
          <w:color w:val="auto"/>
        </w:rPr>
      </w:pPr>
    </w:p>
    <w:p>
      <w:pPr>
        <w:ind w:right="80" w:firstLine="360"/>
        <w:spacing w:after="0" w:line="282" w:lineRule="auto"/>
        <w:rPr>
          <w:sz w:val="20"/>
          <w:szCs w:val="20"/>
          <w:color w:val="auto"/>
        </w:rPr>
      </w:pPr>
      <w:r>
        <w:rPr>
          <w:rFonts w:ascii="Times New Roman" w:cs="Times New Roman" w:eastAsia="Times New Roman" w:hAnsi="Times New Roman"/>
          <w:sz w:val="18"/>
          <w:szCs w:val="18"/>
          <w:color w:val="auto"/>
        </w:rPr>
        <w:t>Pursuant to Section 1350, Chapter 63 of Title 18, United States Code, as adopted by Section 906 of the Sarbanes-Oxley Act of 2002, the undersigned, as Chief Executive Officer of Generac Holdings Inc. (the “Company”), does hereby certify that to his knowledge:</w:t>
      </w:r>
    </w:p>
    <w:p>
      <w:pPr>
        <w:spacing w:after="0" w:line="162" w:lineRule="exact"/>
        <w:rPr>
          <w:sz w:val="20"/>
          <w:szCs w:val="20"/>
          <w:color w:val="auto"/>
        </w:rPr>
      </w:pPr>
    </w:p>
    <w:p>
      <w:pPr>
        <w:ind w:left="660" w:right="100" w:hanging="328"/>
        <w:spacing w:after="0" w:line="282" w:lineRule="auto"/>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fiscal year ended December 31, 2024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Company's annual report on Form 10-K for the fiscal year ended December 31, 2024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19, 2025</w:t>
            </w: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Aaron Jagdfeld</w:t>
            </w:r>
          </w:p>
        </w:tc>
        <w:tc>
          <w:tcPr>
            <w:tcW w:w="4780" w:type="dxa"/>
            <w:vAlign w:val="bottom"/>
            <w:tcBorders>
              <w:bottom w:val="single" w:sz="8" w:color="auto"/>
            </w:tcBorders>
          </w:tcPr>
          <w:p>
            <w:pPr>
              <w:spacing w:after="0"/>
              <w:rPr>
                <w:sz w:val="20"/>
                <w:szCs w:val="20"/>
                <w:color w:val="auto"/>
              </w:rPr>
            </w:pPr>
          </w:p>
        </w:tc>
      </w:tr>
      <w:tr>
        <w:trPr>
          <w:trHeight w:val="189"/>
        </w:trPr>
        <w:tc>
          <w:tcPr>
            <w:tcW w:w="5080" w:type="dxa"/>
            <w:vAlign w:val="bottom"/>
          </w:tcPr>
          <w:p>
            <w:pPr>
              <w:spacing w:after="0"/>
              <w:rPr>
                <w:sz w:val="16"/>
                <w:szCs w:val="16"/>
                <w:color w:val="auto"/>
              </w:rPr>
            </w:pPr>
          </w:p>
        </w:tc>
        <w:tc>
          <w:tcPr>
            <w:tcW w:w="13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478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Aaron Jagdfeld</w:t>
            </w:r>
          </w:p>
        </w:tc>
      </w:tr>
      <w:tr>
        <w:trPr>
          <w:trHeight w:val="236"/>
        </w:trPr>
        <w:tc>
          <w:tcPr>
            <w:tcW w:w="508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Chairman, President and Chief Executive Officer</w:t>
            </w:r>
          </w:p>
        </w:tc>
      </w:tr>
    </w:tbl>
    <w:p>
      <w:pPr>
        <w:sectPr>
          <w:pgSz w:w="11900" w:h="16838" w:orient="portrait"/>
          <w:cols w:equalWidth="0" w:num="1">
            <w:col w:w="11240"/>
          </w:cols>
          <w:pgMar w:left="320" w:top="117"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SECTION 906 OF THE SARBANES-OXLEY ACT OF 2002</w:t>
      </w:r>
    </w:p>
    <w:p>
      <w:pPr>
        <w:spacing w:after="0" w:line="207" w:lineRule="exact"/>
        <w:rPr>
          <w:sz w:val="20"/>
          <w:szCs w:val="20"/>
          <w:color w:val="auto"/>
        </w:rPr>
      </w:pPr>
    </w:p>
    <w:p>
      <w:pPr>
        <w:ind w:right="80" w:firstLine="360"/>
        <w:spacing w:after="0" w:line="282" w:lineRule="auto"/>
        <w:rPr>
          <w:sz w:val="20"/>
          <w:szCs w:val="20"/>
          <w:color w:val="auto"/>
        </w:rPr>
      </w:pPr>
      <w:r>
        <w:rPr>
          <w:rFonts w:ascii="Times New Roman" w:cs="Times New Roman" w:eastAsia="Times New Roman" w:hAnsi="Times New Roman"/>
          <w:sz w:val="18"/>
          <w:szCs w:val="18"/>
          <w:color w:val="auto"/>
        </w:rPr>
        <w:t>Pursuant to Section 1350, Chapter 63 of Title 18, United States Code, as adopted by Section 906 of the Sarbanes-Oxley Act of 2002, the undersigned, as Chief Financial Officer of Generac Holdings Inc. (the “Company”), does hereby certify that to his knowledge:</w:t>
      </w:r>
    </w:p>
    <w:p>
      <w:pPr>
        <w:spacing w:after="0" w:line="162" w:lineRule="exact"/>
        <w:rPr>
          <w:sz w:val="20"/>
          <w:szCs w:val="20"/>
          <w:color w:val="auto"/>
        </w:rPr>
      </w:pPr>
    </w:p>
    <w:p>
      <w:pPr>
        <w:ind w:left="660" w:right="100" w:hanging="328"/>
        <w:spacing w:after="0" w:line="282" w:lineRule="auto"/>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fiscal year ended December 31, 2024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Company's annual report on Form 10-K for the fiscal year ended December 31, 2024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19, 2025</w:t>
            </w:r>
          </w:p>
        </w:tc>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York A. Ragen</w:t>
            </w:r>
          </w:p>
        </w:tc>
        <w:tc>
          <w:tcPr>
            <w:tcW w:w="4760" w:type="dxa"/>
            <w:vAlign w:val="bottom"/>
            <w:tcBorders>
              <w:bottom w:val="single" w:sz="8" w:color="auto"/>
            </w:tcBorders>
          </w:tcPr>
          <w:p>
            <w:pPr>
              <w:spacing w:after="0"/>
              <w:rPr>
                <w:sz w:val="20"/>
                <w:szCs w:val="20"/>
                <w:color w:val="auto"/>
              </w:rPr>
            </w:pPr>
          </w:p>
        </w:tc>
      </w:tr>
      <w:tr>
        <w:trPr>
          <w:trHeight w:val="189"/>
        </w:trPr>
        <w:tc>
          <w:tcPr>
            <w:tcW w:w="5120" w:type="dxa"/>
            <w:vAlign w:val="bottom"/>
          </w:tcPr>
          <w:p>
            <w:pPr>
              <w:spacing w:after="0"/>
              <w:rPr>
                <w:sz w:val="16"/>
                <w:szCs w:val="16"/>
                <w:color w:val="auto"/>
              </w:rPr>
            </w:pPr>
          </w:p>
        </w:tc>
        <w:tc>
          <w:tcPr>
            <w:tcW w:w="1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476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York A. Ragen</w:t>
            </w:r>
          </w:p>
        </w:tc>
      </w:tr>
      <w:tr>
        <w:trPr>
          <w:trHeight w:val="236"/>
        </w:trPr>
        <w:tc>
          <w:tcPr>
            <w:tcW w:w="512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6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
      <w:numFmt w:val="bullet"/>
      <w:start w:val="1"/>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
      <w:numFmt w:val="bullet"/>
      <w:start w:val="1"/>
    </w:lvl>
    <w:lvl w:ilvl="1">
      <w:lvlJc w:val="left"/>
      <w:lvlText w:val="o"/>
      <w:numFmt w:val="bullet"/>
      <w:start w:val="1"/>
    </w:lvl>
  </w:abstractNum>
  <w:abstractNum w:abstractNumId="5">
    <w:nsid w:val="3DC240FB"/>
    <w:multiLevelType w:val="hybridMultilevel"/>
    <w:lvl w:ilvl="0">
      <w:lvlJc w:val="left"/>
      <w:lvlText w:val="&amp;"/>
      <w:numFmt w:val="bullet"/>
      <w:start w:val="1"/>
    </w:lvl>
  </w:abstractNum>
  <w:abstractNum w:abstractNumId="6">
    <w:nsid w:val="1BA026FA"/>
    <w:multiLevelType w:val="hybridMultilevel"/>
    <w:lvl w:ilvl="0">
      <w:lvlJc w:val="left"/>
      <w:lvlText w:val="●"/>
      <w:numFmt w:val="bullet"/>
      <w:start w:val="1"/>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
      <w:numFmt w:val="bullet"/>
      <w:start w:val="1"/>
    </w:lvl>
  </w:abstractNum>
  <w:abstractNum w:abstractNumId="10">
    <w:nsid w:val="70C6A529"/>
    <w:multiLevelType w:val="hybridMultilevel"/>
    <w:lvl w:ilvl="0">
      <w:lvlJc w:val="left"/>
      <w:lvlText w:val="●"/>
      <w:numFmt w:val="bullet"/>
      <w:start w:val="1"/>
    </w:lvl>
  </w:abstractNum>
  <w:abstractNum w:abstractNumId="11">
    <w:nsid w:val="520EEDD1"/>
    <w:multiLevelType w:val="hybridMultilevel"/>
    <w:lvl w:ilvl="0">
      <w:lvlJc w:val="left"/>
      <w:lvlText w:val="●"/>
      <w:numFmt w:val="bullet"/>
      <w:start w:val="1"/>
    </w:lvl>
  </w:abstractNum>
  <w:abstractNum w:abstractNumId="12">
    <w:nsid w:val="374A3FE6"/>
    <w:multiLevelType w:val="hybridMultilevel"/>
    <w:lvl w:ilvl="0">
      <w:lvlJc w:val="left"/>
      <w:lvlText w:val="●"/>
      <w:numFmt w:val="bullet"/>
      <w:start w:val="1"/>
    </w:lvl>
  </w:abstractNum>
  <w:abstractNum w:abstractNumId="13">
    <w:nsid w:val="4F4EF005"/>
    <w:multiLevelType w:val="hybridMultilevel"/>
    <w:lvl w:ilvl="0">
      <w:lvlJc w:val="left"/>
      <w:lvlText w:val="●"/>
      <w:numFmt w:val="bullet"/>
      <w:start w:val="1"/>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
      <w:numFmt w:val="bullet"/>
      <w:start w:val="1"/>
    </w:lvl>
  </w:abstractNum>
  <w:abstractNum w:abstractNumId="16">
    <w:nsid w:val="275AC794"/>
    <w:multiLevelType w:val="hybridMultilevel"/>
    <w:lvl w:ilvl="0">
      <w:lvlJc w:val="left"/>
      <w:lvlText w:val="(%1)"/>
      <w:numFmt w:val="lowerLetter"/>
      <w:start w:val="1"/>
    </w:lvl>
    <w:lvl w:ilvl="1">
      <w:lvlJc w:val="left"/>
      <w:lvlText w:val="•"/>
      <w:numFmt w:val="bullet"/>
      <w:start w:val="1"/>
    </w:lvl>
    <w:lvl w:ilvl="2">
      <w:lvlJc w:val="left"/>
      <w:lvlText w:val="●"/>
      <w:numFmt w:val="bullet"/>
      <w:start w:val="1"/>
    </w:lvl>
  </w:abstractNum>
  <w:abstractNum w:abstractNumId="17">
    <w:nsid w:val="39386575"/>
    <w:multiLevelType w:val="hybridMultilevel"/>
    <w:lvl w:ilvl="0">
      <w:lvlJc w:val="left"/>
      <w:lvlText w:val="(%1)"/>
      <w:numFmt w:val="lowerLetter"/>
      <w:start w:val="5"/>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18">
    <w:nsid w:val="1CF10FD8"/>
    <w:multiLevelType w:val="hybridMultilevel"/>
    <w:lvl w:ilvl="0">
      <w:lvlJc w:val="left"/>
      <w:lvlText w:val="●"/>
      <w:numFmt w:val="bullet"/>
      <w:start w:val="1"/>
    </w:lvl>
  </w:abstractNum>
  <w:abstractNum w:abstractNumId="19">
    <w:nsid w:val="180115BE"/>
    <w:multiLevelType w:val="hybridMultilevel"/>
    <w:lvl w:ilvl="0">
      <w:lvlJc w:val="left"/>
      <w:lvlText w:val="(%1)"/>
      <w:numFmt w:val="lowerLetter"/>
      <w:start w:val="1"/>
    </w:lvl>
  </w:abstractNum>
  <w:abstractNum w:abstractNumId="20">
    <w:nsid w:val="235BA861"/>
    <w:multiLevelType w:val="hybridMultilevel"/>
    <w:lvl w:ilvl="0">
      <w:lvlJc w:val="left"/>
      <w:lvlText w:val="●"/>
      <w:numFmt w:val="bullet"/>
      <w:start w:val="1"/>
    </w:lvl>
  </w:abstractNum>
  <w:abstractNum w:abstractNumId="21">
    <w:nsid w:val="47398C89"/>
    <w:multiLevelType w:val="hybridMultilevel"/>
    <w:lvl w:ilvl="0">
      <w:lvlJc w:val="left"/>
      <w:lvlText w:val="%1."/>
      <w:numFmt w:val="decimal"/>
      <w:start w:val="1"/>
    </w:lvl>
  </w:abstractNum>
  <w:abstractNum w:abstractNumId="22">
    <w:nsid w:val="354FE9F9"/>
    <w:multiLevelType w:val="hybridMultilevel"/>
    <w:lvl w:ilvl="0">
      <w:lvlJc w:val="left"/>
      <w:lvlText w:val="%1."/>
      <w:numFmt w:val="decimal"/>
      <w:start w:val="1"/>
    </w:lvl>
    <w:lvl w:ilvl="1">
      <w:lvlJc w:val="left"/>
      <w:lvlText w:val="●"/>
      <w:numFmt w:val="bullet"/>
      <w:start w:val="1"/>
    </w:lvl>
  </w:abstractNum>
  <w:abstractNum w:abstractNumId="23">
    <w:nsid w:val="15B5AF5C"/>
    <w:multiLevelType w:val="hybridMultilevel"/>
    <w:lvl w:ilvl="0">
      <w:lvlJc w:val="left"/>
      <w:lvlText w:val="$"/>
      <w:numFmt w:val="bullet"/>
      <w:start w:val="1"/>
    </w:lvl>
  </w:abstractNum>
  <w:abstractNum w:abstractNumId="24">
    <w:nsid w:val="741226BB"/>
    <w:multiLevelType w:val="hybridMultilevel"/>
    <w:lvl w:ilvl="0">
      <w:lvlJc w:val="left"/>
      <w:lvlText w:val="$"/>
      <w:numFmt w:val="bullet"/>
      <w:start w:val="1"/>
    </w:lvl>
  </w:abstractNum>
  <w:abstractNum w:abstractNumId="25">
    <w:nsid w:val="D34B6A8"/>
    <w:multiLevelType w:val="hybridMultilevel"/>
    <w:lvl w:ilvl="0">
      <w:lvlJc w:val="left"/>
      <w:lvlText w:val="(%1)"/>
      <w:numFmt w:val="decimal"/>
      <w:start w:val="1"/>
    </w:lvl>
  </w:abstractNum>
  <w:abstractNum w:abstractNumId="26">
    <w:nsid w:val="10233C99"/>
    <w:multiLevelType w:val="hybridMultilevel"/>
    <w:lvl w:ilvl="0">
      <w:lvlJc w:val="left"/>
      <w:lvlText w:val="%1."/>
      <w:numFmt w:val="decimal"/>
      <w:start w:val="3"/>
    </w:lvl>
  </w:abstractNum>
  <w:abstractNum w:abstractNumId="27">
    <w:nsid w:val="3F6AB60F"/>
    <w:multiLevelType w:val="hybridMultilevel"/>
    <w:lvl w:ilvl="0">
      <w:lvlJc w:val="left"/>
      <w:lvlText w:val="%1."/>
      <w:numFmt w:val="decimal"/>
      <w:start w:val="4"/>
    </w:lvl>
  </w:abstractNum>
  <w:abstractNum w:abstractNumId="28">
    <w:nsid w:val="61574095"/>
    <w:multiLevelType w:val="hybridMultilevel"/>
    <w:lvl w:ilvl="0">
      <w:lvlJc w:val="left"/>
      <w:lvlText w:val="%1."/>
      <w:numFmt w:val="decimal"/>
      <w:start w:val="5"/>
    </w:lvl>
  </w:abstractNum>
  <w:abstractNum w:abstractNumId="29">
    <w:nsid w:val="7E0C57B1"/>
    <w:multiLevelType w:val="hybridMultilevel"/>
    <w:lvl w:ilvl="0">
      <w:lvlJc w:val="left"/>
      <w:lvlText w:val="%1."/>
      <w:numFmt w:val="decimal"/>
      <w:start w:val="6"/>
    </w:lvl>
  </w:abstractNum>
  <w:abstractNum w:abstractNumId="30">
    <w:nsid w:val="77AE35EB"/>
    <w:multiLevelType w:val="hybridMultilevel"/>
    <w:lvl w:ilvl="0">
      <w:lvlJc w:val="left"/>
      <w:lvlText w:val="(%1)"/>
      <w:numFmt w:val="decimal"/>
      <w:start w:val="1"/>
    </w:lvl>
  </w:abstractNum>
  <w:abstractNum w:abstractNumId="31">
    <w:nsid w:val="579BE4F1"/>
    <w:multiLevelType w:val="hybridMultilevel"/>
    <w:lvl w:ilvl="0">
      <w:lvlJc w:val="left"/>
      <w:lvlText w:val="%1."/>
      <w:numFmt w:val="decimal"/>
      <w:start w:val="7"/>
    </w:lvl>
  </w:abstractNum>
  <w:abstractNum w:abstractNumId="32">
    <w:nsid w:val="310C50B3"/>
    <w:multiLevelType w:val="hybridMultilevel"/>
    <w:lvl w:ilvl="0">
      <w:lvlJc w:val="left"/>
      <w:lvlText w:val="●"/>
      <w:numFmt w:val="bullet"/>
      <w:start w:val="1"/>
    </w:lvl>
  </w:abstractNum>
  <w:abstractNum w:abstractNumId="33">
    <w:nsid w:val="5FF87E05"/>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34">
    <w:nsid w:val="2F305DEF"/>
    <w:multiLevelType w:val="hybridMultilevel"/>
    <w:lvl w:ilvl="0">
      <w:lvlJc w:val="left"/>
      <w:lvlText w:val="%1."/>
      <w:numFmt w:val="decimal"/>
      <w:start w:val="9"/>
    </w:lvl>
  </w:abstractNum>
  <w:abstractNum w:abstractNumId="35">
    <w:nsid w:val="25A70BF7"/>
    <w:multiLevelType w:val="hybridMultilevel"/>
    <w:lvl w:ilvl="0">
      <w:lvlJc w:val="left"/>
      <w:lvlText w:val="(%1)"/>
      <w:numFmt w:val="decimal"/>
      <w:start w:val="1"/>
    </w:lvl>
  </w:abstractNum>
  <w:abstractNum w:abstractNumId="36">
    <w:nsid w:val="1DBABF00"/>
    <w:multiLevelType w:val="hybridMultilevel"/>
    <w:lvl w:ilvl="0">
      <w:lvlJc w:val="left"/>
      <w:lvlText w:val="(%1)"/>
      <w:numFmt w:val="decimal"/>
      <w:start w:val="1"/>
    </w:lvl>
  </w:abstractNum>
  <w:abstractNum w:abstractNumId="37">
    <w:nsid w:val="4AD084E9"/>
    <w:multiLevelType w:val="hybridMultilevel"/>
    <w:lvl w:ilvl="0">
      <w:lvlJc w:val="left"/>
      <w:lvlText w:val="(%1)"/>
      <w:numFmt w:val="decimal"/>
      <w:start w:val="1"/>
    </w:lvl>
  </w:abstractNum>
  <w:abstractNum w:abstractNumId="38">
    <w:nsid w:val="1F48EAA1"/>
    <w:multiLevelType w:val="hybridMultilevel"/>
    <w:lvl w:ilvl="0">
      <w:lvlJc w:val="left"/>
      <w:lvlText w:val="%1."/>
      <w:numFmt w:val="decimal"/>
      <w:start w:val="16"/>
    </w:lvl>
  </w:abstractNum>
  <w:abstractNum w:abstractNumId="39">
    <w:nsid w:val="1381823A"/>
    <w:multiLevelType w:val="hybridMultilevel"/>
    <w:lvl w:ilvl="0">
      <w:lvlJc w:val="left"/>
      <w:lvlText w:val="(%1)"/>
      <w:numFmt w:val="decimal"/>
      <w:start w:val="1"/>
    </w:lvl>
  </w:abstractNum>
  <w:abstractNum w:abstractNumId="40">
    <w:nsid w:val="5DB70AE5"/>
    <w:multiLevelType w:val="hybridMultilevel"/>
    <w:lvl w:ilvl="0">
      <w:lvlJc w:val="left"/>
      <w:lvlText w:val="%1"/>
      <w:numFmt w:val="decimal"/>
      <w:start w:val="97"/>
    </w:lvl>
  </w:abstractNum>
  <w:abstractNum w:abstractNumId="41">
    <w:nsid w:val="100F8FCA"/>
    <w:multiLevelType w:val="hybridMultilevel"/>
    <w:lvl w:ilvl="0">
      <w:lvlJc w:val="left"/>
      <w:lvlText w:val="%1"/>
      <w:numFmt w:val="decimal"/>
      <w:start w:val="104"/>
    </w:lvl>
    <w:lvl w:ilvl="1">
      <w:lvlJc w:val="left"/>
      <w:lvlText w:val="*"/>
      <w:numFmt w:val="bullet"/>
      <w:start w:val="1"/>
    </w:lvl>
  </w:abstractNum>
  <w:abstractNum w:abstractNumId="42">
    <w:nsid w:val="6590700B"/>
    <w:multiLevelType w:val="hybridMultilevel"/>
    <w:lvl w:ilvl="0">
      <w:lvlJc w:val="left"/>
      <w:lvlText w:val="%1"/>
      <w:numFmt w:val="decimal"/>
      <w:start w:val="1"/>
    </w:lvl>
    <w:lvl w:ilvl="1">
      <w:lvlJc w:val="left"/>
      <w:lvlText w:val="**"/>
      <w:numFmt w:val="bullet"/>
      <w:start w:val="1"/>
    </w:lvl>
  </w:abstractNum>
  <w:abstractNum w:abstractNumId="43">
    <w:nsid w:val="15014ACB"/>
    <w:multiLevelType w:val="hybridMultilevel"/>
    <w:lvl w:ilvl="0">
      <w:lvlJc w:val="left"/>
      <w:lvlText w:val="+"/>
      <w:numFmt w:val="bullet"/>
      <w:start w:val="1"/>
    </w:lvl>
  </w:abstractNum>
  <w:abstractNum w:abstractNumId="44">
    <w:nsid w:val="5F5E7FD0"/>
    <w:multiLevelType w:val="hybridMultilevel"/>
    <w:lvl w:ilvl="0">
      <w:lvlJc w:val="left"/>
      <w:lvlText w:val="%1."/>
      <w:numFmt w:val="decimal"/>
      <w:start w:val="1"/>
    </w:lvl>
  </w:abstractNum>
  <w:abstractNum w:abstractNumId="45">
    <w:nsid w:val="98A3148"/>
    <w:multiLevelType w:val="hybridMultilevel"/>
    <w:lvl w:ilvl="0">
      <w:lvlJc w:val="left"/>
      <w:lvlText w:val="%1."/>
      <w:numFmt w:val="decimal"/>
      <w:start w:val="2"/>
    </w:lvl>
  </w:abstractNum>
  <w:abstractNum w:abstractNumId="46">
    <w:nsid w:val="799D0247"/>
    <w:multiLevelType w:val="hybridMultilevel"/>
    <w:lvl w:ilvl="0">
      <w:lvlJc w:val="left"/>
      <w:lvlText w:val="%1."/>
      <w:numFmt w:val="decimal"/>
      <w:start w:val="3"/>
    </w:lvl>
  </w:abstractNum>
  <w:abstractNum w:abstractNumId="47">
    <w:nsid w:val="6B94764"/>
    <w:multiLevelType w:val="hybridMultilevel"/>
    <w:lvl w:ilvl="0">
      <w:lvlJc w:val="left"/>
      <w:lvlText w:val="%1."/>
      <w:numFmt w:val="decimal"/>
      <w:start w:val="4"/>
    </w:lvl>
    <w:lvl w:ilvl="1">
      <w:lvlJc w:val="left"/>
      <w:lvlText w:val="●"/>
      <w:numFmt w:val="bullet"/>
      <w:start w:val="1"/>
    </w:lvl>
  </w:abstractNum>
  <w:abstractNum w:abstractNumId="48">
    <w:nsid w:val="42C296BD"/>
    <w:multiLevelType w:val="hybridMultilevel"/>
    <w:lvl w:ilvl="0">
      <w:lvlJc w:val="left"/>
      <w:lvlText w:val="●"/>
      <w:numFmt w:val="bullet"/>
      <w:start w:val="1"/>
    </w:lvl>
  </w:abstractNum>
  <w:abstractNum w:abstractNumId="49">
    <w:nsid w:val="168E121F"/>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50">
    <w:nsid w:val="1EBA5D23"/>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51">
    <w:nsid w:val="661E3F1E"/>
    <w:multiLevelType w:val="hybridMultilevel"/>
    <w:lvl w:ilvl="0">
      <w:lvlJc w:val="left"/>
      <w:lvlText w:val="%1."/>
      <w:numFmt w:val="decimal"/>
      <w:start w:val="6"/>
    </w:lvl>
  </w:abstractNum>
  <w:abstractNum w:abstractNumId="52">
    <w:nsid w:val="5DC79EA8"/>
    <w:multiLevelType w:val="hybridMultilevel"/>
    <w:lvl w:ilvl="0">
      <w:lvlJc w:val="left"/>
      <w:lvlText w:val="%1."/>
      <w:numFmt w:val="decimal"/>
      <w:start w:val="7"/>
    </w:lvl>
  </w:abstractNum>
  <w:abstractNum w:abstractNumId="53">
    <w:nsid w:val="540A471C"/>
    <w:multiLevelType w:val="hybridMultilevel"/>
    <w:lvl w:ilvl="0">
      <w:lvlJc w:val="left"/>
      <w:lvlText w:val="%1."/>
      <w:numFmt w:val="decimal"/>
      <w:start w:val="8"/>
    </w:lvl>
  </w:abstractNum>
  <w:abstractNum w:abstractNumId="54">
    <w:nsid w:val="7BD3EE7B"/>
    <w:multiLevelType w:val="hybridMultilevel"/>
    <w:lvl w:ilvl="0">
      <w:lvlJc w:val="left"/>
      <w:lvlText w:val="%1."/>
      <w:numFmt w:val="decimal"/>
      <w:start w:val="1"/>
    </w:lvl>
  </w:abstractNum>
  <w:abstractNum w:abstractNumId="55">
    <w:nsid w:val="51D9C564"/>
    <w:multiLevelType w:val="hybridMultilevel"/>
    <w:lvl w:ilvl="0">
      <w:lvlJc w:val="left"/>
      <w:lvlText w:val="%1."/>
      <w:numFmt w:val="lowerLetter"/>
      <w:start w:val="1"/>
    </w:lvl>
  </w:abstractNum>
  <w:abstractNum w:abstractNumId="56">
    <w:nsid w:val="613EFDC5"/>
    <w:multiLevelType w:val="hybridMultilevel"/>
    <w:lvl w:ilvl="0">
      <w:lvlJc w:val="left"/>
      <w:lvlText w:val="(%1)"/>
      <w:numFmt w:val="lowerRoman"/>
      <w:start w:val="1"/>
    </w:lvl>
  </w:abstractNum>
  <w:abstractNum w:abstractNumId="57">
    <w:nsid w:val="BF72B14"/>
    <w:multiLevelType w:val="hybridMultilevel"/>
    <w:lvl w:ilvl="0">
      <w:lvlJc w:val="left"/>
      <w:lvlText w:val="(%1)"/>
      <w:numFmt w:val="lowerRoman"/>
      <w:start w:val="2"/>
    </w:lvl>
  </w:abstractNum>
  <w:abstractNum w:abstractNumId="58">
    <w:nsid w:val="11447B73"/>
    <w:multiLevelType w:val="hybridMultilevel"/>
    <w:lvl w:ilvl="0">
      <w:lvlJc w:val="left"/>
      <w:lvlText w:val="%1"/>
      <w:numFmt w:val="decimal"/>
      <w:start w:val="1"/>
    </w:lvl>
    <w:lvl w:ilvl="1">
      <w:lvlJc w:val="left"/>
      <w:lvlText w:val="%2."/>
      <w:numFmt w:val="lowerLetter"/>
      <w:start w:val="2"/>
    </w:lvl>
  </w:abstractNum>
  <w:abstractNum w:abstractNumId="59">
    <w:nsid w:val="42963E5A"/>
    <w:multiLevelType w:val="hybridMultilevel"/>
    <w:lvl w:ilvl="0">
      <w:lvlJc w:val="left"/>
      <w:lvlText w:val="%1."/>
      <w:numFmt w:val="decimal"/>
      <w:start w:val="3"/>
    </w:lvl>
    <w:lvl w:ilvl="1">
      <w:lvlJc w:val="left"/>
      <w:lvlText w:val="%2."/>
      <w:numFmt w:val="lowerLetter"/>
      <w:start w:val="1"/>
    </w:lvl>
  </w:abstractNum>
  <w:abstractNum w:abstractNumId="60">
    <w:nsid w:val="A0382C5"/>
    <w:multiLevelType w:val="hybridMultilevel"/>
    <w:lvl w:ilvl="0">
      <w:lvlJc w:val="left"/>
      <w:lvlText w:val="%1"/>
      <w:numFmt w:val="decimal"/>
      <w:start w:val="1"/>
    </w:lvl>
    <w:lvl w:ilvl="1">
      <w:lvlJc w:val="left"/>
      <w:lvlText w:val="%2."/>
      <w:numFmt w:val="lowerLetter"/>
      <w:start w:val="2"/>
    </w:lvl>
  </w:abstractNum>
  <w:abstractNum w:abstractNumId="61">
    <w:nsid w:val="8F2B15E"/>
    <w:multiLevelType w:val="hybridMultilevel"/>
    <w:lvl w:ilvl="0">
      <w:lvlJc w:val="left"/>
      <w:lvlText w:val="%1."/>
      <w:numFmt w:val="decimal"/>
      <w:start w:val="4"/>
    </w:lvl>
    <w:lvl w:ilvl="1">
      <w:lvlJc w:val="left"/>
      <w:lvlText w:val="%2"/>
      <w:numFmt w:val="lowerLetter"/>
      <w:start w:val="1"/>
    </w:lvl>
  </w:abstractNum>
  <w:abstractNum w:abstractNumId="62">
    <w:nsid w:val="1A32234B"/>
    <w:multiLevelType w:val="hybridMultilevel"/>
    <w:lvl w:ilvl="0">
      <w:lvlJc w:val="left"/>
      <w:lvlText w:val="%1."/>
      <w:numFmt w:val="decimal"/>
      <w:start w:val="5"/>
    </w:lvl>
  </w:abstractNum>
  <w:abstractNum w:abstractNumId="63">
    <w:nsid w:val="3B0FD379"/>
    <w:multiLevelType w:val="hybridMultilevel"/>
    <w:lvl w:ilvl="0">
      <w:lvlJc w:val="left"/>
      <w:lvlText w:val="%1."/>
      <w:numFmt w:val="decimal"/>
      <w:start w:val="12"/>
    </w:lvl>
  </w:abstractNum>
  <w:abstractNum w:abstractNumId="64">
    <w:nsid w:val="68EB2F63"/>
    <w:multiLevelType w:val="hybridMultilevel"/>
    <w:lvl w:ilvl="0">
      <w:lvlJc w:val="left"/>
      <w:lvlText w:val="%1."/>
      <w:numFmt w:val="decimal"/>
      <w:start w:val="20"/>
    </w:lvl>
  </w:abstractNum>
  <w:abstractNum w:abstractNumId="65">
    <w:nsid w:val="4962813B"/>
    <w:multiLevelType w:val="hybridMultilevel"/>
    <w:lvl w:ilvl="0">
      <w:lvlJc w:val="left"/>
      <w:lvlText w:val="●"/>
      <w:numFmt w:val="bullet"/>
      <w:start w:val="1"/>
    </w:lvl>
  </w:abstractNum>
  <w:abstractNum w:abstractNumId="66">
    <w:nsid w:val="60B6DF70"/>
    <w:multiLevelType w:val="hybridMultilevel"/>
    <w:lvl w:ilvl="0">
      <w:lvlJc w:val="left"/>
      <w:lvlText w:val="●"/>
      <w:numFmt w:val="bullet"/>
      <w:start w:val="1"/>
    </w:lvl>
  </w:abstractNum>
  <w:abstractNum w:abstractNumId="67">
    <w:nsid w:val="6A5EE64"/>
    <w:multiLevelType w:val="hybridMultilevel"/>
    <w:lvl w:ilvl="0">
      <w:lvlJc w:val="left"/>
      <w:lvlText w:val="(%1)"/>
      <w:numFmt w:val="decimal"/>
      <w:start w:val="1"/>
    </w:lvl>
  </w:abstractNum>
  <w:abstractNum w:abstractNumId="68">
    <w:nsid w:val="14330624"/>
    <w:multiLevelType w:val="hybridMultilevel"/>
    <w:lvl w:ilvl="0">
      <w:lvlJc w:val="left"/>
      <w:lvlText w:val="%1."/>
      <w:numFmt w:val="decimal"/>
      <w:start w:val="1"/>
    </w:lvl>
  </w:abstractNum>
  <w:abstractNum w:abstractNumId="69">
    <w:nsid w:val="7FFFCA11"/>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70">
    <w:nsid w:val="1A27709E"/>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abstractNum>
  <w:abstractNum w:abstractNumId="71">
    <w:nsid w:val="71EA1109"/>
    <w:multiLevelType w:val="hybridMultilevel"/>
    <w:lvl w:ilvl="0">
      <w:lvlJc w:val="left"/>
      <w:lvlText w:val="%1"/>
      <w:numFmt w:val="decimal"/>
      <w:start w:val="1"/>
    </w:lvl>
    <w:lvl w:ilvl="1">
      <w:lvlJc w:val="left"/>
      <w:lvlText w:val="(%2)"/>
      <w:numFmt w:val="lowerLetter"/>
      <w:start w:val="4"/>
    </w:lvl>
  </w:abstractNum>
  <w:abstractNum w:abstractNumId="72">
    <w:nsid w:val="100F59DC"/>
    <w:multiLevelType w:val="hybridMultilevel"/>
    <w:lvl w:ilvl="0">
      <w:lvlJc w:val="left"/>
      <w:lvlText w:val="%1."/>
      <w:numFmt w:val="decimal"/>
      <w:start w:val="7"/>
    </w:lvl>
    <w:lvl w:ilvl="1">
      <w:lvlJc w:val="left"/>
      <w:lvlText w:val="(%2)"/>
      <w:numFmt w:val="lowerLetter"/>
      <w:start w:val="1"/>
    </w:lvl>
  </w:abstractNum>
  <w:abstractNum w:abstractNumId="73">
    <w:nsid w:val="7FB7E0AA"/>
    <w:multiLevelType w:val="hybridMultilevel"/>
    <w:lvl w:ilvl="0">
      <w:lvlJc w:val="left"/>
      <w:lvlText w:val="%1."/>
      <w:numFmt w:val="decimal"/>
      <w:start w:val="10"/>
    </w:lvl>
  </w:abstractNum>
  <w:abstractNum w:abstractNumId="74">
    <w:nsid w:val="6EB5BD4"/>
    <w:multiLevelType w:val="hybridMultilevel"/>
    <w:lvl w:ilvl="0">
      <w:lvlJc w:val="left"/>
      <w:lvlText w:val="%1."/>
      <w:numFmt w:val="decimal"/>
      <w:start w:val="16"/>
    </w:lvl>
  </w:abstractNum>
  <w:abstractNum w:abstractNumId="75">
    <w:nsid w:val="6F6DD9AC"/>
    <w:multiLevelType w:val="hybridMultilevel"/>
    <w:lvl w:ilvl="0">
      <w:lvlJc w:val="left"/>
      <w:lvlText w:val="%1."/>
      <w:numFmt w:val="decimal"/>
      <w:start w:val="24"/>
    </w:lvl>
  </w:abstractNum>
  <w:abstractNum w:abstractNumId="76">
    <w:nsid w:val="94211F2"/>
    <w:multiLevelType w:val="hybridMultilevel"/>
    <w:lvl w:ilvl="0">
      <w:lvlJc w:val="left"/>
      <w:lvlText w:val="%1."/>
      <w:numFmt w:val="decimal"/>
      <w:start w:val="1"/>
    </w:lvl>
  </w:abstractNum>
  <w:abstractNum w:abstractNumId="77">
    <w:nsid w:val="885E1B"/>
    <w:multiLevelType w:val="hybridMultilevel"/>
    <w:lvl w:ilvl="0">
      <w:lvlJc w:val="left"/>
      <w:lvlText w:val="%1."/>
      <w:numFmt w:val="decimal"/>
      <w:start w:val="2"/>
    </w:lvl>
  </w:abstractNum>
  <w:abstractNum w:abstractNumId="78">
    <w:nsid w:val="76272110"/>
    <w:multiLevelType w:val="hybridMultilevel"/>
    <w:lvl w:ilvl="0">
      <w:lvlJc w:val="left"/>
      <w:lvlText w:val="%1."/>
      <w:numFmt w:val="decimal"/>
      <w:start w:val="5"/>
    </w:lvl>
  </w:abstractNum>
  <w:abstractNum w:abstractNumId="79">
    <w:nsid w:val="4C04A8AF"/>
    <w:multiLevelType w:val="hybridMultilevel"/>
    <w:lvl w:ilvl="0">
      <w:lvlJc w:val="left"/>
      <w:lvlText w:val="●"/>
      <w:numFmt w:val="bullet"/>
      <w:start w:val="1"/>
    </w:lvl>
  </w:abstractNum>
  <w:abstractNum w:abstractNumId="80">
    <w:nsid w:val="1716703B"/>
    <w:multiLevelType w:val="hybridMultilevel"/>
    <w:lvl w:ilvl="0">
      <w:lvlJc w:val="left"/>
      <w:lvlText w:val="●"/>
      <w:numFmt w:val="bullet"/>
      <w:start w:val="1"/>
    </w:lvl>
  </w:abstractNum>
  <w:abstractNum w:abstractNumId="81">
    <w:nsid w:val="14E17E33"/>
    <w:multiLevelType w:val="hybridMultilevel"/>
    <w:lvl w:ilvl="0">
      <w:lvlJc w:val="left"/>
      <w:lvlText w:val="%1"/>
      <w:numFmt w:val="lowerLetter"/>
      <w:start w:val="1"/>
    </w:lvl>
    <w:lvl w:ilvl="1">
      <w:lvlJc w:val="left"/>
      <w:lvlText w:val="%2."/>
      <w:numFmt w:val="decimal"/>
      <w:start w:val="1"/>
    </w:lvl>
  </w:abstractNum>
  <w:abstractNum w:abstractNumId="82">
    <w:nsid w:val="3222E7CD"/>
    <w:multiLevelType w:val="hybridMultilevel"/>
    <w:lvl w:ilvl="0">
      <w:lvlJc w:val="left"/>
      <w:lvlText w:val="(%1)"/>
      <w:numFmt w:val="lowerLetter"/>
      <w:start w:val="1"/>
    </w:lvl>
    <w:lvl w:ilvl="1">
      <w:lvlJc w:val="left"/>
      <w:lvlText w:val="%2"/>
      <w:numFmt w:val="decimal"/>
      <w:start w:val="1"/>
    </w:lvl>
  </w:abstractNum>
  <w:abstractNum w:abstractNumId="83">
    <w:nsid w:val="74DE0EE3"/>
    <w:multiLevelType w:val="hybridMultilevel"/>
    <w:lvl w:ilvl="0">
      <w:lvlJc w:val="left"/>
      <w:lvlText w:val="(%1)"/>
      <w:numFmt w:val="lowerLetter"/>
      <w:start w:val="2"/>
    </w:lvl>
  </w:abstractNum>
  <w:abstractNum w:abstractNumId="84">
    <w:nsid w:val="68EBC550"/>
    <w:multiLevelType w:val="hybridMultilevel"/>
    <w:lvl w:ilvl="0">
      <w:lvlJc w:val="left"/>
      <w:lvlText w:val="(%1)"/>
      <w:numFmt w:val="lowerRoman"/>
      <w:start w:val="1"/>
    </w:lvl>
  </w:abstractNum>
  <w:abstractNum w:abstractNumId="85">
    <w:nsid w:val="2DF6D648"/>
    <w:multiLevelType w:val="hybridMultilevel"/>
    <w:lvl w:ilvl="0">
      <w:lvlJc w:val="left"/>
      <w:lvlText w:val="(%1)"/>
      <w:numFmt w:val="lowerRoman"/>
      <w:start w:val="2"/>
    </w:lvl>
  </w:abstractNum>
  <w:abstractNum w:abstractNumId="86">
    <w:nsid w:val="46B7D447"/>
    <w:multiLevelType w:val="hybridMultilevel"/>
    <w:lvl w:ilvl="0">
      <w:lvlJc w:val="left"/>
      <w:lvlText w:val="%1."/>
      <w:numFmt w:val="decimal"/>
      <w:start w:val="3"/>
    </w:lvl>
  </w:abstractNum>
  <w:abstractNum w:abstractNumId="87">
    <w:nsid w:val="4A2AC315"/>
    <w:multiLevelType w:val="hybridMultilevel"/>
    <w:lvl w:ilvl="0">
      <w:lvlJc w:val="left"/>
      <w:lvlText w:val="%1."/>
      <w:numFmt w:val="decimal"/>
      <w:start w:val="9"/>
    </w:lvl>
  </w:abstractNum>
  <w:abstractNum w:abstractNumId="88">
    <w:nsid w:val="39EE015C"/>
    <w:multiLevelType w:val="hybridMultilevel"/>
    <w:lvl w:ilvl="0">
      <w:lvlJc w:val="left"/>
      <w:lvlText w:val="%1."/>
      <w:numFmt w:val="decimal"/>
      <w:start w:val="17"/>
    </w:lvl>
  </w:abstractNum>
  <w:abstractNum w:abstractNumId="89">
    <w:nsid w:val="57FC4FBB"/>
    <w:multiLevelType w:val="hybridMultilevel"/>
    <w:lvl w:ilvl="0">
      <w:lvlJc w:val="left"/>
      <w:lvlText w:val="%1."/>
      <w:numFmt w:val="decimal"/>
      <w:start w:val="24"/>
    </w:lvl>
  </w:abstractNum>
  <w:abstractNum w:abstractNumId="90">
    <w:nsid w:val="CC1016F"/>
    <w:multiLevelType w:val="hybridMultilevel"/>
    <w:lvl w:ilvl="0">
      <w:lvlJc w:val="left"/>
      <w:lvlText w:val="●"/>
      <w:numFmt w:val="bullet"/>
      <w:start w:val="1"/>
    </w:lvl>
  </w:abstractNum>
  <w:abstractNum w:abstractNumId="91">
    <w:nsid w:val="43F18422"/>
    <w:multiLevelType w:val="hybridMultilevel"/>
    <w:lvl w:ilvl="0">
      <w:lvlJc w:val="left"/>
      <w:lvlText w:val="%1."/>
      <w:numFmt w:val="decimal"/>
      <w:start w:val="1"/>
    </w:lvl>
    <w:lvl w:ilvl="1">
      <w:lvlJc w:val="left"/>
      <w:lvlText w:val="%2."/>
      <w:numFmt w:val="lowerLetter"/>
      <w:start w:val="1"/>
    </w:lvl>
  </w:abstractNum>
  <w:abstractNum w:abstractNumId="92">
    <w:nsid w:val="60EF0119"/>
    <w:multiLevelType w:val="hybridMultilevel"/>
    <w:lvl w:ilvl="0">
      <w:lvlJc w:val="left"/>
      <w:lvlText w:val="%1."/>
      <w:numFmt w:val="decimal"/>
      <w:start w:val="1"/>
    </w:lvl>
    <w:lvl w:ilvl="1">
      <w:lvlJc w:val="left"/>
      <w:lvlText w:val="%2."/>
      <w:numFmt w:val="lowerLetter"/>
      <w:start w:val="1"/>
    </w:lvl>
  </w:abstractNum>
  <w:abstractNum w:abstractNumId="93">
    <w:nsid w:val="26F324BA"/>
    <w:multiLevelType w:val="hybridMultilevel"/>
    <w:lvl w:ilvl="0">
      <w:lvlJc w:val="left"/>
      <w:lvlText w:val="%1."/>
      <w:numFmt w:val="decimal"/>
      <w:start w:val="1"/>
    </w:lvl>
  </w:abstractNum>
  <w:abstractNum w:abstractNumId="94">
    <w:nsid w:val="7F01579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112" Type="http://schemas.openxmlformats.org/officeDocument/2006/relationships/image" Target="media/image86.png"/><Relationship Id="rId142" Type="http://schemas.openxmlformats.org/officeDocument/2006/relationships/image" Target="media/image87.png"/><Relationship Id="rId144" Type="http://schemas.openxmlformats.org/officeDocument/2006/relationships/image" Target="media/image88.png"/><Relationship Id="rId145" Type="http://schemas.openxmlformats.org/officeDocument/2006/relationships/image" Target="media/image89.jpeg"/><Relationship Id="rId146" Type="http://schemas.openxmlformats.org/officeDocument/2006/relationships/image" Target="media/image90.png"/><Relationship Id="rId147" Type="http://schemas.openxmlformats.org/officeDocument/2006/relationships/image" Target="media/image91.png"/><Relationship Id="rId148" Type="http://schemas.openxmlformats.org/officeDocument/2006/relationships/image" Target="media/image92.png"/><Relationship Id="rId149" Type="http://schemas.openxmlformats.org/officeDocument/2006/relationships/image" Target="media/image93.png"/><Relationship Id="rId150" Type="http://schemas.openxmlformats.org/officeDocument/2006/relationships/image" Target="media/image94.png"/><Relationship Id="rId151" Type="http://schemas.openxmlformats.org/officeDocument/2006/relationships/image" Target="media/image95.png"/><Relationship Id="rId152" Type="http://schemas.openxmlformats.org/officeDocument/2006/relationships/image" Target="media/image96.png"/><Relationship Id="rId153" Type="http://schemas.openxmlformats.org/officeDocument/2006/relationships/image" Target="media/image97.png"/><Relationship Id="rId154" Type="http://schemas.openxmlformats.org/officeDocument/2006/relationships/image" Target="media/image98.png"/><Relationship Id="rId155" Type="http://schemas.openxmlformats.org/officeDocument/2006/relationships/image" Target="media/image99.png"/><Relationship Id="rId156" Type="http://schemas.openxmlformats.org/officeDocument/2006/relationships/image" Target="media/image100.png"/><Relationship Id="rId157" Type="http://schemas.openxmlformats.org/officeDocument/2006/relationships/image" Target="media/image101.png"/><Relationship Id="rId158" Type="http://schemas.openxmlformats.org/officeDocument/2006/relationships/image" Target="media/image102.png"/><Relationship Id="rId159" Type="http://schemas.openxmlformats.org/officeDocument/2006/relationships/image" Target="media/image103.png"/><Relationship Id="rId160" Type="http://schemas.openxmlformats.org/officeDocument/2006/relationships/image" Target="media/image104.png"/><Relationship Id="rId161" Type="http://schemas.openxmlformats.org/officeDocument/2006/relationships/image" Target="media/image105.png"/><Relationship Id="rId162" Type="http://schemas.openxmlformats.org/officeDocument/2006/relationships/image" Target="media/image106.png"/><Relationship Id="rId163" Type="http://schemas.openxmlformats.org/officeDocument/2006/relationships/image" Target="media/image107.png"/><Relationship Id="rId164" Type="http://schemas.openxmlformats.org/officeDocument/2006/relationships/image" Target="media/image108.png"/><Relationship Id="rId165" Type="http://schemas.openxmlformats.org/officeDocument/2006/relationships/image" Target="media/image109.png"/><Relationship Id="rId166" Type="http://schemas.openxmlformats.org/officeDocument/2006/relationships/image" Target="media/image110.png"/><Relationship Id="rId167" Type="http://schemas.openxmlformats.org/officeDocument/2006/relationships/image" Target="media/image111.png"/><Relationship Id="rId168" Type="http://schemas.openxmlformats.org/officeDocument/2006/relationships/image" Target="media/image112.png"/><Relationship Id="rId169" Type="http://schemas.openxmlformats.org/officeDocument/2006/relationships/image" Target="media/image113.png"/><Relationship Id="rId170" Type="http://schemas.openxmlformats.org/officeDocument/2006/relationships/image" Target="media/image114.png"/><Relationship Id="rId171" Type="http://schemas.openxmlformats.org/officeDocument/2006/relationships/image" Target="media/image115.png"/><Relationship Id="rId172" Type="http://schemas.openxmlformats.org/officeDocument/2006/relationships/image" Target="media/image116.png"/><Relationship Id="rId173" Type="http://schemas.openxmlformats.org/officeDocument/2006/relationships/image" Target="media/image117.png"/><Relationship Id="rId174" Type="http://schemas.openxmlformats.org/officeDocument/2006/relationships/image" Target="media/image118.png"/><Relationship Id="rId175" Type="http://schemas.openxmlformats.org/officeDocument/2006/relationships/image" Target="media/image119.png"/><Relationship Id="rId176" Type="http://schemas.openxmlformats.org/officeDocument/2006/relationships/image" Target="media/image120.png"/><Relationship Id="rId177" Type="http://schemas.openxmlformats.org/officeDocument/2006/relationships/image" Target="media/image121.png"/><Relationship Id="rId178" Type="http://schemas.openxmlformats.org/officeDocument/2006/relationships/image" Target="media/image122.png"/><Relationship Id="rId179" Type="http://schemas.openxmlformats.org/officeDocument/2006/relationships/image" Target="media/image123.png"/><Relationship Id="rId180" Type="http://schemas.openxmlformats.org/officeDocument/2006/relationships/image" Target="media/image124.png"/><Relationship Id="rId181" Type="http://schemas.openxmlformats.org/officeDocument/2006/relationships/image" Target="media/image125.png"/><Relationship Id="rId182" Type="http://schemas.openxmlformats.org/officeDocument/2006/relationships/image" Target="media/image126.png"/><Relationship Id="rId183" Type="http://schemas.openxmlformats.org/officeDocument/2006/relationships/image" Target="media/image127.png"/><Relationship Id="rId184" Type="http://schemas.openxmlformats.org/officeDocument/2006/relationships/image" Target="media/image128.png"/><Relationship Id="rId185" Type="http://schemas.openxmlformats.org/officeDocument/2006/relationships/image" Target="media/image129.png"/><Relationship Id="rId186" Type="http://schemas.openxmlformats.org/officeDocument/2006/relationships/image" Target="media/image130.png"/><Relationship Id="rId187" Type="http://schemas.openxmlformats.org/officeDocument/2006/relationships/image" Target="media/image131.png"/><Relationship Id="rId188" Type="http://schemas.openxmlformats.org/officeDocument/2006/relationships/image" Target="media/image132.png"/><Relationship Id="rId189" Type="http://schemas.openxmlformats.org/officeDocument/2006/relationships/image" Target="media/image133.png"/><Relationship Id="rId190" Type="http://schemas.openxmlformats.org/officeDocument/2006/relationships/image" Target="media/image134.png"/><Relationship Id="rId191" Type="http://schemas.openxmlformats.org/officeDocument/2006/relationships/image" Target="media/image135.png"/><Relationship Id="rId192" Type="http://schemas.openxmlformats.org/officeDocument/2006/relationships/image" Target="media/image136.png"/><Relationship Id="rId93" Type="http://schemas.openxmlformats.org/officeDocument/2006/relationships/hyperlink" Target="http://www.sec.gov/Archives/edgar/data/1474735/000104746910002937/a2197602zex-3_1.htm" TargetMode="External"/><Relationship Id="rId94" Type="http://schemas.openxmlformats.org/officeDocument/2006/relationships/hyperlink" Target="http://www.sec.gov/Archives/edgar/data/1474735/000143774922019367/ex_406744.htm" TargetMode="External"/><Relationship Id="rId95" Type="http://schemas.openxmlformats.org/officeDocument/2006/relationships/hyperlink" Target="http://www.sec.gov/Archives/edgar/data/1474735/000143774923004153/ex_469392.htm" TargetMode="External"/><Relationship Id="rId96" Type="http://schemas.openxmlformats.org/officeDocument/2006/relationships/hyperlink" Target="http://www.sec.gov/Archives/edgar/data/1474735/000143774923006220/ex_487119.htm" TargetMode="External"/><Relationship Id="rId97" Type="http://schemas.openxmlformats.org/officeDocument/2006/relationships/hyperlink" Target="http://www.sec.gov/Archives/edgar/data/1474735/000104746910000285/a2196063zex-4_1.htm" TargetMode="External"/><Relationship Id="rId98" Type="http://schemas.openxmlformats.org/officeDocument/2006/relationships/hyperlink" Target="http://www.sec.gov/Archives/edgar/data/1474735/000143774920003516/ex_172898.htm" TargetMode="External"/><Relationship Id="rId99" Type="http://schemas.openxmlformats.org/officeDocument/2006/relationships/hyperlink" Target="http://www.sec.gov/Archives/edgar/data/1474735/000110465913046543/a13-14243_1ex10d2.htm" TargetMode="External"/><Relationship Id="rId100" Type="http://schemas.openxmlformats.org/officeDocument/2006/relationships/hyperlink" Target="http://www.sec.gov/Archives/edgar/data/1474735/000143774916041001/ex10-1.htm" TargetMode="External"/><Relationship Id="rId101" Type="http://schemas.openxmlformats.org/officeDocument/2006/relationships/hyperlink" Target="http://www.sec.gov/Archives/edgar/data/1474735/000143774917009034/ex10-1.htm" TargetMode="External"/><Relationship Id="rId102" Type="http://schemas.openxmlformats.org/officeDocument/2006/relationships/hyperlink" Target="http://www.sec.gov/Archives/edgar/data/1474735/000143774917020473/ex_101827.htm" TargetMode="External"/><Relationship Id="rId103" Type="http://schemas.openxmlformats.org/officeDocument/2006/relationships/hyperlink" Target="http://www.sec.gov/Archives/edgar/data/1474735/000143774918011755/ex_116401.htm" TargetMode="External"/><Relationship Id="rId104" Type="http://schemas.openxmlformats.org/officeDocument/2006/relationships/hyperlink" Target="http://www.sec.gov/Archives/edgar/data/1474735/000143774919024445/ex_167459.htm" TargetMode="External"/><Relationship Id="rId105" Type="http://schemas.openxmlformats.org/officeDocument/2006/relationships/hyperlink" Target="http://www.sec.gov/Archives/edgar/data/0001474735/000143774921013716/ex_253880.htm" TargetMode="External"/><Relationship Id="rId106" Type="http://schemas.openxmlformats.org/officeDocument/2006/relationships/hyperlink" Target="http://www.sec.gov/Archives/edgar/data/1474735/000143774922016225/ex_391195.htm" TargetMode="External"/><Relationship Id="rId107" Type="http://schemas.openxmlformats.org/officeDocument/2006/relationships/hyperlink" Target="http://www.sec.gov/Archives/edgar/data/1474735/000143774923004153/ex_476961.htm" TargetMode="External"/><Relationship Id="rId108" Type="http://schemas.openxmlformats.org/officeDocument/2006/relationships/hyperlink" Target="http://www.sec.gov/Archives/edgar/data/1474735/000110465913046543/a13-14243_1ex10d1.htm" TargetMode="External"/><Relationship Id="rId109" Type="http://schemas.openxmlformats.org/officeDocument/2006/relationships/hyperlink" Target="http://www.sec.gov/Archives/edgar/data/1474735/000143774924033337/ex_730671.htm" TargetMode="External"/><Relationship Id="rId110" Type="http://schemas.openxmlformats.org/officeDocument/2006/relationships/hyperlink" Target="http://www.sec.gov/Archives/edgar/data/1474735/000110465912041005/a12-13434_1ex10d2.htm" TargetMode="External"/><Relationship Id="rId111" Type="http://schemas.openxmlformats.org/officeDocument/2006/relationships/hyperlink" Target="http://www.sec.gov/Archives/edgar/data/1474735/000110465913046543/a13-14243_1ex10d3.htm" TargetMode="External"/><Relationship Id="rId113" Type="http://schemas.openxmlformats.org/officeDocument/2006/relationships/hyperlink" Target="http://www.sec.gov/Archives/edgar/data/1474735/000110465912041005/a12-13434_1ex10d3.htm" TargetMode="External"/><Relationship Id="rId114" Type="http://schemas.openxmlformats.org/officeDocument/2006/relationships/hyperlink" Target="http://www.sec.gov/Archives/edgar/data/1474735/000110465913046543/a13-14243_1ex10d4.htm" TargetMode="External"/><Relationship Id="rId115" Type="http://schemas.openxmlformats.org/officeDocument/2006/relationships/hyperlink" Target="http://www.sec.gov/Archives/edgar/data/1474735/000143774915011443/ex10-1.htm" TargetMode="External"/><Relationship Id="rId116" Type="http://schemas.openxmlformats.org/officeDocument/2006/relationships/hyperlink" Target="http://www.sec.gov/Archives/edgar/data/1474735/000143774918011755/ex_116402.htm" TargetMode="External"/><Relationship Id="rId117" Type="http://schemas.openxmlformats.org/officeDocument/2006/relationships/hyperlink" Target="http://www.sec.gov/Archives/edgar/data/0001474735/000143774921013716/ex_253879.htm" TargetMode="External"/><Relationship Id="rId118" Type="http://schemas.openxmlformats.org/officeDocument/2006/relationships/hyperlink" Target="http://www.sec.gov/Archives/edgar/data/1474735/000110465912041005/a12-13434_1ex10d4.htm" TargetMode="External"/><Relationship Id="rId119" Type="http://schemas.openxmlformats.org/officeDocument/2006/relationships/hyperlink" Target="http://www.sec.gov/Archives/edgar/data/1474735/000110465913046543/a13-14243_1ex10d5.htm" TargetMode="External"/><Relationship Id="rId120" Type="http://schemas.openxmlformats.org/officeDocument/2006/relationships/hyperlink" Target="http://www.sec.gov/Archives/edgar/data/1474735/000104746912004891/a2208974zdef14a.htm#la47301_appendix_a" TargetMode="External"/><Relationship Id="rId121" Type="http://schemas.openxmlformats.org/officeDocument/2006/relationships/hyperlink" Target="http://www.sec.gov/Archives/edgar/data/1474735/000104746910000285/a2196063zex-10_63.htm" TargetMode="External"/><Relationship Id="rId122" Type="http://schemas.openxmlformats.org/officeDocument/2006/relationships/hyperlink" Target="http://www.sec.gov/Archives/edgar/data/1474735/000143774918019673/ex_128192.htm" TargetMode="External"/><Relationship Id="rId123" Type="http://schemas.openxmlformats.org/officeDocument/2006/relationships/hyperlink" Target="http://www.sec.gov/Archives/edgar/data/1474735/000104746909010392/a2195620zex-10_40.htm" TargetMode="External"/><Relationship Id="rId124" Type="http://schemas.openxmlformats.org/officeDocument/2006/relationships/hyperlink" Target="http://www.sec.gov/Archives/edgar/data/1474735/000104746910000285/a2196063zex-10_45.htm" TargetMode="External"/><Relationship Id="rId125" Type="http://schemas.openxmlformats.org/officeDocument/2006/relationships/hyperlink" Target="http://www.sec.gov/Archives/edgar/data/1474735/000147473512000025/exh10_3.htm" TargetMode="External"/><Relationship Id="rId126" Type="http://schemas.openxmlformats.org/officeDocument/2006/relationships/hyperlink" Target="http://www.sec.gov/Archives/edgar/data/1474735/000147473512000025/exh10_4.htm" TargetMode="External"/><Relationship Id="rId127" Type="http://schemas.openxmlformats.org/officeDocument/2006/relationships/hyperlink" Target="http://www.sec.gov/Archives/edgar/data/1474735/000143774919003397/ex_135458.htm" TargetMode="External"/><Relationship Id="rId128" Type="http://schemas.openxmlformats.org/officeDocument/2006/relationships/hyperlink" Target="http://www.sec.gov/Archives/edgar/data/1474735/000143774919003397/ex_135459.htm" TargetMode="External"/><Relationship Id="rId129" Type="http://schemas.openxmlformats.org/officeDocument/2006/relationships/hyperlink" Target="http://www.sec.gov/Archives/edgar/data/1474735/000104746910000097/a2195969zex-10_51.htm" TargetMode="External"/><Relationship Id="rId130" Type="http://schemas.openxmlformats.org/officeDocument/2006/relationships/hyperlink" Target="http://www.sec.gov/Archives/edgar/data/1474735/000104746910000097/a2195969zex-10_52.htm" TargetMode="External"/><Relationship Id="rId131" Type="http://schemas.openxmlformats.org/officeDocument/2006/relationships/hyperlink" Target="http://www.sec.gov/Archives/edgar/data/1474735/000143774919003397/ex_135477.htm" TargetMode="External"/><Relationship Id="rId132" Type="http://schemas.openxmlformats.org/officeDocument/2006/relationships/hyperlink" Target="http://www.sec.gov/Archives/edgar/data/1474735/000143774922004080/ex_337560.htm" TargetMode="External"/><Relationship Id="rId133" Type="http://schemas.openxmlformats.org/officeDocument/2006/relationships/hyperlink" Target="http://www.sec.gov/Archives/edgar/data/1474735/000143774918019673/ex_128193.htm" TargetMode="External"/><Relationship Id="rId134" Type="http://schemas.openxmlformats.org/officeDocument/2006/relationships/hyperlink" Target="http://www.sec.gov/Archives/edgar/data/1474735/000104746919002640/a2238541zdef14a.htm" TargetMode="External"/><Relationship Id="rId135" Type="http://schemas.openxmlformats.org/officeDocument/2006/relationships/hyperlink" Target="http://www.sec.gov/Archives/edgar/data/1474735/000143774919021621/ex_160684.htm" TargetMode="External"/><Relationship Id="rId136" Type="http://schemas.openxmlformats.org/officeDocument/2006/relationships/hyperlink" Target="http://www.sec.gov/Archives/edgar/data/1474735/000143774919021621/ex_160685.htm" TargetMode="External"/><Relationship Id="rId137" Type="http://schemas.openxmlformats.org/officeDocument/2006/relationships/hyperlink" Target="http://www.sec.gov/Archives/edgar/data/1474735/000143774919021621/ex_160686.htm" TargetMode="External"/><Relationship Id="rId138" Type="http://schemas.openxmlformats.org/officeDocument/2006/relationships/hyperlink" Target="http://www.sec.gov/Archives/edgar/data/1474735/000143774924005040/ex_628303.htm" TargetMode="External"/><Relationship Id="rId139" Type="http://schemas.openxmlformats.org/officeDocument/2006/relationships/hyperlink" Target="http://www.sec.gov/Archives/edgar/data/1474735/000143774924005040/ex_628304.htm" TargetMode="External"/><Relationship Id="rId140" Type="http://schemas.openxmlformats.org/officeDocument/2006/relationships/hyperlink" Target="http://www.sec.gov/Archives/edgar/data/1474735/000143774924005040/ex_628305.htm" TargetMode="External"/><Relationship Id="rId141" Type="http://schemas.openxmlformats.org/officeDocument/2006/relationships/hyperlink" Target="http://www.sec.gov/Archives/edgar/data/1474735/000110465924053993/tm2333314-d4_def14a.htm" TargetMode="External"/><Relationship Id="rId143" Type="http://schemas.openxmlformats.org/officeDocument/2006/relationships/hyperlink" Target="http://www.sec.gov/Archives/edgar/data/1474735/000143774924005040/ex_62727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2025-02-19T15:27:40Z</dcterms:created>
  <dcterms:modified xsi:type="dcterms:W3CDTF">2025-02-19T15:27:40Z</dcterms:modified>
</cp:coreProperties>
</file>