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Taffe Norman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S45 W29290 HWY.59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GENERAC HOLDINGS INC.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WAUKESHA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GENERAC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Generac Home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9"/>
        <w:gridCol w:w="917"/>
        <w:gridCol w:w="785"/>
        <w:gridCol w:w="660"/>
        <w:gridCol w:w="300"/>
        <w:gridCol w:w="805"/>
        <w:gridCol w:w="453"/>
        <w:gridCol w:w="851"/>
        <w:gridCol w:w="1167"/>
        <w:gridCol w:w="1003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215.46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11,076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215.46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10,976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119.54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11,076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215.46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10,976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119.54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11,126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10,976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119.54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119.54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Adoption date of referenced 10b5-1(c) plan is: 03-06-2026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Multiple lots for the same price for this order have been combined.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Grant has a graded vesting schedule. Date exercisable will vary for each vesting tranche.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Raj Kanuru,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38627" TargetMode="External"/><Relationship Id="rId5" Type="http://schemas.openxmlformats.org/officeDocument/2006/relationships/hyperlink" Target="http://www.sec.gov/cgi-bin/browse-edgar?action=getcompany&amp;CIK=00014747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684</Words>
  <Characters>3651</Characters>
  <CharactersWithSpaces>4201</CharactersWithSpaces>
  <Paragraphs>162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