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Raabe Kyle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Home Power Gen.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4"/>
        <w:gridCol w:w="919"/>
        <w:gridCol w:w="787"/>
        <w:gridCol w:w="662"/>
        <w:gridCol w:w="297"/>
        <w:gridCol w:w="797"/>
        <w:gridCol w:w="447"/>
        <w:gridCol w:w="942"/>
        <w:gridCol w:w="1159"/>
        <w:gridCol w:w="997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212.57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9,966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102.415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10,179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2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212.57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9,966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102.415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05-05-2026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Multiple lots for the same price for this order have been combined.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 has a graded vesting schedule. Date exercisable will vary for each vesting tranche.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1000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3444</Characters>
  <CharactersWithSpaces>3987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