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nrc20251231_10k.htm"/>
      <w:bookmarkStart w:id="1" w:name="ksgnrc20251231_10k"/>
      <w:bookmarkEnd w:id="0"/>
      <w:bookmarkEnd w:id="1"/>
      <w:r>
        <w:rPr/>
        <w:t xml:space="preserve">  </w:t>
      </w:r>
    </w:p>
    <w:p>
      <w:pPr>
        <w:pStyle w:val="TextBody"/>
        <w:bidi w:val="0"/>
        <w:jc w:val="center"/>
        <w:rPr/>
      </w:pPr>
      <w:r>
        <w:rPr/>
        <w:t>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jc w:val="center"/>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 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10-K</w:t>
      </w:r>
    </w:p>
    <w:tbl>
      <w:tblPr>
        <w:tblW w:w="10205" w:type="dxa"/>
        <w:jc w:val="left"/>
        <w:tblInd w:w="0" w:type="dxa"/>
        <w:tblLayout w:type="fixed"/>
        <w:tblCellMar>
          <w:top w:w="0" w:type="dxa"/>
          <w:left w:w="0" w:type="dxa"/>
          <w:bottom w:w="0" w:type="dxa"/>
          <w:right w:w="0" w:type="dxa"/>
        </w:tblCellMar>
      </w:tblPr>
      <w:tblGrid>
        <w:gridCol w:w="977"/>
        <w:gridCol w:w="9228"/>
      </w:tblGrid>
      <w:tr>
        <w:trPr/>
        <w:tc>
          <w:tcPr>
            <w:tcW w:w="97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228" w:type="dxa"/>
            <w:tcBorders/>
            <w:vAlign w:val="center"/>
          </w:tcPr>
          <w:p>
            <w:pPr>
              <w:pStyle w:val="TableContents"/>
              <w:bidi w:val="0"/>
              <w:spacing w:before="0" w:after="283"/>
              <w:jc w:val="left"/>
              <w:rPr/>
            </w:pPr>
            <w:r>
              <w:rPr/>
              <w:t> </w:t>
            </w:r>
          </w:p>
        </w:tc>
      </w:tr>
      <w:tr>
        <w:trPr/>
        <w:tc>
          <w:tcPr>
            <w:tcW w:w="977" w:type="dxa"/>
            <w:tcBorders/>
            <w:vAlign w:val="center"/>
          </w:tcPr>
          <w:p>
            <w:pPr>
              <w:pStyle w:val="TableContents"/>
              <w:bidi w:val="0"/>
              <w:spacing w:before="0" w:after="0"/>
              <w:ind w:left="0" w:right="0" w:hanging="0"/>
              <w:jc w:val="center"/>
              <w:rPr/>
            </w:pPr>
            <w:r>
              <w:rPr/>
              <w:t>☒</w:t>
            </w:r>
          </w:p>
        </w:tc>
        <w:tc>
          <w:tcPr>
            <w:tcW w:w="9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977" w:type="dxa"/>
            <w:tcBorders/>
            <w:vAlign w:val="center"/>
          </w:tcPr>
          <w:p>
            <w:pPr>
              <w:pStyle w:val="TableContents"/>
              <w:bidi w:val="0"/>
              <w:spacing w:before="0" w:after="0"/>
              <w:ind w:left="0" w:right="0" w:hanging="0"/>
              <w:jc w:val="center"/>
              <w:rPr/>
            </w:pPr>
            <w:r>
              <w:rPr/>
              <w:t>☐</w:t>
            </w:r>
          </w:p>
        </w:tc>
        <w:tc>
          <w:tcPr>
            <w:tcW w:w="9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001-34627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GENERAC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7630" w:type="dxa"/>
        <w:jc w:val="left"/>
        <w:tblInd w:w="0" w:type="dxa"/>
        <w:tblLayout w:type="fixed"/>
        <w:tblCellMar>
          <w:top w:w="0" w:type="dxa"/>
          <w:left w:w="0" w:type="dxa"/>
          <w:bottom w:w="0" w:type="dxa"/>
          <w:right w:w="0" w:type="dxa"/>
        </w:tblCellMar>
      </w:tblPr>
      <w:tblGrid>
        <w:gridCol w:w="4865"/>
        <w:gridCol w:w="2765"/>
      </w:tblGrid>
      <w:tr>
        <w:trPr/>
        <w:tc>
          <w:tcPr>
            <w:tcW w:w="4865" w:type="dxa"/>
            <w:tcBorders/>
            <w:vAlign w:val="center"/>
          </w:tcPr>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 incorporation or organization)</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20-5654756</w:t>
            </w:r>
            <w:r>
              <w:rPr>
                <w:rFonts w:ascii="Times New Roman;Times;serif" w:hAnsi="Times New Roman;Times;serif"/>
                <w:sz w:val="20"/>
              </w:rPr>
              <w:br/>
              <w:t>(IRS Employer Identification No.)</w:t>
            </w:r>
          </w:p>
        </w:tc>
      </w:tr>
      <w:tr>
        <w:trPr/>
        <w:tc>
          <w:tcPr>
            <w:tcW w:w="48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b/>
                <w:sz w:val="20"/>
              </w:rPr>
              <w:t>S45 W29290 Hwy 59, Waukesha, WI</w:t>
            </w:r>
            <w:r>
              <w:rPr>
                <w:rFonts w:ascii="Times New Roman;Times;serif" w:hAnsi="Times New Roman;Times;serif"/>
                <w:sz w:val="20"/>
              </w:rPr>
              <w:br/>
              <w:t>(Address of principal executive offices)</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53189</w:t>
            </w:r>
            <w:r>
              <w:rPr>
                <w:rFonts w:ascii="Times New Roman;Times;serif" w:hAnsi="Times New Roman;Times;serif"/>
                <w:sz w:val="20"/>
              </w:rPr>
              <w:br/>
              <w:t>(Zip Code)</w:t>
            </w:r>
          </w:p>
        </w:tc>
      </w:tr>
      <w:tr>
        <w:trPr/>
        <w:tc>
          <w:tcPr>
            <w:tcW w:w="7630" w:type="dxa"/>
            <w:gridSpan w:val="2"/>
            <w:tcBorders/>
            <w:vAlign w:val="center"/>
          </w:tcPr>
          <w:p>
            <w:pPr>
              <w:pStyle w:val="TableContents"/>
              <w:bidi w:val="0"/>
              <w:spacing w:before="0" w:after="0"/>
              <w:ind w:left="200" w:right="0" w:hanging="0"/>
              <w:jc w:val="center"/>
              <w:rPr/>
            </w:pPr>
            <w:r>
              <w:rPr/>
              <w:t> </w:t>
            </w:r>
          </w:p>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b/>
                <w:sz w:val="20"/>
              </w:rPr>
              <w:t>(262) 544-4811</w:t>
            </w:r>
            <w:r>
              <w:rPr>
                <w:rFonts w:ascii="Times New Roman;Times;serif" w:hAnsi="Times New Roman;Times;serif"/>
                <w:sz w:val="20"/>
              </w:rPr>
              <w:br/>
              <w:t>(Registrant’s telephone number, including area code)</w:t>
            </w:r>
          </w:p>
        </w:tc>
      </w:tr>
    </w:tbl>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caps/>
          <w:sz w:val="20"/>
        </w:rPr>
        <w:t>Securities registered pursuant to Section</w:t>
      </w:r>
      <w:r>
        <w:rPr>
          <w:rFonts w:ascii="Times New Roman;Times;serif" w:hAnsi="Times New Roman;Times;serif"/>
          <w:sz w:val="20"/>
        </w:rPr>
        <w:t xml:space="preserve"> 12(b) </w:t>
      </w:r>
      <w:r>
        <w:rPr>
          <w:rFonts w:ascii="Times New Roman;Times;serif" w:hAnsi="Times New Roman;Times;serif"/>
          <w:caps/>
          <w:sz w:val="20"/>
        </w:rPr>
        <w:t>of the Act</w:t>
      </w:r>
      <w:r>
        <w:rPr>
          <w:rFonts w:ascii="Times New Roman;Times;serif" w:hAnsi="Times New Roman;Times;serif"/>
          <w:sz w:val="20"/>
        </w:rPr>
        <w:t>:</w:t>
      </w:r>
    </w:p>
    <w:tbl>
      <w:tblPr>
        <w:tblW w:w="7830" w:type="dxa"/>
        <w:jc w:val="left"/>
        <w:tblInd w:w="-7" w:type="dxa"/>
        <w:tblLayout w:type="fixed"/>
        <w:tblCellMar>
          <w:top w:w="28" w:type="dxa"/>
          <w:left w:w="28" w:type="dxa"/>
          <w:bottom w:w="28" w:type="dxa"/>
          <w:right w:w="28" w:type="dxa"/>
        </w:tblCellMar>
      </w:tblPr>
      <w:tblGrid>
        <w:gridCol w:w="2720"/>
        <w:gridCol w:w="1535"/>
        <w:gridCol w:w="3575"/>
      </w:tblGrid>
      <w:tr>
        <w:trPr/>
        <w:tc>
          <w:tcPr>
            <w:tcW w:w="27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GNRC</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 </w:t>
      </w:r>
    </w:p>
    <w:tbl>
      <w:tblPr>
        <w:tblW w:w="6710" w:type="dxa"/>
        <w:jc w:val="left"/>
        <w:tblInd w:w="0" w:type="dxa"/>
        <w:tblLayout w:type="fixed"/>
        <w:tblCellMar>
          <w:top w:w="0" w:type="dxa"/>
          <w:left w:w="0" w:type="dxa"/>
          <w:bottom w:w="0" w:type="dxa"/>
          <w:right w:w="0" w:type="dxa"/>
        </w:tblCellMar>
      </w:tblPr>
      <w:tblGrid>
        <w:gridCol w:w="6710"/>
      </w:tblGrid>
      <w:tr>
        <w:trPr/>
        <w:tc>
          <w:tcPr>
            <w:tcW w:w="6710" w:type="dxa"/>
            <w:tcBorders/>
            <w:vAlign w:val="center"/>
          </w:tcPr>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sz w:val="20"/>
              </w:rPr>
              <w:t xml:space="preserve">SECURITIES REGISTERED PURSUANT TO SECTION 12(g) OF THE ACT: </w:t>
            </w:r>
            <w:r>
              <w:rPr>
                <w:rFonts w:ascii="Times New Roman;Times;serif" w:hAnsi="Times New Roman;Times;serif"/>
                <w:b/>
                <w:sz w:val="20"/>
              </w:rPr>
              <w:t>None</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the registrant is not required to file reports pursuant to Section 13 or Section 15(d) of the Act.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40" w:type="dxa"/>
        <w:jc w:val="left"/>
        <w:tblInd w:w="0" w:type="dxa"/>
        <w:tblLayout w:type="fixed"/>
        <w:tblCellMar>
          <w:top w:w="0" w:type="dxa"/>
          <w:left w:w="0" w:type="dxa"/>
          <w:bottom w:w="0" w:type="dxa"/>
          <w:right w:w="0" w:type="dxa"/>
        </w:tblCellMar>
      </w:tblPr>
      <w:tblGrid>
        <w:gridCol w:w="2885"/>
        <w:gridCol w:w="2855"/>
      </w:tblGrid>
      <w:tr>
        <w:trPr/>
        <w:tc>
          <w:tcPr>
            <w:tcW w:w="2885" w:type="dxa"/>
            <w:tcBorders/>
            <w:vAlign w:val="center"/>
          </w:tcPr>
          <w:p>
            <w:pPr>
              <w:pStyle w:val="TableContents"/>
              <w:bidi w:val="0"/>
              <w:spacing w:before="0" w:after="283"/>
              <w:jc w:val="left"/>
              <w:rPr/>
            </w:pPr>
            <w:r>
              <w:rPr/>
              <w:t>Large accelerated filer ☒</w:t>
            </w:r>
          </w:p>
        </w:tc>
        <w:tc>
          <w:tcPr>
            <w:tcW w:w="2855" w:type="dxa"/>
            <w:tcBorders/>
            <w:vAlign w:val="center"/>
          </w:tcPr>
          <w:p>
            <w:pPr>
              <w:pStyle w:val="TableContents"/>
              <w:bidi w:val="0"/>
              <w:spacing w:before="0" w:after="283"/>
              <w:jc w:val="left"/>
              <w:rPr/>
            </w:pPr>
            <w:r>
              <w:rPr/>
              <w:t>Accelerated filer ☐</w:t>
            </w:r>
          </w:p>
        </w:tc>
      </w:tr>
      <w:tr>
        <w:trPr/>
        <w:tc>
          <w:tcPr>
            <w:tcW w:w="2885" w:type="dxa"/>
            <w:tcBorders/>
            <w:vAlign w:val="center"/>
          </w:tcPr>
          <w:p>
            <w:pPr>
              <w:pStyle w:val="TableContents"/>
              <w:bidi w:val="0"/>
              <w:spacing w:before="0" w:after="283"/>
              <w:jc w:val="left"/>
              <w:rPr/>
            </w:pPr>
            <w:r>
              <w:rPr/>
              <w:t>Non-accelerated filer ☐</w:t>
            </w:r>
          </w:p>
        </w:tc>
        <w:tc>
          <w:tcPr>
            <w:tcW w:w="2855" w:type="dxa"/>
            <w:tcBorders/>
            <w:vAlign w:val="center"/>
          </w:tcPr>
          <w:p>
            <w:pPr>
              <w:pStyle w:val="TableContents"/>
              <w:bidi w:val="0"/>
              <w:spacing w:before="0" w:after="283"/>
              <w:jc w:val="left"/>
              <w:rPr/>
            </w:pPr>
            <w:r>
              <w:rPr/>
              <w:t>Smaller reporting company ☐</w:t>
            </w:r>
          </w:p>
        </w:tc>
      </w:tr>
      <w:tr>
        <w:trPr/>
        <w:tc>
          <w:tcPr>
            <w:tcW w:w="2885" w:type="dxa"/>
            <w:tcBorders/>
            <w:vAlign w:val="center"/>
          </w:tcPr>
          <w:p>
            <w:pPr>
              <w:pStyle w:val="TableContents"/>
              <w:bidi w:val="0"/>
              <w:spacing w:before="0" w:after="283"/>
              <w:jc w:val="left"/>
              <w:rPr/>
            </w:pPr>
            <w:r>
              <w:rPr/>
              <w:t>Emerging growth company ☐</w:t>
            </w:r>
          </w:p>
        </w:tc>
        <w:tc>
          <w:tcPr>
            <w:tcW w:w="285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 shell company (as defined in Rule 12b-2 of the Exchange Act). Yes ☐ No ☒</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The aggregate market value of the voting common equity held by non-affiliates of the registrant on June 30, 2025, the last business day of the registrant’s most recently completed second fiscal quarter, was approximately $8 billion based on the closing price reported for such date on the New York Stock Exchange.</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color w:val="000000"/>
          <w:sz w:val="20"/>
        </w:rPr>
      </w:pPr>
      <w:r>
        <w:rPr>
          <w:rFonts w:ascii="Times New Roman;Times;serif" w:hAnsi="Times New Roman;Times;serif"/>
          <w:color w:val="000000"/>
          <w:sz w:val="20"/>
        </w:rPr>
        <w:t>As of February 13, 2026, 58,675,827 shares of the registrant's common stock were outstanding.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Portions of the registrant’s Annual Report to Stockholders for the year ended December 31, 2025 furnished to the Securities and Exchange Commission are incorporated by reference into Part II of this Form 10-K. Portions of the registrant’s Proxy Statement for the 2026 Annual Meeting of Stockholders (the “2026 Proxy Statement”), which will be filed by the registrant on or prior to 120 days following the end of the registrant’s fiscal year ended December 31, 2025, are incorporated by reference into Part III of this Form 10-K.</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b/>
          <w:sz w:val="20"/>
        </w:rPr>
        <w:t>2025</w:t>
      </w:r>
      <w:r>
        <w:rPr>
          <w:rFonts w:ascii="Times New Roman;Times;serif" w:hAnsi="Times New Roman;Times;serif"/>
          <w:sz w:val="20"/>
        </w:rPr>
        <w:t xml:space="preserve"> </w:t>
      </w:r>
      <w:r>
        <w:rPr>
          <w:rFonts w:ascii="Times New Roman;Times;serif" w:hAnsi="Times New Roman;Times;serif"/>
          <w:b/>
          <w:sz w:val="20"/>
        </w:rPr>
        <w:t>FORM 10-K ANNUAL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8920"/>
        <w:gridCol w:w="440"/>
      </w:tblGrid>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0205" w:type="dxa"/>
            <w:gridSpan w:val="3"/>
            <w:tcBorders/>
            <w:vAlign w:val="center"/>
          </w:tcPr>
          <w:p>
            <w:pPr>
              <w:pStyle w:val="TableContents"/>
              <w:bidi w:val="0"/>
              <w:spacing w:before="0" w:after="0"/>
              <w:ind w:left="200" w:right="0" w:hanging="200"/>
              <w:jc w:val="center"/>
              <w:rPr/>
            </w:pPr>
            <w:hyperlink w:anchor="part1">
              <w:r>
                <w:rPr>
                  <w:rStyle w:val="InternetLink"/>
                  <w:rFonts w:ascii="Times New Roman;Times;serif" w:hAnsi="Times New Roman;Times;serif"/>
                  <w:b/>
                  <w:sz w:val="20"/>
                </w:rPr>
                <w:t>PART I</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w:t>
            </w:r>
          </w:p>
        </w:tc>
        <w:tc>
          <w:tcPr>
            <w:tcW w:w="8920"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Business</w:t>
              </w:r>
            </w:hyperlink>
          </w:p>
        </w:tc>
        <w:tc>
          <w:tcPr>
            <w:tcW w:w="440" w:type="dxa"/>
            <w:tcBorders/>
            <w:vAlign w:val="center"/>
          </w:tcPr>
          <w:p>
            <w:pPr>
              <w:pStyle w:val="TableContents"/>
              <w:bidi w:val="0"/>
              <w:spacing w:before="0" w:after="0"/>
              <w:ind w:left="0" w:right="0" w:hanging="0"/>
              <w:jc w:val="center"/>
              <w:rPr/>
            </w:pPr>
            <w:hyperlink w:anchor="item1">
              <w:r>
                <w:rPr>
                  <w:rStyle w:val="InternetLink"/>
                  <w:rFonts w:ascii="Times New Roman;Times;serif" w:hAnsi="Times New Roman;Times;serif"/>
                  <w:sz w:val="20"/>
                </w:rPr>
                <w:t>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1A.</w:t>
            </w:r>
          </w:p>
        </w:tc>
        <w:tc>
          <w:tcPr>
            <w:tcW w:w="892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440" w:type="dxa"/>
            <w:tcBorders/>
            <w:vAlign w:val="center"/>
          </w:tcPr>
          <w:p>
            <w:pPr>
              <w:pStyle w:val="TableContents"/>
              <w:bidi w:val="0"/>
              <w:spacing w:before="0" w:after="283"/>
              <w:jc w:val="center"/>
              <w:rPr/>
            </w:pPr>
            <w:hyperlink w:anchor="item1a">
              <w:r>
                <w:rPr>
                  <w:rStyle w:val="InternetLink"/>
                </w:rPr>
                <w:t>15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1B.</w:t>
            </w:r>
          </w:p>
        </w:tc>
        <w:tc>
          <w:tcPr>
            <w:tcW w:w="8920" w:type="dxa"/>
            <w:tcBorders/>
            <w:vAlign w:val="center"/>
          </w:tcPr>
          <w:p>
            <w:pPr>
              <w:pStyle w:val="TableContents"/>
              <w:bidi w:val="0"/>
              <w:spacing w:before="0" w:after="0"/>
              <w:ind w:left="0" w:right="0" w:hanging="0"/>
              <w:jc w:val="left"/>
              <w:rPr/>
            </w:pPr>
            <w:hyperlink w:anchor="item1b">
              <w:r>
                <w:rPr>
                  <w:rStyle w:val="InternetLink"/>
                  <w:rFonts w:ascii="Times New Roman;Times;serif" w:hAnsi="Times New Roman;Times;serif"/>
                  <w:sz w:val="20"/>
                </w:rPr>
                <w:t>Unresolved Staff Comments</w:t>
              </w:r>
            </w:hyperlink>
          </w:p>
        </w:tc>
        <w:tc>
          <w:tcPr>
            <w:tcW w:w="440" w:type="dxa"/>
            <w:tcBorders/>
            <w:vAlign w:val="center"/>
          </w:tcPr>
          <w:p>
            <w:pPr>
              <w:pStyle w:val="TableContents"/>
              <w:bidi w:val="0"/>
              <w:spacing w:before="0" w:after="283"/>
              <w:jc w:val="center"/>
              <w:rPr/>
            </w:pPr>
            <w:hyperlink w:anchor="item1b">
              <w:r>
                <w:rPr>
                  <w:rStyle w:val="InternetLink"/>
                </w:rPr>
                <w:t>25</w:t>
              </w:r>
            </w:hyperlink>
          </w:p>
        </w:tc>
      </w:tr>
      <w:tr>
        <w:trPr/>
        <w:tc>
          <w:tcPr>
            <w:tcW w:w="845" w:type="dxa"/>
            <w:tcBorders/>
            <w:vAlign w:val="center"/>
          </w:tcPr>
          <w:p>
            <w:pPr>
              <w:pStyle w:val="TableContents"/>
              <w:bidi w:val="0"/>
              <w:spacing w:before="0" w:after="283"/>
              <w:jc w:val="left"/>
              <w:rPr/>
            </w:pPr>
            <w:r>
              <w:rPr/>
              <w:t>Item 1C.</w:t>
            </w:r>
          </w:p>
        </w:tc>
        <w:tc>
          <w:tcPr>
            <w:tcW w:w="8920" w:type="dxa"/>
            <w:tcBorders/>
            <w:vAlign w:val="center"/>
          </w:tcPr>
          <w:p>
            <w:pPr>
              <w:pStyle w:val="TableContents"/>
              <w:bidi w:val="0"/>
              <w:spacing w:before="0" w:after="283"/>
              <w:jc w:val="left"/>
              <w:rPr/>
            </w:pPr>
            <w:hyperlink w:anchor="item1c">
              <w:r>
                <w:rPr>
                  <w:rStyle w:val="InternetLink"/>
                </w:rPr>
                <w:t>Cybersecurity</w:t>
              </w:r>
            </w:hyperlink>
          </w:p>
        </w:tc>
        <w:tc>
          <w:tcPr>
            <w:tcW w:w="440" w:type="dxa"/>
            <w:tcBorders/>
            <w:vAlign w:val="center"/>
          </w:tcPr>
          <w:p>
            <w:pPr>
              <w:pStyle w:val="TableContents"/>
              <w:bidi w:val="0"/>
              <w:spacing w:before="0" w:after="283"/>
              <w:jc w:val="center"/>
              <w:rPr/>
            </w:pPr>
            <w:hyperlink w:anchor="item1c">
              <w:r>
                <w:rPr>
                  <w:rStyle w:val="InternetLink"/>
                </w:rPr>
                <w:t>25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2.</w:t>
            </w:r>
          </w:p>
        </w:tc>
        <w:tc>
          <w:tcPr>
            <w:tcW w:w="892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Properties</w:t>
              </w:r>
            </w:hyperlink>
          </w:p>
        </w:tc>
        <w:tc>
          <w:tcPr>
            <w:tcW w:w="440" w:type="dxa"/>
            <w:tcBorders/>
            <w:vAlign w:val="center"/>
          </w:tcPr>
          <w:p>
            <w:pPr>
              <w:pStyle w:val="TableContents"/>
              <w:bidi w:val="0"/>
              <w:spacing w:before="0" w:after="283"/>
              <w:jc w:val="center"/>
              <w:rPr/>
            </w:pPr>
            <w:hyperlink w:anchor="item2">
              <w:r>
                <w:rPr>
                  <w:rStyle w:val="InternetLink"/>
                </w:rPr>
                <w:t>26</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3.</w:t>
            </w:r>
          </w:p>
        </w:tc>
        <w:tc>
          <w:tcPr>
            <w:tcW w:w="892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Legal Proceedings</w:t>
              </w:r>
            </w:hyperlink>
          </w:p>
        </w:tc>
        <w:tc>
          <w:tcPr>
            <w:tcW w:w="440" w:type="dxa"/>
            <w:tcBorders/>
            <w:vAlign w:val="center"/>
          </w:tcPr>
          <w:p>
            <w:pPr>
              <w:pStyle w:val="TableContents"/>
              <w:bidi w:val="0"/>
              <w:spacing w:before="0" w:after="283"/>
              <w:jc w:val="center"/>
              <w:rPr/>
            </w:pPr>
            <w:hyperlink w:anchor="item3">
              <w:r>
                <w:rPr>
                  <w:rStyle w:val="InternetLink"/>
                </w:rPr>
                <w:t>27</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4.</w:t>
            </w:r>
          </w:p>
        </w:tc>
        <w:tc>
          <w:tcPr>
            <w:tcW w:w="892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Mine Safety Disclosures</w:t>
              </w:r>
            </w:hyperlink>
          </w:p>
        </w:tc>
        <w:tc>
          <w:tcPr>
            <w:tcW w:w="440" w:type="dxa"/>
            <w:tcBorders/>
            <w:vAlign w:val="center"/>
          </w:tcPr>
          <w:p>
            <w:pPr>
              <w:pStyle w:val="TableContents"/>
              <w:bidi w:val="0"/>
              <w:spacing w:before="0" w:after="283"/>
              <w:jc w:val="center"/>
              <w:rPr/>
            </w:pPr>
            <w:hyperlink w:anchor="item4">
              <w:r>
                <w:rPr>
                  <w:rStyle w:val="InternetLink"/>
                </w:rPr>
                <w:t>27</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200" w:right="0" w:hanging="200"/>
              <w:jc w:val="center"/>
              <w:rPr/>
            </w:pPr>
            <w:hyperlink w:anchor="part2">
              <w:r>
                <w:rPr>
                  <w:rStyle w:val="InternetLink"/>
                  <w:rFonts w:ascii="Times New Roman;Times;serif" w:hAnsi="Times New Roman;Times;serif"/>
                  <w:b/>
                  <w:sz w:val="20"/>
                </w:rPr>
                <w:t>PART II</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5.</w:t>
            </w:r>
          </w:p>
        </w:tc>
        <w:tc>
          <w:tcPr>
            <w:tcW w:w="892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440" w:type="dxa"/>
            <w:tcBorders/>
            <w:vAlign w:val="center"/>
          </w:tcPr>
          <w:p>
            <w:pPr>
              <w:pStyle w:val="TableContents"/>
              <w:bidi w:val="0"/>
              <w:spacing w:before="0" w:after="283"/>
              <w:jc w:val="center"/>
              <w:rPr/>
            </w:pPr>
            <w:hyperlink w:anchor="item5">
              <w:r>
                <w:rPr>
                  <w:rStyle w:val="InternetLink"/>
                </w:rPr>
                <w:t>27</w:t>
              </w:r>
            </w:hyperlink>
          </w:p>
        </w:tc>
      </w:tr>
      <w:tr>
        <w:trPr/>
        <w:tc>
          <w:tcPr>
            <w:tcW w:w="845"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hyperlink w:anchor="item6">
              <w:r>
                <w:rPr>
                  <w:rStyle w:val="InternetLink"/>
                </w:rPr>
                <w:t>[Reserved]</w:t>
              </w:r>
            </w:hyperlink>
          </w:p>
        </w:tc>
        <w:tc>
          <w:tcPr>
            <w:tcW w:w="440" w:type="dxa"/>
            <w:tcBorders/>
            <w:vAlign w:val="center"/>
          </w:tcPr>
          <w:p>
            <w:pPr>
              <w:pStyle w:val="TableContents"/>
              <w:bidi w:val="0"/>
              <w:spacing w:before="0" w:after="283"/>
              <w:jc w:val="center"/>
              <w:rPr/>
            </w:pPr>
            <w:hyperlink w:anchor="item6">
              <w:r>
                <w:rPr>
                  <w:rStyle w:val="InternetLink"/>
                </w:rPr>
                <w:t>29</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7.</w:t>
            </w:r>
          </w:p>
        </w:tc>
        <w:tc>
          <w:tcPr>
            <w:tcW w:w="8920" w:type="dxa"/>
            <w:tcBorders/>
            <w:vAlign w:val="center"/>
          </w:tcPr>
          <w:p>
            <w:pPr>
              <w:pStyle w:val="TableContents"/>
              <w:bidi w:val="0"/>
              <w:spacing w:before="0" w:after="0"/>
              <w:ind w:left="0" w:right="0" w:hanging="0"/>
              <w:jc w:val="left"/>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440" w:type="dxa"/>
            <w:tcBorders/>
            <w:vAlign w:val="center"/>
          </w:tcPr>
          <w:p>
            <w:pPr>
              <w:pStyle w:val="TableContents"/>
              <w:bidi w:val="0"/>
              <w:spacing w:before="0" w:after="283"/>
              <w:jc w:val="center"/>
              <w:rPr/>
            </w:pPr>
            <w:hyperlink w:anchor="item7">
              <w:r>
                <w:rPr>
                  <w:rStyle w:val="InternetLink"/>
                </w:rPr>
                <w:t>29</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7A.</w:t>
            </w:r>
          </w:p>
        </w:tc>
        <w:tc>
          <w:tcPr>
            <w:tcW w:w="8920" w:type="dxa"/>
            <w:tcBorders/>
            <w:vAlign w:val="center"/>
          </w:tcPr>
          <w:p>
            <w:pPr>
              <w:pStyle w:val="TableContents"/>
              <w:bidi w:val="0"/>
              <w:spacing w:before="0" w:after="0"/>
              <w:ind w:left="0" w:right="0" w:hanging="0"/>
              <w:jc w:val="left"/>
              <w:rPr/>
            </w:pPr>
            <w:hyperlink w:anchor="item7a">
              <w:r>
                <w:rPr>
                  <w:rStyle w:val="InternetLink"/>
                  <w:rFonts w:ascii="Times New Roman;Times;serif" w:hAnsi="Times New Roman;Times;serif"/>
                  <w:sz w:val="20"/>
                </w:rPr>
                <w:t>Quantitative and Qualitative Disclosures About Market Risk</w:t>
              </w:r>
            </w:hyperlink>
          </w:p>
        </w:tc>
        <w:tc>
          <w:tcPr>
            <w:tcW w:w="440" w:type="dxa"/>
            <w:tcBorders/>
            <w:vAlign w:val="center"/>
          </w:tcPr>
          <w:p>
            <w:pPr>
              <w:pStyle w:val="TableContents"/>
              <w:bidi w:val="0"/>
              <w:spacing w:before="0" w:after="283"/>
              <w:jc w:val="center"/>
              <w:rPr/>
            </w:pPr>
            <w:hyperlink w:anchor="item7a">
              <w:r>
                <w:rPr>
                  <w:rStyle w:val="InternetLink"/>
                </w:rPr>
                <w:t>40</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8.</w:t>
            </w:r>
          </w:p>
        </w:tc>
        <w:tc>
          <w:tcPr>
            <w:tcW w:w="8920" w:type="dxa"/>
            <w:tcBorders/>
            <w:vAlign w:val="center"/>
          </w:tcPr>
          <w:p>
            <w:pPr>
              <w:pStyle w:val="TableContents"/>
              <w:bidi w:val="0"/>
              <w:spacing w:before="0" w:after="0"/>
              <w:ind w:left="0" w:right="0" w:hanging="0"/>
              <w:jc w:val="left"/>
              <w:rPr/>
            </w:pPr>
            <w:hyperlink w:anchor="item8">
              <w:r>
                <w:rPr>
                  <w:rStyle w:val="InternetLink"/>
                  <w:rFonts w:ascii="Times New Roman;Times;serif" w:hAnsi="Times New Roman;Times;serif"/>
                  <w:sz w:val="20"/>
                </w:rPr>
                <w:t>Financial Statements and Supplementary Data</w:t>
              </w:r>
            </w:hyperlink>
          </w:p>
        </w:tc>
        <w:tc>
          <w:tcPr>
            <w:tcW w:w="440" w:type="dxa"/>
            <w:tcBorders/>
            <w:vAlign w:val="center"/>
          </w:tcPr>
          <w:p>
            <w:pPr>
              <w:pStyle w:val="TableContents"/>
              <w:bidi w:val="0"/>
              <w:spacing w:before="0" w:after="283"/>
              <w:jc w:val="center"/>
              <w:rPr/>
            </w:pPr>
            <w:hyperlink w:anchor="item8">
              <w:r>
                <w:rPr>
                  <w:rStyle w:val="InternetLink"/>
                </w:rPr>
                <w:t>41</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9.</w:t>
            </w:r>
          </w:p>
        </w:tc>
        <w:tc>
          <w:tcPr>
            <w:tcW w:w="8920" w:type="dxa"/>
            <w:tcBorders/>
            <w:vAlign w:val="center"/>
          </w:tcPr>
          <w:p>
            <w:pPr>
              <w:pStyle w:val="TableContents"/>
              <w:bidi w:val="0"/>
              <w:spacing w:before="0" w:after="0"/>
              <w:ind w:left="0" w:right="0" w:hanging="0"/>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440" w:type="dxa"/>
            <w:tcBorders/>
            <w:vAlign w:val="center"/>
          </w:tcPr>
          <w:p>
            <w:pPr>
              <w:pStyle w:val="TableContents"/>
              <w:bidi w:val="0"/>
              <w:spacing w:before="0" w:after="283"/>
              <w:jc w:val="center"/>
              <w:rPr/>
            </w:pPr>
            <w:hyperlink w:anchor="item9">
              <w:r>
                <w:rPr>
                  <w:rStyle w:val="InternetLink"/>
                </w:rPr>
                <w:t>74</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9A.</w:t>
            </w:r>
          </w:p>
        </w:tc>
        <w:tc>
          <w:tcPr>
            <w:tcW w:w="8920" w:type="dxa"/>
            <w:tcBorders/>
            <w:vAlign w:val="center"/>
          </w:tcPr>
          <w:p>
            <w:pPr>
              <w:pStyle w:val="TableContents"/>
              <w:bidi w:val="0"/>
              <w:spacing w:before="0" w:after="0"/>
              <w:ind w:left="0" w:right="0" w:hanging="0"/>
              <w:jc w:val="left"/>
              <w:rPr/>
            </w:pPr>
            <w:hyperlink w:anchor="item9a">
              <w:r>
                <w:rPr>
                  <w:rStyle w:val="InternetLink"/>
                  <w:rFonts w:ascii="Times New Roman;Times;serif" w:hAnsi="Times New Roman;Times;serif"/>
                  <w:sz w:val="20"/>
                </w:rPr>
                <w:t>Controls and Procedures</w:t>
              </w:r>
            </w:hyperlink>
          </w:p>
        </w:tc>
        <w:tc>
          <w:tcPr>
            <w:tcW w:w="440" w:type="dxa"/>
            <w:tcBorders/>
            <w:vAlign w:val="center"/>
          </w:tcPr>
          <w:p>
            <w:pPr>
              <w:pStyle w:val="TableContents"/>
              <w:bidi w:val="0"/>
              <w:spacing w:before="0" w:after="283"/>
              <w:jc w:val="center"/>
              <w:rPr/>
            </w:pPr>
            <w:hyperlink w:anchor="item9a">
              <w:r>
                <w:rPr>
                  <w:rStyle w:val="InternetLink"/>
                </w:rPr>
                <w:t>74</w:t>
              </w:r>
            </w:hyperlink>
          </w:p>
        </w:tc>
      </w:tr>
      <w:tr>
        <w:trPr/>
        <w:tc>
          <w:tcPr>
            <w:tcW w:w="845" w:type="dxa"/>
            <w:tcBorders/>
            <w:vAlign w:val="center"/>
          </w:tcPr>
          <w:p>
            <w:pPr>
              <w:pStyle w:val="TableContents"/>
              <w:bidi w:val="0"/>
              <w:spacing w:before="0" w:after="283"/>
              <w:jc w:val="left"/>
              <w:rPr/>
            </w:pPr>
            <w:r>
              <w:rPr/>
              <w:t>Item 9B.</w:t>
            </w:r>
          </w:p>
        </w:tc>
        <w:tc>
          <w:tcPr>
            <w:tcW w:w="8920" w:type="dxa"/>
            <w:tcBorders/>
            <w:vAlign w:val="center"/>
          </w:tcPr>
          <w:p>
            <w:pPr>
              <w:pStyle w:val="TableContents"/>
              <w:bidi w:val="0"/>
              <w:spacing w:before="0" w:after="283"/>
              <w:jc w:val="left"/>
              <w:rPr/>
            </w:pPr>
            <w:hyperlink w:anchor="item9b">
              <w:r>
                <w:rPr>
                  <w:rStyle w:val="InternetLink"/>
                </w:rPr>
                <w:t>Other Information</w:t>
              </w:r>
            </w:hyperlink>
          </w:p>
        </w:tc>
        <w:tc>
          <w:tcPr>
            <w:tcW w:w="440" w:type="dxa"/>
            <w:tcBorders/>
            <w:vAlign w:val="center"/>
          </w:tcPr>
          <w:p>
            <w:pPr>
              <w:pStyle w:val="TableContents"/>
              <w:bidi w:val="0"/>
              <w:spacing w:before="0" w:after="283"/>
              <w:jc w:val="center"/>
              <w:rPr/>
            </w:pPr>
            <w:hyperlink w:anchor="item9b">
              <w:r>
                <w:rPr>
                  <w:rStyle w:val="InternetLink"/>
                </w:rPr>
                <w:t>75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9C.</w:t>
            </w:r>
          </w:p>
        </w:tc>
        <w:tc>
          <w:tcPr>
            <w:tcW w:w="8920"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sz w:val="20"/>
                </w:rPr>
                <w:t>Disclosure Regarding Foreign Jurisdictions that Prevent Inspections</w:t>
              </w:r>
            </w:hyperlink>
          </w:p>
        </w:tc>
        <w:tc>
          <w:tcPr>
            <w:tcW w:w="440" w:type="dxa"/>
            <w:tcBorders/>
            <w:vAlign w:val="center"/>
          </w:tcPr>
          <w:p>
            <w:pPr>
              <w:pStyle w:val="TableContents"/>
              <w:bidi w:val="0"/>
              <w:spacing w:before="0" w:after="283"/>
              <w:jc w:val="center"/>
              <w:rPr/>
            </w:pPr>
            <w:hyperlink w:anchor="item9c">
              <w:r>
                <w:rPr>
                  <w:rStyle w:val="InternetLink"/>
                </w:rPr>
                <w:t>75</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art3">
              <w:r>
                <w:rPr>
                  <w:rStyle w:val="InternetLink"/>
                  <w:rFonts w:ascii="Times New Roman;Times;serif" w:hAnsi="Times New Roman;Times;serif"/>
                  <w:b/>
                  <w:sz w:val="20"/>
                </w:rPr>
                <w:t>PART III</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10.</w:t>
            </w:r>
          </w:p>
        </w:tc>
        <w:tc>
          <w:tcPr>
            <w:tcW w:w="8920" w:type="dxa"/>
            <w:tcBorders/>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sz w:val="20"/>
                </w:rPr>
                <w:t>Directors, Executive Officers and Corporate Governance</w:t>
              </w:r>
            </w:hyperlink>
          </w:p>
        </w:tc>
        <w:tc>
          <w:tcPr>
            <w:tcW w:w="440" w:type="dxa"/>
            <w:tcBorders/>
            <w:vAlign w:val="center"/>
          </w:tcPr>
          <w:p>
            <w:pPr>
              <w:pStyle w:val="TableContents"/>
              <w:bidi w:val="0"/>
              <w:spacing w:before="0" w:after="283"/>
              <w:jc w:val="center"/>
              <w:rPr/>
            </w:pPr>
            <w:hyperlink w:anchor="item10">
              <w:r>
                <w:rPr>
                  <w:rStyle w:val="InternetLink"/>
                </w:rPr>
                <w:t>75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11.</w:t>
            </w:r>
          </w:p>
        </w:tc>
        <w:tc>
          <w:tcPr>
            <w:tcW w:w="8920" w:type="dxa"/>
            <w:tcBorders/>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sz w:val="20"/>
                </w:rPr>
                <w:t>Executive Compensation</w:t>
              </w:r>
            </w:hyperlink>
          </w:p>
        </w:tc>
        <w:tc>
          <w:tcPr>
            <w:tcW w:w="440" w:type="dxa"/>
            <w:tcBorders/>
            <w:vAlign w:val="center"/>
          </w:tcPr>
          <w:p>
            <w:pPr>
              <w:pStyle w:val="TableContents"/>
              <w:bidi w:val="0"/>
              <w:spacing w:before="0" w:after="283"/>
              <w:jc w:val="center"/>
              <w:rPr/>
            </w:pPr>
            <w:hyperlink w:anchor="item11">
              <w:r>
                <w:rPr>
                  <w:rStyle w:val="InternetLink"/>
                </w:rPr>
                <w:t>75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12.</w:t>
            </w:r>
          </w:p>
        </w:tc>
        <w:tc>
          <w:tcPr>
            <w:tcW w:w="8920" w:type="dxa"/>
            <w:tcBorders/>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440" w:type="dxa"/>
            <w:tcBorders/>
            <w:vAlign w:val="center"/>
          </w:tcPr>
          <w:p>
            <w:pPr>
              <w:pStyle w:val="TableContents"/>
              <w:bidi w:val="0"/>
              <w:spacing w:before="0" w:after="283"/>
              <w:jc w:val="center"/>
              <w:rPr/>
            </w:pPr>
            <w:hyperlink w:anchor="item12">
              <w:r>
                <w:rPr>
                  <w:rStyle w:val="InternetLink"/>
                </w:rPr>
                <w:t>75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13.</w:t>
            </w:r>
          </w:p>
        </w:tc>
        <w:tc>
          <w:tcPr>
            <w:tcW w:w="8920" w:type="dxa"/>
            <w:tcBorders/>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440" w:type="dxa"/>
            <w:tcBorders/>
            <w:vAlign w:val="center"/>
          </w:tcPr>
          <w:p>
            <w:pPr>
              <w:pStyle w:val="TableContents"/>
              <w:bidi w:val="0"/>
              <w:spacing w:before="0" w:after="283"/>
              <w:jc w:val="center"/>
              <w:rPr/>
            </w:pPr>
            <w:hyperlink w:anchor="item13">
              <w:r>
                <w:rPr>
                  <w:rStyle w:val="InternetLink"/>
                </w:rPr>
                <w:t>75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14.</w:t>
            </w:r>
          </w:p>
        </w:tc>
        <w:tc>
          <w:tcPr>
            <w:tcW w:w="8920"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sz w:val="20"/>
                </w:rPr>
                <w:t>Principal Accountant Fees and Services</w:t>
              </w:r>
            </w:hyperlink>
          </w:p>
        </w:tc>
        <w:tc>
          <w:tcPr>
            <w:tcW w:w="440" w:type="dxa"/>
            <w:tcBorders/>
            <w:vAlign w:val="center"/>
          </w:tcPr>
          <w:p>
            <w:pPr>
              <w:pStyle w:val="TableContents"/>
              <w:bidi w:val="0"/>
              <w:spacing w:before="0" w:after="283"/>
              <w:jc w:val="center"/>
              <w:rPr/>
            </w:pPr>
            <w:hyperlink w:anchor="item14">
              <w:r>
                <w:rPr>
                  <w:rStyle w:val="InternetLink"/>
                </w:rPr>
                <w:t>75</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200" w:right="0" w:hanging="200"/>
              <w:jc w:val="center"/>
              <w:rPr/>
            </w:pPr>
            <w:hyperlink w:anchor="part4">
              <w:r>
                <w:rPr>
                  <w:rStyle w:val="InternetLink"/>
                  <w:rFonts w:ascii="Times New Roman;Times;serif" w:hAnsi="Times New Roman;Times;serif"/>
                  <w:b/>
                  <w:sz w:val="20"/>
                </w:rPr>
                <w:t>PART IV</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15.</w:t>
            </w:r>
          </w:p>
        </w:tc>
        <w:tc>
          <w:tcPr>
            <w:tcW w:w="8920" w:type="dxa"/>
            <w:tcBorders/>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sz w:val="20"/>
                </w:rPr>
                <w:t>Exhibits and Financial Statement Schedules</w:t>
              </w:r>
            </w:hyperlink>
          </w:p>
        </w:tc>
        <w:tc>
          <w:tcPr>
            <w:tcW w:w="440" w:type="dxa"/>
            <w:tcBorders/>
            <w:vAlign w:val="center"/>
          </w:tcPr>
          <w:p>
            <w:pPr>
              <w:pStyle w:val="TableContents"/>
              <w:bidi w:val="0"/>
              <w:spacing w:before="0" w:after="283"/>
              <w:jc w:val="center"/>
              <w:rPr/>
            </w:pPr>
            <w:hyperlink w:anchor="item15">
              <w:r>
                <w:rPr>
                  <w:rStyle w:val="InternetLink"/>
                </w:rPr>
                <w:t>75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16.</w:t>
            </w:r>
          </w:p>
        </w:tc>
        <w:tc>
          <w:tcPr>
            <w:tcW w:w="8920" w:type="dxa"/>
            <w:tcBorders/>
            <w:vAlign w:val="center"/>
          </w:tcPr>
          <w:p>
            <w:pPr>
              <w:pStyle w:val="TableContents"/>
              <w:bidi w:val="0"/>
              <w:spacing w:before="0" w:after="0"/>
              <w:ind w:left="0" w:right="0" w:hanging="0"/>
              <w:jc w:val="left"/>
              <w:rPr/>
            </w:pPr>
            <w:hyperlink w:anchor="item16">
              <w:r>
                <w:rPr>
                  <w:rStyle w:val="InternetLink"/>
                  <w:rFonts w:ascii="Times New Roman;Times;serif" w:hAnsi="Times New Roman;Times;serif"/>
                  <w:sz w:val="20"/>
                </w:rPr>
                <w:t>Form 10-K Summary</w:t>
              </w:r>
            </w:hyperlink>
          </w:p>
        </w:tc>
        <w:tc>
          <w:tcPr>
            <w:tcW w:w="440" w:type="dxa"/>
            <w:tcBorders/>
            <w:vAlign w:val="center"/>
          </w:tcPr>
          <w:p>
            <w:pPr>
              <w:pStyle w:val="TableContents"/>
              <w:bidi w:val="0"/>
              <w:spacing w:before="0" w:after="283"/>
              <w:jc w:val="center"/>
              <w:rPr/>
            </w:pPr>
            <w:hyperlink w:anchor="item16">
              <w:r>
                <w:rPr>
                  <w:rStyle w:val="InternetLink"/>
                </w:rPr>
                <w:t>80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annual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forward-looking statements contained in this annual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annual report include estimates regarding:</w:t>
      </w:r>
    </w:p>
    <w:p>
      <w:pPr>
        <w:pStyle w:val="TextBody"/>
        <w:bidi w:val="0"/>
        <w:spacing w:before="0" w:after="0"/>
        <w:ind w:left="0" w:right="0" w:hanging="0"/>
        <w:jc w:val="both"/>
        <w:rPr/>
      </w:pPr>
      <w:r>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4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financial and operating results, and future economic performance;</w:t>
            </w:r>
          </w:p>
        </w:tc>
      </w:tr>
    </w:tbl>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proposed new product and service offerings;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management's goals, expectations and objectives and other similar expressions concerning matters that are not historical facts.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Factors that could affect our actual financial results and cause them to differ materially from those anticipated in the forward-looking statements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frequency and duration of power outages impacting demand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fluctuations in cost, availability, and quality of raw materials, key components and labor required to manufacture our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our dependence on a small number of contract manufacturers and component suppliers, including single-source suppliers;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changes and volatility with respect to the trade policies of various countries, which may result in new or increased tariffs, trade restrictions, or other unfavorable trade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our ability to protect our intellectual property rights or successfully defend against third party infringement claims;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changes in durable goods spending by consumers and businesses or other global macroeconomic conditions, impacting demand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changes in governmental policies, particularly with respect to tax incentives, tax credits, or grant programs, which could: (i) affect the demand for certain of our products; or (ii) result in a withdrawal or reduction of grants previously awarded to the Company;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increase in product and other liability claims, warranty costs, recalls, or other claims;</w:t>
            </w:r>
          </w:p>
        </w:tc>
      </w:tr>
    </w:tbl>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8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significant legal proceedings, claims, fines, penalties, tax assessments, lawsuits or government investigations;</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80" w:type="dxa"/>
            <w:tcBorders/>
            <w:vAlign w:val="center"/>
          </w:tcPr>
          <w:p>
            <w:pPr>
              <w:pStyle w:val="TableContents"/>
              <w:bidi w:val="0"/>
              <w:spacing w:before="0" w:after="283"/>
              <w:jc w:val="left"/>
              <w:rPr/>
            </w:pPr>
            <w:r>
              <w:rPr/>
              <w:t>our ability to consummate our share repurchase programs;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our failure or inability to adapt to, or comply with, current or future changes in applicable laws, regulations, and product standards;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our ability to develop and enhance products and gain customer acceptance, including our offerings that serve the data center and energy technology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uncertainty regarding the growth of the data center market;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our ability to accurately forecast demand for our products and effectively manage inventory levels relative to such forecast;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our ability to remain competitive;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dependence on our dealer and distribution network;</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market reaction to changes in selling prices or mix of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loss of our key management and employees;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disruptions from labor disputes or organized labor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attract and retain employees;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disruptions in our manufacturing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the possibility that the expected synergies, efficiencies and cost savings of our acquisitions, divestitures, restructurings, or realignments will not be realized, or will not be realized within the expected time period;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risks related to sourcing components in foreign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compliance with environmental, health and safety laws and regulations;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scrutiny regarding our sustainability practices;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government regulation of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failures or security breaches of our networks, information technology systems, or connected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make payments on our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terms of our credit facilities that may restrict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our potential need for additional capital to finance our growth or refinancing our existing credit facilities;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risks of impairment of the value of our goodwill and other indefinite-lived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volatility of our stock price;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potential tax liabilities.</w:t>
            </w:r>
          </w:p>
        </w:tc>
      </w:tr>
    </w:tbl>
    <w:p>
      <w:pPr>
        <w:pStyle w:val="TextBody"/>
        <w:bidi w:val="0"/>
        <w:spacing w:before="0" w:after="0"/>
        <w:ind w:left="72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Item 1A of this Annual Report on Form 10-K. Stockholders, potential investors and other readers should consider these factors carefully in evaluating the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b/>
          <w:sz w:val="20"/>
        </w:rPr>
      </w:pPr>
      <w:bookmarkStart w:id="4" w:name="item1"/>
      <w:bookmarkEnd w:id="4"/>
      <w:r>
        <w:rPr>
          <w:rFonts w:ascii="Times New Roman;Times;serif" w:hAnsi="Times New Roman;Times;serif"/>
          <w:b/>
          <w:sz w:val="20"/>
        </w:rPr>
        <w:t xml:space="preserve">Item 1. Business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Founded in 1959, Generac is a leading global designer, manufacturer, and provider of a wide range of energy technology solutions. Generac provides power generation equipment, energy storage systems, energy management devices &amp; solutions, and other power products and services serving the residential, commercial, data center, telecom, rental, and industrial markets. The Company’s broad portfolio of energy technology offerings for homes and businesses enables its mission to Power a Smarter World and lead the evolution to more resilient, efficient, and innovative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long history of providing power generation products across a variety of applications, and we maintain one of the leading positions in the North American market for power equipment with an expanding presence internationally. We believe we have one of the widest ranges of products in the power generation marketplace, including residential, commercial, and industrial standby generators, as well as portable and mobile generators used in a variety of applications. The recent introduction of our large-megawatt diesel generator line-up has substantially increased our served addressable market, allowing us to participate in the supply-constrained data center market which is expected to grow significantly over the coming years due to the mass adoption of artificial intelligence. Over the last few years, we have also been focused on building out ecosystems of energy technology products, solutions, and services for homes and businesses, allowing us to fully integrate our product portfolios together into common platforms and user interfaces and enabling end users to better manage their energy resilience and costs. We have also been leveraging our leading position in the growing market for natural gas fueled generators, which we believe represents a cleaner fuel compared to diesel, to develop solutions for applications beyond standby power, allowing us to participate in multi-purpose microgrid projects for C&amp;I customers. As the traditional centralized utility model evolves over time, we believe that a more decarbonized, digitized, and decentralized grid infrastructure will develop, and our energy technology solutions are uniquely and strategically positioned to participate in this next-generation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our competitive strengths in our traditional power generation markets, we believe we are well-positioned to execute on the growing opportunity for backup power for homes and businesses, where increased penetration is being driven by multiple mega-trends that are resulting in poorer power quality for end users. In addition, our focus on more resilient, efficient and innovative energy solutions has increased our served addressable market, and as a result, we believe we can provide products that can help offset rising energy costs as the traditional utility grid suffers from significant supply/demand imbalances over time.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Company History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Generac Power Systems, Inc. was founded in 1959 to commercialize a line of affordable portable generators that offered superior performance and features. Its success through the years has been built upon engineering expertise, manufacturing excellence and innovative approaches to the market. This has driven our growth into becoming a leading provider of power equipment for a variety of applications within residential, commercial, and industrial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1980’s, we expanded beyond portable generators into the industrial power generation market with the introduction of our first stationary generators that provided up to 200kW of power output. We introduced our first residential standby generator product line in 1989 and expanded our industrial product offering and global distribution in the 1990’s, forming a series of alliances that rapidly increased our sales. Our growth accelerated in the 2000’s as we expanded our purpose-built line of residential and commercial automatic standby generators and implemented our multi-layered, omni-channel distribution philosophy. Throughout the 2000’s, a number of high-profile power outage events also helped to increase the awareness and need for backup power and home standby generators. In February 2010, we completed our initial public offering (IPO) of the Company’s common stock, helping to increase awareness of Generac and our products and positioning the Company for future growth. Since then, we have scaled our sales &amp; marketing capabilities and systems, while also building the Generac brand into one of the leading names in backup power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Soon after going public, we accelerated the Company’s transition from primarily a North America focused, emergency backup generator company into a more diversified industrial technology company with the addition of new and adjacent product categories and an expanded global presence, primarily through a series of acquisitions. It was during this time in the 2010’s that we formed and built out our International segment, which expanded our operations and capabilities globally to gain access to power generation markets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2018, we continued to evolve our enterprise strategy by driving further share gains in new and existing markets, capitalizing on our leadership in natural gas gensets, establishing our connectivity strategy, and providing the foundation for the Company’s initial acquisitions within the energy technology space. Our current “Powering a Smarter World” strategic plan has driven focus on energy resilience, energy efficiency, and critical infrastructure. This strategy has continued the evolution of Generac’s product offering, pairing traditional and renewable power generation, conversion, and storage technologies with new monitoring and management capabilities to provide ecosystems and solutions for the dynamic challenges presented by today’s energy landscape. In addition, this strategy continues to drive innovation in the form of new product development, including the 2025 launches of our next-generation home standby generator, our large mega-watt diesel generators for higher power applications such as data centers, our new PWRcell 2 energy storage system, and our new Generac-branded microinverters.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long history takes us from a small manufacturer in rural Wisconsin with an idea to innovate the power generation market in the United States, to a scaled multi-national, diversified, energy technology company with a well-established brand synonymous with back-up power.</w:t>
      </w:r>
    </w:p>
    <w:p>
      <w:pPr>
        <w:pStyle w:val="TextBody"/>
        <w:bidi w:val="0"/>
        <w:spacing w:before="0" w:after="283"/>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Mega-Trends and Strategic Growth Themes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“Powering a Smarter World” strategic plan serves as the framework for the significant investments that we have made, and will continue to make, to capitalize on the long-term growth prospects of Generac. Our enterprise strategy is derived from certain key mega-trends that we believe will drive various strategic growth themes for our business. Those mega-trends and growth themes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Key Mega-Trends: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140"/>
        <w:gridCol w:w="98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center"/>
              <w:rPr/>
            </w:pPr>
            <w:r>
              <w:rPr/>
              <w:t>●</w:t>
            </w:r>
          </w:p>
        </w:tc>
        <w:tc>
          <w:tcPr>
            <w:tcW w:w="9975" w:type="dxa"/>
            <w:gridSpan w:val="2"/>
            <w:tcBorders/>
            <w:vAlign w:val="center"/>
          </w:tcPr>
          <w:p>
            <w:pPr>
              <w:pStyle w:val="TableContents"/>
              <w:bidi w:val="0"/>
              <w:spacing w:before="0" w:after="283"/>
              <w:jc w:val="both"/>
              <w:rPr/>
            </w:pPr>
            <w:r>
              <w:rPr/>
              <w:t>Lower power quality continuing to drive demand for backup power solutions: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More frequent, severe, and volatile weather impacting an aging grid, causing increased power outage activity.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Increasing deployment of intermittent renewable generation sources coupled with accelerating electricity demand trends driving supply/demand imbalances for utilities and grid operators.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center"/>
              <w:rPr/>
            </w:pPr>
            <w:r>
              <w:rPr/>
              <w:t>●</w:t>
            </w:r>
          </w:p>
        </w:tc>
        <w:tc>
          <w:tcPr>
            <w:tcW w:w="9975" w:type="dxa"/>
            <w:gridSpan w:val="2"/>
            <w:tcBorders/>
            <w:vAlign w:val="center"/>
          </w:tcPr>
          <w:p>
            <w:pPr>
              <w:pStyle w:val="TableContents"/>
              <w:bidi w:val="0"/>
              <w:spacing w:before="0" w:after="283"/>
              <w:jc w:val="both"/>
              <w:rPr/>
            </w:pPr>
            <w:r>
              <w:rPr/>
              <w:t>Higher power prices driving the need for energy management solutions: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Electrification trends causing power demand to exceed supply, driving up power prices.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Investment required to upgrade grid infrastructure and transition to renewable power sources, pushing prices higher.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Higher power prices result in shorter paybacks for solar &amp; storage systems.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center"/>
              <w:rPr/>
            </w:pPr>
            <w:r>
              <w:rPr/>
              <w:t>●</w:t>
            </w:r>
          </w:p>
        </w:tc>
        <w:tc>
          <w:tcPr>
            <w:tcW w:w="9975" w:type="dxa"/>
            <w:gridSpan w:val="2"/>
            <w:tcBorders/>
            <w:vAlign w:val="center"/>
          </w:tcPr>
          <w:p>
            <w:pPr>
              <w:pStyle w:val="TableContents"/>
              <w:bidi w:val="0"/>
              <w:spacing w:before="0" w:after="283"/>
              <w:jc w:val="left"/>
              <w:rPr/>
            </w:pPr>
            <w:r>
              <w:rPr/>
              <w:t>Artificial intelligence adoption accelerating, creating a large market opportunity for backup power: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Significant power requirements for the buildout of data centers to enable AI adoption could drive further grid instability and higher power prices.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Massive capital investment into hyperscale and edge data centers has created a very large market for back-up power that is supply-constrained, providing a significant growth opportunity for our newly introduced large-megawatt C&amp;I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center"/>
              <w:rPr/>
            </w:pPr>
            <w:r>
              <w:rPr/>
              <w:t>●</w:t>
            </w:r>
          </w:p>
        </w:tc>
        <w:tc>
          <w:tcPr>
            <w:tcW w:w="9975" w:type="dxa"/>
            <w:gridSpan w:val="2"/>
            <w:tcBorders/>
            <w:vAlign w:val="center"/>
          </w:tcPr>
          <w:p>
            <w:pPr>
              <w:pStyle w:val="TableContents"/>
              <w:bidi w:val="0"/>
              <w:spacing w:before="0" w:after="283"/>
              <w:jc w:val="left"/>
              <w:rPr/>
            </w:pPr>
            <w:r>
              <w:rPr/>
              <w:t>Growing demand for cleaner burning fuels, such as natural gas: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Natural gas and other alternative fuels are vital to the energy transition.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Demand for natural gas-fueled backup generators growing as homes and businesses choose cleaner-burning fuel sources of generation, relative to diesel generators.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center"/>
              <w:rPr/>
            </w:pPr>
            <w:r>
              <w:rPr/>
              <w:t>●</w:t>
            </w:r>
          </w:p>
        </w:tc>
        <w:tc>
          <w:tcPr>
            <w:tcW w:w="9975" w:type="dxa"/>
            <w:gridSpan w:val="2"/>
            <w:tcBorders/>
            <w:vAlign w:val="center"/>
          </w:tcPr>
          <w:p>
            <w:pPr>
              <w:pStyle w:val="TableContents"/>
              <w:bidi w:val="0"/>
              <w:spacing w:before="0" w:after="283"/>
              <w:jc w:val="both"/>
              <w:rPr/>
            </w:pPr>
            <w:r>
              <w:rPr/>
              <w:t>Required investment in global infrastructure, driving demand for our products: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Upgrading of aging and under-invested legacy infrastructure systems, such as energy production, telecommunications, transportation, and data centers.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Expanding investment for increasingly critical technology infrastructure as we transition to a more "connected" society.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center"/>
              <w:rPr/>
            </w:pPr>
            <w:r>
              <w:rPr/>
              <w:t>●</w:t>
            </w:r>
          </w:p>
        </w:tc>
        <w:tc>
          <w:tcPr>
            <w:tcW w:w="9975" w:type="dxa"/>
            <w:gridSpan w:val="2"/>
            <w:tcBorders/>
            <w:vAlign w:val="center"/>
          </w:tcPr>
          <w:p>
            <w:pPr>
              <w:pStyle w:val="TableContents"/>
              <w:bidi w:val="0"/>
              <w:spacing w:before="0" w:after="283"/>
              <w:jc w:val="left"/>
              <w:rPr/>
            </w:pPr>
            <w:r>
              <w:rPr/>
              <w:t>Home as a Sanctuary, driving increased demand for resiliency solutions that provide peace of mind: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Increasing importance of the home with more people working from home and aging in place.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Electrification of home appliances and vehicles increases the need for back-up power.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center"/>
              <w:rPr/>
            </w:pPr>
            <w:r>
              <w:rPr/>
              <w:t>o</w:t>
            </w:r>
          </w:p>
        </w:tc>
        <w:tc>
          <w:tcPr>
            <w:tcW w:w="9835" w:type="dxa"/>
            <w:tcBorders/>
            <w:vAlign w:val="center"/>
          </w:tcPr>
          <w:p>
            <w:pPr>
              <w:pStyle w:val="TableContents"/>
              <w:bidi w:val="0"/>
              <w:spacing w:before="0" w:after="283"/>
              <w:jc w:val="both"/>
              <w:rPr/>
            </w:pPr>
            <w:r>
              <w:rPr/>
              <w:t>Growing market for intelligent and connected homes that can provide improved energy efficiency. </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Strategic Growth Themes: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Power quality issues continue to increase</w:t>
      </w:r>
      <w:r>
        <w:rPr>
          <w:rFonts w:ascii="Times New Roman" w:hAnsi="Times New Roman"/>
          <w:caps w:val="false"/>
          <w:smallCaps w:val="false"/>
          <w:sz w:val="20"/>
        </w:rPr>
        <w:t>. Power disruptions are an important driver of consumer awareness for backup power and have historically 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Energy storage systems offer similar resiliency advantages to consumers (at least for short duration power outages and for limited circuits) and demand for these products can benefit from these same awareness drivers. The optional standby market for C&amp;I power generation is also driven by power quality issues and the related need for backup power.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climate change has received increased global focus in recent years, and an aging and under-invested electrical grid infrastructure remains highly vulnerable to potentially more severe and volatile weather. Additionally, growth in renewable power sources (such as solar and wind) is resulting in increased intermittency of supply as traditional thermal generation assets are retired, further impairing the reliable supply of electricity. At the same time, power demand is expected to meaningfully accelerate due to (i) the rapid adoption of artificial intelligence and related data center energy requirements, (ii) the re-industrialization of North America, and (iii) the electrification of a wide range of consumer and commercial products, including transportation, HVAC systems, and other major appliances. These developments are causing a growing supply/demand imbalance for grid operators across the world, which has led to high-profile examples of rolling blackouts and calls for utility customers to reduce consumption to maintain grid integrity. In fact, the North American Electric Reliability Corporation has labeled significant portions of the United States and Canada as being at high or elevated risk of resource adequacy shortfalls in the 2025-2029 period due in part to these supply/demand dynamics. We believe utility supply shortfalls and related warnings may continue in the future, resulting in further power quality issues for the world’s electrical grid. Finally, certain utilities are adopting preventative power shutoff policies to reduce the risk of wildfires caused by their electrical distribution equipment, predominately in the western part of the United States. Taken together, we expect these factors to continue driving increased awareness of the need for backup power for homes and businesses which will continue to create demand for Generac’s products across the portfolio.</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Home standby penetration opportunity is significant</w:t>
      </w:r>
      <w:r>
        <w:rPr>
          <w:rFonts w:ascii="Times New Roman" w:hAnsi="Times New Roman"/>
          <w:caps w:val="false"/>
          <w:smallCaps w:val="false"/>
          <w:sz w:val="20"/>
        </w:rPr>
        <w:t>. Many potential customers are still not aware of the costs and benefits of automatic backup power solutions. With only approximately 6.75% penetration of the addressable market of homes in the United States (which we define as single-family detached, owner-occupied households with a home value of over $175,000, as defined by the U.S. Census Bureau's 2023 American Housing Survey for the United States), we believe there are significant opportunities to further penetrate the residential standby generator market both domestically and internationally. In addition to the mega-trends supporting growth of the category, we believe by expanding and developing our distribution network, continuing to invest in new product lines and technologies, and optimizing our marketing efforts, we can continue to build awareness and increase penetration for our home standby generators.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Substantial capital investments in new data centers and accelerating adoption of artificial intelligence.</w:t>
      </w:r>
      <w:r>
        <w:rPr>
          <w:rFonts w:ascii="Times New Roman" w:hAnsi="Times New Roman"/>
          <w:caps w:val="false"/>
          <w:smallCaps w:val="false"/>
          <w:sz w:val="20"/>
        </w:rPr>
        <w:t xml:space="preserve"> As a result of the development of artificial intelligence and the expected benefits of this technology, there is significant capital investment being made to build out data center infrastructure, which is expected to further accelerate adoption of artificial intelligence capabilities. Backup power solutions are a necessary part of this substantial investment in data centers. Given the significant power requirements and the mission-critical nature of these data centers, demand for large backup power generators is expected to grow at a dramatic rate for the foreseeable future. Due to all of these factors, the market for large-megawatt backup generators has become significantly supply-constrained. This presents a very large incremental opportunity for our recently introduced large-megawatt diesel generator offering. As we continue to ramp our capacity and capabilities for large megawatt generators, we believe that we are well positioned to take share in this market over time given (i) our long-standing historical focus on backup power generation, (ii) our global presence in markets around the world, (iii) our ability to provide customized product solutions via our extensive sales, engineering, and project management resources, and (iv) our robust aftermarket support through a combination of direct service teams and our global service network provided by our industrial distributor partners. Given the scale and mission-critical nature of these applications, this level of support is necessary to capture market share and serve these customers. Additionally, we believe these large data center power loads will contribute to the growing supply/demand imbalance across the broader electrical grid, resulting in continued power quality issues and increased demand for backup power solutions for all homes and businesses. Finally, we believe the significant growth in data center power consumption will cause higher power prices, driving growth in the market for solar, storage, and intelligent energy management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Increasingly critical nature of digital infrastructure</w:t>
      </w:r>
      <w:r>
        <w:rPr>
          <w:rFonts w:ascii="Times New Roman" w:hAnsi="Times New Roman"/>
          <w:caps w:val="false"/>
          <w:smallCaps w:val="false"/>
          <w:sz w:val="20"/>
        </w:rPr>
        <w:t>. As the number of “connected” devices continues to rapidly increase and wireless networks are considered critical infrastructure in the United States, network reliability and up-time are necessary for our increasingly connected society. This will require highly resilient cell tower sites across the network, and therefore, necessitates the need for backup power sources on site at these cell towers. Generac is the leading supplier of backup power to the telecommunications market in the United States. As more mission-critical data is transmitted over wireless networks, we believe the penetration rate of backup generators on cell towers must increase considerably to maintain a higher level of reliability across the network. We have relationships with key Tier 1 carriers and tower companies globally, in addition to having distribution partners to provide local service support to the global market. We believe these factors coupled with Generac’s ability to customize solutions to each customer’s needs help us to maintain our strength within the global telecommunications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Natural gas generators, a continuing growth opportunity</w:t>
      </w:r>
      <w:r>
        <w:rPr>
          <w:rFonts w:ascii="Times New Roman" w:hAnsi="Times New Roman"/>
          <w:caps w:val="false"/>
          <w:smallCaps w:val="false"/>
          <w:sz w:val="20"/>
        </w:rPr>
        <w:t>. We believe natural gas will continue to be an important and cleaner transition fuel of the future, compared to diesel, as the world continues to shift towards lower emission power generation sources. Demand for natural gas generators continues to represent an increasing portion of many C&amp;I end markets, as the benefits of natural gas power generation are very compelling relative to traditional diesel fueled generators for certain end users. We also continue to explore and expand our capabilities within new gaseous generator market opportunities, including continuous-duty, prime rated, distributed generation, demand response, microgrids, and overall use as a Distributed Energy Resource (DER) in areas where grid stability is needed. Many of these applications are made possible by our natural gas generators having the capability to participate in available grid services programs, helping to offset the purchase price of the equipment over the product’s lifespan. Expanding our natural gas product offering into larger power nodes is another way that we are increasing the addressable market for natural gas generators. As a leader in natural gas power generation, we believe we are well positioned to capitalize on this strategic growth theme.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Solar, storage, and energy management markets will continue to develop despite phasing out of government subsidies and incentives</w:t>
      </w:r>
      <w:r>
        <w:rPr>
          <w:rFonts w:ascii="Times New Roman" w:hAnsi="Times New Roman"/>
          <w:caps w:val="false"/>
          <w:smallCaps w:val="false"/>
          <w:sz w:val="20"/>
        </w:rPr>
        <w:t>. We believe the electric utility landscape will undergo significant changes in the decade ahead due to accelerating demand growth, grid instability and power quality issues, environmental concerns, permitting challenges, and the continuing performance and cost improvements in renewable energy and energy storage technologies. Importantly, we expect that a confluence of factors will continue to drive power prices meaningfully higher in the future. As a result, on-site power generation from renewable sources and cleaner-burning natural gas generators are projected to become more prevalent as will the need to monitor, manage, and store this power – potentially developing into a significant market opportunity as utility customers seek alternative solutions to combat rising power prices. In addition, battery storage can also provide customers with another source of power resiliency for shorter duration outages.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Solar and storage markets have historically been supported by subsidies and investment tax credits for consumers and businesses to help advance the adoption of clean energy technologies.  Further, production tax credits are being offered to businesses that meet certain domestic manufacturing requirements in the production of renewable energy products. On July 4, 2025, the United States signed into law the One Big Beautiful Bill Act (OBBBA). The OBBBA accelerates the phase-out of tax incentives for the solar market and includes certain domestic supply chain requirements to qualify for these incentives. While this phase-out of tax incentives will negatively impact the solar and storage markets in the near term, we believe the overall mega-trends that drive the solar, storage, and energy management markets will continue and provide sufficient incentive for long-term, value-creating investments for market participants in this space. Given the significant long-term market opportunity, we believe it is important to build out our capabilities in energy technology and continue to develop our residential ecosystem of products and solutions. In addition, we plan to leverage our strong competencies in the residential standby generator market to increase our market position in the residential solar, storage, and energy management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7, Management’s Discussion and Analysis of Financial Condition and Results of Operations – Business Drivers and Operational Factors” of this Annual Report on Form 10-K for additional drivers that influence demand for our products and other factors that can affect our results of operations.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Enterprise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mega-trends and strategic growth themes that we have identified support our enterprise strategy, “Powering A Smarter World,” and our purpose statement, “To lead the evolution to more resilient, efficient, and innovative energy solutions.” As we continue to execute our strategic plan into the future, we are focused on three key objectives: (i) improve energy resilience and independence, (ii) optimize energy efficiency and consumption, and (iii) innovate to protect and build critical infrastructure. These objectives are further explained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Improve energy resilience and independence. </w:t>
      </w:r>
      <w:r>
        <w:rPr>
          <w:rFonts w:ascii="Times New Roman" w:hAnsi="Times New Roman"/>
          <w:caps w:val="false"/>
          <w:smallCaps w:val="false"/>
          <w:sz w:val="20"/>
        </w:rPr>
        <w:t>Increase power reliability through onsite generation and storage solutions that provide resiliency for homes, businesses and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Homes, businesses, and communities are experiencing a deterioration in the reliable supply of electricity due to a number of factors including: climate change impacts driving more severe and volatile weather leading to increased power outages; a capacity constrained legacy power infrastructure that’s still predominantly a one-way system; power infrastructure being impaired by under-investment making it more susceptible to power outages; regulatory and legislative actions focused on carbon intensity, coupled with the continued adoption of more intermittent renewable power sources; and a dramatic increase in power demand that could outpace supply growth due to accelerating power requirements of data centers and artificial intelligence, electrification trends, and the re-industrialization of North America. We believe that Generac’s broad portfolio of back-up power products and solutions can directly address these challenges for homes and businesses. Our residential and C&amp;I products begin with emergency standby generators that can be supplemented with portable and mobile power generators. We have also built out an offering of battery energy storage systems (BESS) for behind-the-meter residential and C&amp;I applications. These onsite generation and storage solutions provide peace of mind and protection against power outages by delivering energy resilience and independence for end users. Many of these solutions are capable of being connected to the grid and can help support overall grid reliability and resiliency when enrolled in grid services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Optimize energy efficiency and consumption. </w:t>
      </w:r>
      <w:r>
        <w:rPr>
          <w:rFonts w:ascii="Times New Roman" w:hAnsi="Times New Roman"/>
          <w:caps w:val="false"/>
          <w:smallCaps w:val="false"/>
          <w:sz w:val="20"/>
        </w:rPr>
        <w:t>Enable efficient power generation and consumption through monitoring, management and energy optimizing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Multiple entrenched trends are expected to drive accelerated demand growth for electricity in the coming years. The combination of accelerating demand growth together with significant investments in maintaining, upgrading, and decarbonizing the power grid is likely to cause meaningful increases in the cost of electricity, ultimately driving home and business owners to adopt solutions to help offset the impact of these rising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Generac has developed a full ecosystem of energy management products and solutions to address the challenges of higher power prices by generating power on-site, improving energy efficiency, and optimizing energy consumption for end users. This ecosystem starts with our ecobee smart home energy management devices as the central hub and user interface for the system. Our newly launched Generac branded microinverters are fully integrated into this ecosystem and unlock the ability to generate solar power on-site, enabling homeowners to lower their power bills and reduce their reliance on centralized utilities. Our PWRcell battery storage solutions are also integrated into our residential energy ecosystem, allowing end users to store power that is often generated on-site to optimize the timing of consumption. With this capability, home owners can discharge power from their battery at times when utility rates are at their highest, thereby saving money on their utility bills. Our PWRcell battery storage systems and ecobee smart thermostats can also participate in available grid services programs that are offered by certain utilities, helping to improve the efficiency of the broader electrical grid. In addition, we offer Wallbox EV charging equipment and other load management devices to our distribution partners to help end users manage their utility costs by optimizing energy efficiency and consumption.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build out our system level controls by leveraging our deep software development capabilities. For our residential products, we have developed a common platform and user interface to link the connectivity platforms for all of our installed products, including ecobee and MobileLink, in order to create a seamless consumer experience to monitor, manage, and control their energy generation, storage, and consumption. For our C&amp;I products, we are developing a similar ecosystem of controls that are building off Deep Sea’s industrial controls, Blue Pillar’s IoT network solutions, and Ageto’s multi-asset microgrid control technology. These advanced control capabilities provide the foundation for the continued build out of a common system-level platform for our C&amp;I customers to monitor, manage, and control all of their DERs (including non-Generac assets as well), helping businesses to better optimize their energy efficiency and consumption.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Innovate to protect and build critical infrastructure. </w:t>
      </w:r>
      <w:r>
        <w:rPr>
          <w:rFonts w:ascii="Times New Roman" w:hAnsi="Times New Roman"/>
          <w:caps w:val="false"/>
          <w:smallCaps w:val="false"/>
          <w:sz w:val="20"/>
        </w:rPr>
        <w:t>Offering innovative solutions that enable, protect, and help build energy production, data centers, telecommunications, transportation, and other critical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Critical infrastructure systems around the world are evolving and becoming more sensitive to power reliability challenges. As society becomes increasingly dependent on digital products, services, and capabilities, data centers and their related infrastructure are becoming mission-critical in nature and will therefore require complete resiliency coverage for their power utilization, making backup power generation equipment an essential component of these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Generac’s recent entrance into the data center end market was enabled by the introduction of our large mega-watt diesel generator product line, representing a massive incremental market opportunity for the Company. Given the secular trends supporting data center capital investments and the critically under-supplied market for large megawatt backup power generators, we expect this significant market opportunity to continue growing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Reliability and uptime of telecommunications equipment is also becoming more essential as society becomes increasingly “connected” with their cell phones and more mission-critical data travels over wireless networks. As a leader in providing backup power generators for wireless cell towers around the world, we believe we can play an important role in helping to protect and build this critical telecommunications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our broad offering of C&amp;I mobile products (including mobile light towers, mobile power generators, mobile heaters, mobile energy storage systems and hybrid generators) plays a key role in the completion of infrastructure construction projects, such as roads, highways, bridges, and airports. Finally, our C&amp;I products are also commonly used to provide backup power to a variety of other critical infrastructure that are vital for a safe and healthy society, such as water and wastewater systems, healthcare facilities, and other municipal infrastructure.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Products and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design, manufacture, and distribute a broad range of energy technology products and solutions. We have one of the broadest offerings of stationary, portable, and mobile power generators with single-engine outputs ranging between 800W and 3,250kW. We have developed a line of energy storage systems for use in residential solar-plus-storage applications, as well as microinverters for residential solar energy production. We also have a line of C&amp;I Battery Energy Storage Systems and mobile energy storage systems that serve global C&amp;I markets. We have a selection of energy monitoring and management devices and controls that serve as the central hub for our residential and C&amp;I energy ecosystems. We design and manufacture other power products, including light towers and a broad line of outdoor power equipment, which includes a variety of property maintenance equipment powered by both engines and batteries. We classify our products and services into three categories based on similar ranges of power output geared for varying end customer uses: Residential products, C&amp;I products, and Other products and services. The following summary outlines these categories, including their key attributes and customer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Residential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residential automatic standby generators, which predominantly operate on natural gas and liquid propane, range in output from 7.5kW to 150kW and are permanently installed with an automatic transfer switch, which we also manufacture. Air-cooled engine home standby generators range in outputs from 7.5kW to 28kW and serve as an emergency backup for small to medium-sized homes. In 2025, we launched the latest generation lineup of our air-cooled home standby generators, which represents the most comprehensive platform update for the category in more than a decade. Liquid-cooled engine generators serve as emergency backup for larger homes and small businesses and range in output from 22kW to 150kW.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the product category leader, we believe we have the broadest line of home standby generators in the marketplace. Our ability to innovate with new products, features, and capabilities is a key differentiator that helps us maintain our leadership position in the home standby category. Every home standby generator that we offer is equipped with Mobile Link™. This remote monitoring capability is a standard feature that allows our customers to check the status of their generator remotely from their smart phone or tablet, and also provides the capability to similarly receive maintenance and service alerts. This remote monitoring information can also be accessed by our dealers to help them monitor their installed base of products and proactively support their customers. The data that is provided by this remote monitoring functionality also allows us to better understand our products in the field, helping to optimize both product quality and customer satisfaction. We also offer propane tank monitoring solutions which drive further incremental value and peace of mind to owners of our home standby generators that use propane as a fuel source.</w:t>
        <w:b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2021, we acquired ecobee, a leader in sustainable smart home solutions such as smart thermostats and home monitoring products, all designed with a focus on energy conservation, convenience, peace of mind and comfort. ecobee’s smart home energy management devices and complementary sensors intelligently optimize heating and cooling systems, often the largest energy consuming system within a home, to deliver significant energy savings for homeowners. ecobee also offers a line of smart doorbell cameras, which are fully integrated with ecobee’s products and help to drive increased consumer engagement with their platform. The capabilities provided by ecobee, paired with our existing Mobile Link remote monitoring system, provide the foundation for Generac’s connectivity infrastructure and enable the build-out of our residential energy management ecosystem. Importantly, we are leveraging ecobee’s technologies and software development expertise to develop a user interface at the center of our home energy ecosystem that will allow homeowners to monitor and control Generac’s entire suite of products using a common platform. Our home standby generators and propane tank monitors are now fully integrated with the ecobee interface, allowing for a more dynamic user experience for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2020, we launched a line of home energy storage systems marketed under the Generac brand and using the PWRcell™ brand name. This system captures and stores electricity from solar panels or other power sources and helps reduce home energy costs while also protecting homes from shorter duration power outages. PWRcell systems can range in size from 9kWh up to 72kWh of storage capacity, depending on how many battery modules are installed with any given system. In 2025, we launched the PWRcell 2 Series, the next generation of our PWRcell energy storage system, which includes significant improvements in performance and capability as compared to the first generation. Importantly, PWRcell 2 incorporates seamless integration with our home standby and portable generators, allowing homeowners to realize the favorable economics of energy storage systems while also having a “bottomless battery” via generator backup. In 2025, we also introduced the PWRmicro, our first Generac branded microinverter that enables on-site solar power generation by converting DC power output from solar panels to AC power that can be used in the home. This product represents Generac’s entrance into the solar-only market, unlocking incremental market opportunities for our energy technology solutions. Our next-generation clean energy products and solutions, including PWRcell 2 and PWRmicro, are also fully integrated with the ecobee platform. We believe the integration of our products and solutions into a single cohesive ecosystem will drive additional peace of mind, comfort, energy efficiency, and ultimately lower utility bills for homeowners. Our ecosystem approach to our residential installed products is yet another differentiator that demonstrates our innovative approach to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our residential energy technology products and home standby generators come with grid-connection capabilities, enabling consumers to connect and enroll their DERs in available grid services programs. These utility-sponsored programs, when and where offered, can provide value to homeowners in the form of lower utility costs, while also helping to provide grid operators with incremental capacity to address supply/demand imbalances on the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provide a broad product line of portable and inverter generators that range in size from 800W to 18kW, as well as various portable battery solutions that provide clean, emission-free power at the push of a button. These products can be used on a limited basis for home backup, construction, and recreational purposes. Our portable and inverter generators are targeted at homeowners, professional contractors, and recreational users, with price points ranging between the consumer value end of the market through the premium end. In addition, we offer manual transfer switches to supplement our portable generator product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manufacture a broad product line of outdoor power equipment referred to as “chore products”, which are used in property maintenance applications for larger-acreage residences, commercial properties, municipalities, and farms. These products include trimmers, field and brush mowers, log splitters, stump grinders, chipper shredders, lawn and leaf vacuums, pressure washers and water pumps. Chore products are largely sold in North America through direct-to-consumer online catalogs, retail hardware stores, and outdoor power equipment dealers, primarily under the DR® brand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Residential products comprised 53.9%, 56.6% and 51.3%, respectively, of total net sales in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Commercial &amp; Industrial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a full line of C&amp;I generators that are sold around the world. We are a leader in cleaner-burning natural gas fueled generators, and also have a full offering of C&amp;I generators that are fueled by diesel and Bi-FuelTM. We believe we have one of the broadest product offerings in the industry with power outputs ranging from 10kW up to 3,250kW. In 2025, we continued our new product development efforts by introducing a new line of large mega-watt diesel generator products to address the significant data center market opportunity and other verticals that have larger-scale back-up power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light-commercial standby generators and related transfer switches include a full range of affordable systems from 22kW to 150kW, providing three-phase power sufficient for most small and mid-sized businesses such as grocery stores, convenience stores, restaurants, gas stations, pharmacies, retail banks, smaller health care facilities, and other small-footprint retail applications. Our light-commercial generators predominantly run on natural gas and liquid propane.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design and manufacture a broad product line of configured stationary generators and related transfer switches for various industrial standby, continuous-duty, and prime-rated applications. Our single-engine industrial generators range in output from 10kW up to 3,250kW, include stationary and containerized mobile packages, and can include our Modular Power Systems (MPS) technology that extends our product range up to much larger multi-megawatt systems through an integrated paralleling configuration. Over the past several years, we have introduced larger and higher-powered gaseous-fueled generators, with the highest output of 1,000kW for a single-engine 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industrial standby generators are primarily used as emergency backup for larger applications such as data centers, healthcare, telecom, datacom, commercial office, retail, distribution centers, manufacturing, and municipal, among others. In recent years, we have seen interest in utilizing our gaseous-fueled generators in "beyond standby" applications, including distributed generation and microgrid projects, and have developed purpose-built products for these applications that have grid-connected capability. This functionality allows the owner of the equipment to offset the up-front capital cost of the equipment by monetizing the asset over its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MPS technology combines the power of several smaller generators to produce the output of a larger generator, providing our customers with redundancy and scalability in a cost-effective manner. For larger industrial applications, our MPS products offer customers an efficient, affordable way to scale their standby power needs, while offering superior reliability given their built-in redundancy which allows individual units to be taken off-line for routine maintenance while retaining coverage for critical circuits.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offer a full line of industrial transfer switches to meet varying needs from light commercial applications all the way up to the most demanding mission-critical installations. In recent years, we have significantly increased and upgraded our industrial transfer switch product offering, which we believe will help to enhance our attachment rate and related market share for these products. Generac’s innovative feature set and flexible platforms offer a variety of switching configurations to meet almost any project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design and manufacture a broad product line of C&amp;I mobile products such as light towers and mobile generators, which provide temporary lighting and power for various end markets around the world (such as road and commercial construction, energy, mining, military, and special events). We also offer commercial mobile pumps, heaters, and dust-suppression equipment for a wide variety of applications. Our mobile products are typically sold globally to national and regional rental companies who then rent the equipment to the end user.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continued to expand our portfolio of energy technology solutions for C&amp;I applications as well. In 2021, we acquired Off Grid Energy, a European based manufacturer of mobile energy storage systems predominantly used in the rental markets. In 2023, we acquired REFU, a European based provider of stationary C&amp;I BESS solutions and related inverter products, which expanded our product offering to enter certain C&amp;I BESS markets around the world. In 2024, we strengthened our position in the North American C&amp;I BESS market with the acquisition of SunGrid’s C&amp;I BESS product offering, based out of Canada. In addition, we acquired Ageto in 2024, a leading provider of microgrid controllers that seamlessly integrate, optimize and manage DERs. We believe that combining these collective products and solutions with our traditional generator product offerings will allow us to capture market share in the developing markets for C&amp;I BESS and multi-asset microgrids.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C&amp;I BESS solutions are primarily targeted at “behind-the-meter” applications for on-site energy storage. We expect to leverage our leading position as a provider of traditional stationary generators to gain share in the global C&amp;I BESS market. This expertise is particularly beneficial for multi-asset microgrid solutions that combine generators with energy storage assets, providing facility owners with the many benefits of behind-the-meter storage with longer duration outage protection. These microgrids can also include Generac’s other energy management assets and control systems, helping to build out a full ecosystem of capabilities for these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continue to develop other energy technology products, including mobile battery-powered light towers and hybrid mobile solutions that pair a battery with a diesel engine to reduce emissions and noise pollution.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our Deep Sea subsidiary, we have expanded our capabilities in the design and manufacture of advanced controls for a wide range of C&amp;I power generation applications. In addition, our natural gas C&amp;I stationary generators have grid-connection capabilities, enabling our customers to generate an incremental return-on-investment by connecting and enrolling their generator as a DER in grid services applications where available. Finally, we continue to provide various gaseous-engine control systems and accessories, which are used in our natural gas generators, as well as sold to other gas-engine manufacturers and aftermarket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C&amp;I products comprised 34.6%, 32.3% and 37.2%, respectively, of total net sales in 2025, 2024 and 2023.</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320" w:right="0" w:hanging="18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“Other products and services” category primarily consists of aftermarket service parts and product accessories sold to our customers, installation and maintenance services, extended warranty revenue, grid services and other software-related subscription revenue, remote monitoring subscription revenue, and other project management service offerings provided by our owned industrial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Included in this “Other products and services” category are certain recurring revenues that are generated by ecobee, Blue Pillar, Ageto, and our Mobile Link software platform,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ecobee recognizes service revenue in certain circumstances when a homeowner enrolls their smart thermostat in a grid services program offered by their utility. When authorized, ecobee can provide utilities direct connection to a homeowner’s smart thermostat, thereby allowing control of a significant portion of the home’s electrical load. In exchange for this capability, utilities pay ecobee for that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2022 acquisition of Blue Pillar expanded our C&amp;I connectivity capabilities and provides a standard protocol for all of our C&amp;I products to be connected. In addition to connectivity device hardware sales, Blue Pillar recognizes software subscription and support revenue resulting from the monitoring and management capabilities its platform provides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2024 acquisition of Ageto further enhanced our advanced microgrid control capabilities. In addition to its controls hardware, Ageto’s solutions include software-as-a-service contracts for site level system integration and control of end customer energy assets that make up a microgrid.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Finally, our expansive Mobile Link platform provides remote monitoring services for our residential home standby customers and “Fleet” services for our residential home standby dealers, whereby we collect subscription revenue for these services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products and services" comprised 11.5%, 11.1% and 11.5%, respectively, of total net sales in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 Channels and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distribute our products through a variety of distribution channels to drive awareness of our product categories and brands, and to ensure our products reach a broad, global customer base. This omni-channel distribution network includes independent residential dealers and contractors, industrial distributors and dealers, national and regional retailers, e-commerce partners, electrical/HVAC/solar wholesalers, solar installers, catalogs, equipment rental companies, and other equipment distributors. We also sell direct to certain national and regional account customers, as well as to individual consumers or businesses who are the end users of our products. We have commercial sales branches located around the world to provide access to local markets and help build out distribution relationships across the globe.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global distribution network is a competitive advantage that has strengthened over the years as we continue to add, expand and develop the various distribution channels through which we sell our products. We offer a broad set of tools, programs, factory support, training, and sales leads to help our distribution partners be successful. Our network is well balanced with no single customer providing more than 4% of our net sales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over two decades, we have established the industry's largest network of factory direct independent generator dealers in North America. This residential dealer network is made up of electrical and HVAC contractors across the US and Canada. These dealers sell, install and service our residential and light commercial generators to end users. Over the years, we have made significant investments to grow this dealer network, and we will continue to make those investments in the future given the importance of this channel. We continue to focus on a variety of initiatives to more effectively market and sell our home standby products and better align our dealer network with Generac. We will continue to increase awareness of home standby generators through our enhanced marketing efforts, while also improving customer lead quality as we schedule in-home consultations. We will increase our capabilities to nurture sales leads, while also developing our dealers to help improve close rates and lower our cost per contract over time. Over the years, we have made significant investments in our proprietary in-home selling system for residential dealers that we call “Power Play”. We are continuously making enhancements to this platform, again with the objective of improving the customer experience and overall close rates. Additionally, our remote monitoring platform allows our residential generator dealers to monitor their installed base of customers through a feature that we call “Fleet”, enabling them to offer a more proactive experience to service a customer’s generator. By offering the best product line, pricing, marketing, tools, programs, and customer support, we believe we have built the strongest dealer network in the home standby generator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retail distribution channel includes thousands of locations across the globe and includes a variety of national and regional home improvement chains, electronics retailers, clubs, buying groups, hardware &amp; farm supply stores, and outdoor power equipment dealers. These physical “brick &amp; mortar” retail locations are supplemented by a large presence of e-commerce retailers that also sell our products online. The retail channel primarily sells our residential standby and portable generators, as well as our outdoor power equipment and ecobee products. The placement of our products at retail locations drives significant awareness for our brands and the overall home standby generator product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wholesale network distributes our residential and light-commercial generators, as well as our residential energy storage systems, on a two-step basis. The channel consists of selling branches of both national and local distribution houses for electrical, HVAC, and solar equipment on a wholesale basis. These branches typically sell to electricians, HVAC businesses, and solar installers who are not in our direct dealer network. This channel provides access to a broader range of installers who might not want to become a dealer and buy direct from the factory. As part of our efforts to increase sales and installation bandwidth for home standby generators, we have established an Aligned Contractor Program that provides certain benefits to contractors that purchase our products through this wholesale network and agree to participate in more advanced product and service training. We believe that this program will further align Generac with these independent contractors which is important to increase bandwidth during surge periods of demand in local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recent years, we have been establishing a base of solar contractors that sell, install and service our PWRcell energy storage systems. We believe we will continue to build out this distribution channel over time by leveraging our decades of expertise in growing our residential generator dealer network. In addition, we believe we can increase mindshare with additional solar installers by enhancing our marketing efforts to drive incremental leads, expanding our clean energy product offering, and integrating our full suite of residential products into a common energy management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certain of our residential products (such as DR branded chore products, portable generators, ecobee smart thermostat &amp; security products, and parts &amp; accessories) are sold direct to individual consumers, who are the end users of the product. Consumers can buy these products online via our various branded websites, or by calling our customer support hotlines.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industrial products are distributed through industrial power generation dealers that cover particular regions around the world. Over the past several years, we have been strengthening our industrial dealer network globally through acquisitions and organic means. Since 2020, we have acquired a number of our industrial distributors in certain regions of the United States in order to accelerate investments and increase market share in those markets. Industrial dealers provide C&amp;I end users with ongoing sales, installation, service and product support. They also help maintain the local relationships with commercial electrical contractors, specifying engineers, and regional buying offices for national accounts. We also sell to certain Engineering, Procurement &amp; Construction (EPC) companies that specialize in managing more complex power generation projects, including microgrids and “beyond standby”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sell our industrial products direct to certain end-user customers of our products covering a variety of end market verticals both domestically and internationally. This includes data centers, telecommunication, retail, banking, energy, healthcare, convenience stores, grocery stores, restaurants, governments, and other commercial &amp; industrial applications. We have developed a diverse, global sales force that calls on these opportunities directly and helps customize solutions to each customer’s needs in their local markets. We believe that having direct relationships with these customers, coupled with local support from our global industrial dealer network, is an important advantage when serving these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distribution for our C&amp;I mobile products includes global, national, regional, and specialty equipment rental companies, equipment distributors, and construction companies which primarily serve non-residential building construction, road construction, energy, special events, municipal, and general rents &amp; hire markets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focus on a broad range of energy technology products and solutions drives technological innovation, advanced engineering &amp; software development capabilities, and specialized manufacturing competencies. Research and development (R&amp;D) has been a core competency for Generac since our inception and today includes a staff of approximately 1,200 engineers working on numerous projects around the world. These professionals are focused on introducing new products, developing new technologies and product enhancements, as well as maintaining product competitiveness by reducing manufacturing and supply chain costs, improving safety, increasing reliability &amp; performance, while also ensuring compliance with regulatory standards. We have significant experience using natural gas engines in our products and have developed specific expertise with fuel systems and emissions technologies. In the residential and light commercial markets, we have developed proprietary engines, alternators, cooling packages, fuel &amp; emissions systems, and controls which help drive innovation while also enhancing the margin profile of those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 recently, we have also built out engineering expertise in BESS and power conversion that we are leveraging to compete in clean energy markets. In addition, we have significantly increased our software development capabilities across a variety of applications, including energy management, system-level microgrid controls, and remote monitoring. We have made significant investments in developing a common connectivity and data platform to advance our energy management ecosystems for both residential and C&amp;I markets. Combining advanced software development with our broad engineering capabilities will enable us to develop innovative solutions and ultimately compete in energy technology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engineering and product management resources focused on evaluating and developing alternative technologies that are emerging and could become commercially viable over the long-term, such as fuel cells and hydrogen-fueled products. We have a long history of driving product innovation into the markets that we serve, and as a result, believe we can maintain our leadership position as an energy technology solutions provider.</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committed to research, development, and product innovation, and rely on a combination of patents and trademarks to help establish and protect our proprietary rights. Our patents protect certain features and technologies we have developed for use in our products including fuel systems, air flow, electronics and controls, noise reduction, engines, energy management, energy monitoring, energy storage, and load management. We believe the existence of these patents and trademarks, along with our ongoing processes to register additional patents and trademarks, help protect our intellectual property rights and enhance our brands and competitive position. We also use proprietary manufacturing processes that require customized equipment. With our continuous focus on research and development, we expect to develop new intellectual property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1A. Risk Factors” of this Annual Report on Form 10-K for additional factors related to intellectual property rights that can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numerous manufacturing plants, distribution facilities, and inventory warehouses located throughout the world. We also store finished goods at third-party logistics providers in the United States that accommodate material storage and rapid response requirements of our customers. See “Item 2 – Properties” of this Annual Report on Form 10-K for additional details regarding the locations and activities of our principal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 the last few decades, we have developed significant manufacturing capabilities in the power generation industry, including engines, alternators, sheet metal fabrication, and controls. We have a heavy focus on vertical integration using certain proprietary manufacturing processes, and we outsource certain components and complete products where we can leverage scale to optimize cost and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recent years, we have added manufacturing capacity through significant investments in automation, including alternator production, engine assembly, robotic lasers &amp; welding, sheet metal fabrication, and other assembly line automation. We have also increased capacity by starting up new manufacturing facilities and adding on to existing locations, helping to expand our manufacturing footprint and meet increased demand for our products around the world. Given the significant data center opportunity, we expect to increase our manufacturing, test cell, and packaging capacity even further to be able to win market share and serve data center customers globally. Our ability to rapidly increase manufacturing capacity has been critical to our growth over the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energy technology products, our engineering and technical teams are closely aligned with our contract manufacturing partners in order to leverage their expertise and capital investments involving electrical component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Suppliers of Raw Materials, Components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raw material inputs are steel, copper and aluminum, all of which are purchased from third parties and, in many cases, are part of machined or manufactured components. We procure certain diesel engines, cooling packages, and alternators for our larger C&amp;I products from various suppliers around the world. For our home standby generators where we have significant scale, we have a large global supply chain that manufactures certain components, and then we complete final assembly in our factories in the United States. In certain instances, we purchase complete finished goods from third-party suppliers, including from contract manufacturers. Given our broad offering of energy technology solutions, advanced electronic components and micro-processors are now a larger supply chain consideration. In addition, batteries are a significant supply chain input for our energy storage systems for residential and C&amp;I behind-the-meter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 multiple decades, we have developed an extensive network of reliable suppliers in the United States and around the world. Our strategic global sourcing teams continuously evaluate the quality and cost structure of our purchased components &amp; equipment, and assess the capabilities and capacity of our supply chain. We select our sourcing partners based on this evaluation. For certain products, we do not have internal manufacturing capabilities and rely on a small number of contract manufacturers to build these products or supply these components, including but not limited to certain energy technology products and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Similarly, we have diversified the geographic reach of our global supply chain partners. More recently, we have evolved this global supply chain in order to partially mitigate the impact of certain trade tariffs that have been assessed on imports coming into the United States. This will continue to be a focus in the future as we take actions to offset the impact of these tariffs, and we will continue to monitor ongoing developments with any new trade tariffs that may be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7. Management’s Discussion and Analysis of Financial Condition and Results of Operations” of this Annual Report on Form 10-K for additional information regarding the impact of other macroeconomic factors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1A. Risk Factors” of this Annual Report on Form 10-K for additional factors that can influence our supply of raw materials, components and equipment.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our traditional power generation markets, we face competition from a variety of large, diversified industrial companies, as well as smaller generator manufacturers or packagers around the world. The competitive landscape varies between our Residential and C&amp;I power generation products. We face a different set of competitors for our mobile equipment and engine-powered tools as well. In recent years, our competitive landscape has expanded as we enter certain energy technology markets, including solar inverters, battery storage systems, smart thermostats, and grid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overall generator market, many of the traditional participants compete in only certain portions of the market, targeting specific applications within their larger, diversified product mix. In addition, for certain competitors, power generation is typically a smaller piece of their business, and therefore, is less prioritized from a strategic standpoint. Generac’s primary focus is on power generation and storage equipment with a key emphasis on standby, portable and mobile products and broad capabilities across residential, light-commercial and industrial markets. We believe that our core focus on power generation and storage drives product innovation and provides us with competitive advantages to win in the marketplace. We also believe our broad product offering, diverse omni-channel distribution model, and strong factory support provide additional advantages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list of competitors by product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Residential products </w:t>
      </w:r>
      <w:r>
        <w:rPr>
          <w:rFonts w:ascii="Times New Roman" w:hAnsi="Times New Roman"/>
          <w:caps w:val="false"/>
          <w:smallCaps w:val="false"/>
          <w:sz w:val="20"/>
        </w:rPr>
        <w:t>– Competitors include Rehlko (formerly known as Kohler Power), Briggs &amp; Stratton, Honda, Champion, Techtronics International, Harbor Freight, Husqvarna, Ariens, Tesla, Enphase, Solar Edge, Google, Resideo, The Toro Company, EcoFlow, and Emerson, along with a number of other domestic and foreign competitors; certain of which also have broad operations in other manufacturing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C&amp;I products </w:t>
      </w:r>
      <w:r>
        <w:rPr>
          <w:rFonts w:ascii="Times New Roman" w:hAnsi="Times New Roman"/>
          <w:caps w:val="false"/>
          <w:smallCaps w:val="false"/>
          <w:sz w:val="20"/>
        </w:rPr>
        <w:t>– Competitors include Caterpillar, Cummins, Rehlko (formerly known as Kohler Power), IGSA, MTU (Rolls Royce), AKSA, MultiQuip, Wacker, Doosan, Atlas Copco, Himoinsa, Woodward, Planelec, and Co-map, as well as other domestic and foreign competitors that package engines and alternators into power generation equipment in local markets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Other products </w:t>
      </w:r>
      <w:r>
        <w:rPr>
          <w:rFonts w:ascii="Times New Roman" w:hAnsi="Times New Roman"/>
          <w:caps w:val="false"/>
          <w:smallCaps w:val="false"/>
          <w:sz w:val="20"/>
        </w:rPr>
        <w:t>– Relative to service parts and extended warranty revenue, all of the above-named companies are primary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we compete primarily based on brand reputation, quality, reliability, pricing, innovative features, breadth of product &amp; solution offering, product availability and factory support. In a continuously evolving market, we believe our scale and broad capabilities position us well to remain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Incentives and Regulation, including 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Generac’s presence in energy technology solutions has increased our exposure to renewable energy mandates and investment tax credits from certain government incentives. These incentives cover a wide range of clean energy products and solutions, including solar inverters, battery storage systems, grid services, and grid-edge devices. They include both investment tax credits to owners of these systems and production tax credits to manufacturers of these products. The availability, size, and outlook for such incentives can impact the markets for these products and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2025, the United States passed the One Big Beautiful Bill Act that accelerates the phase-out of tax incentives for the solar market and includes certain domestic supply chain requirements to qualify for these incentives. While this phase-out of tax incentives will negatively impact the solar and storage markets in the near term, we believe the overall mega-trends that drive the solar, storage, and energy management markets will continue, supporting customer interest and demand for these products over the long-term as grid capacity is strained and energy costs 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manufacturing company, our operations are subject to a variety of federal, state, local and foreign laws &amp; regulations covering environmental, health and safety matters. Applicable laws &amp; regulations include those governing, among other things, emissions to air, discharges to water, noise, and safety, as well as the generation, handling, storage, transportation, treatment, and disposal of hazardous waste and other materials. In addition, our products are subject to various laws &amp; regulations relating to fuel requirements, labeling,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products sold in the United States are regulated by the U.S. Environmental Protection Agency (EPA), California Air Resources Board (CARB) and various other state and local air quality management districts. All of our engines and engine-driven products sold in the U.S. are regulated, and these governing bodies continue to pass regulations that require us to meet more stringent emission standards. In addition, certain of our products are subject to safety standards as established by various other standards and rulemaking bodies, including the U.S. Consumer Product Safety Commission (CPSC), among others. Similarly, other countries have varying degrees of regulation for our products, depending upon product application and fuel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1A. Risk Factors” to this Annual Report on Form 10-K for additional legal and regulatory factors that can affect the products we sell and the results of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Sustainability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published a report on our sustainability practices in April 2025. This report details certain measures that align with our “Powering a Smarter World” enterprise strategy and our purpose statement: 'To lead the evolution to more resilient, efficient, and innovative energy solutions.' The information provided within the sustainability report is not part of this report, and is therefore not incorporated herein by reference. A copy of our 2024 Sustainability &amp; Impact Report is available on our Investor Relations webpage at Generac.com. We plan to publish an updated report on our sustainability practices in April 2026 that coincides with the filing of our annual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Our People” are one of the foundational elements of our </w:t>
      </w:r>
      <w:r>
        <w:rPr>
          <w:rFonts w:ascii="Times New Roman" w:hAnsi="Times New Roman"/>
          <w:i/>
          <w:caps w:val="false"/>
          <w:smallCaps w:val="false"/>
          <w:sz w:val="20"/>
        </w:rPr>
        <w:t>Powering a Smarter World</w:t>
      </w:r>
      <w:r>
        <w:rPr>
          <w:rFonts w:ascii="Times New Roman" w:hAnsi="Times New Roman"/>
          <w:caps w:val="false"/>
          <w:smallCaps w:val="false"/>
          <w:sz w:val="20"/>
        </w:rPr>
        <w:t xml:space="preserve"> enterprise strategy, reflecting the belief that our values and culture are essential to delivering long-term success. Grounded in our Corporate Values —Agility, Innovation, Integrity, Teamwork, Accountability, Customer—we foster a culture of engagement that strengthens our company and empowers employees to take action, grow, and achieve. We believe our success is directly connected to the professional development, engagement, and well being of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examples of key human capital programs and initiatives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Health, wellness and safety </w:t>
      </w:r>
      <w:r>
        <w:rPr>
          <w:rFonts w:ascii="Times New Roman" w:hAnsi="Times New Roman"/>
          <w:caps w:val="false"/>
          <w:smallCaps w:val="false"/>
          <w:sz w:val="20"/>
        </w:rPr>
        <w:t>– Employee health and safety is the Company’s top priority. Generac’s total rewards program is based on the four pillars of physical, financial, emotional, and social. These programs are designed to meet the varied and evolving needs of our diverse workforce. We maintain an employee wellness program, incentivize healthy-living activities, and develop and administer company-wide policies to help ensure the safety of each employee and compliance with government agencies and other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Talent development &amp; employee engagement </w:t>
      </w:r>
      <w:r>
        <w:rPr>
          <w:rFonts w:ascii="Times New Roman" w:hAnsi="Times New Roman"/>
          <w:caps w:val="false"/>
          <w:smallCaps w:val="false"/>
          <w:sz w:val="20"/>
        </w:rPr>
        <w:t>– Our success is directly tied to our employees and what we can accomplish together. We prioritize creating opportunities to help employees build careers and then support their growth as part of a meaningful and valuable employee experience. We conduct internal career development activities as well as partner with third party educational resources to offer on the job learning, collaborative work experiences and formal learning programs to support the progression and advancement of our workforce. Further, we maintain an ongoing global employee engagement initiative with targeted action plans by region, function, and business groups. Action plans and their progress are measured by global employee engagement surveys. A global human capital management system enables Generac management to improve talent decisions, proactively manage careers, scale globally, and maintain compliance. We are an equal opportunity employer whose hiring and promotion practices comply with applicable laws, and we do not condone employment discrimination in any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we employed 9,400, including part-time and temporary employees. Of those, approximately 4,200 employees were directly or indirectly involved in manufacturing. Domestically, we have had an “open shop” bargaining agreement for the past 50 years that covers one Wisconsin facility. That facility is subject to a collective bargaining agreement that expires October 17, 2026, and is subject to Wisconsin’s Right to Work law.  Three additional smaller facilities are subject to a collective bargaining agreement for its technicians. That collective bargaining agreement expires October 31, 2027, and is subject to a Union Security provision. Additionally, certain plants in Mexico, Italy, Germany, and Spain are operated under various local or national union groups or works councils. Our other facilities are not unionized.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executive offices are located at S45 W29290 Highway 59, Waukesha, Wisconsin, 53189 and our telephone number is (262) 544-4811. The Company’s website is www.generac.com. Our annual reports on Form 10-K, quarterly reports on Form 10-Q, current reports on Form 8-K, and amendments to those reports (if applicable) are available free of charge through the “Investor Relations” portion of our web site, as soon as reasonably practicable after they are filed with the Securities and Exchange Commission (SEC). The information provided on these websites is not part of this report and is therefore not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Information About Our Executive Officers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our executive officers:</w:t>
      </w:r>
    </w:p>
    <w:p>
      <w:pPr>
        <w:pStyle w:val="TextBody"/>
        <w:bidi w:val="0"/>
        <w:spacing w:before="0" w:after="0"/>
        <w:ind w:left="0" w:right="0" w:hanging="0"/>
        <w:jc w:val="both"/>
        <w:rPr/>
      </w:pPr>
      <w:r>
        <w:rPr/>
        <w:t> </w:t>
      </w:r>
    </w:p>
    <w:tbl>
      <w:tblPr>
        <w:tblW w:w="7455" w:type="dxa"/>
        <w:jc w:val="left"/>
        <w:tblInd w:w="0" w:type="dxa"/>
        <w:tblLayout w:type="fixed"/>
        <w:tblCellMar>
          <w:top w:w="0" w:type="dxa"/>
          <w:left w:w="0" w:type="dxa"/>
          <w:bottom w:w="28" w:type="dxa"/>
          <w:right w:w="0" w:type="dxa"/>
        </w:tblCellMar>
      </w:tblPr>
      <w:tblGrid>
        <w:gridCol w:w="1445"/>
        <w:gridCol w:w="60"/>
        <w:gridCol w:w="425"/>
        <w:gridCol w:w="60"/>
        <w:gridCol w:w="5465"/>
      </w:tblGrid>
      <w:tr>
        <w:trPr/>
        <w:tc>
          <w:tcPr>
            <w:tcW w:w="1445" w:type="dxa"/>
            <w:tcBorders>
              <w:bottom w:val="single" w:sz="2" w:space="0" w:color="000000"/>
            </w:tcBorders>
            <w:vAlign w:val="center"/>
          </w:tcPr>
          <w:p>
            <w:pPr>
              <w:pStyle w:val="TableContents"/>
              <w:bidi w:val="0"/>
              <w:spacing w:before="0" w:after="283"/>
              <w:jc w:val="left"/>
              <w:rPr>
                <w:b/>
              </w:rPr>
            </w:pPr>
            <w:r>
              <w:rPr>
                <w:b/>
              </w:rPr>
              <w:t>Name</w:t>
            </w:r>
          </w:p>
        </w:tc>
        <w:tc>
          <w:tcPr>
            <w:tcW w:w="60" w:type="dxa"/>
            <w:tcBorders>
              <w:bottom w:val="single" w:sz="2" w:space="0" w:color="000000"/>
            </w:tcBorders>
            <w:vAlign w:val="center"/>
          </w:tcPr>
          <w:p>
            <w:pPr>
              <w:pStyle w:val="TableContents"/>
              <w:bidi w:val="0"/>
              <w:spacing w:before="0" w:after="283"/>
              <w:jc w:val="left"/>
              <w:rPr/>
            </w:pPr>
            <w:r>
              <w:rPr/>
              <w:t> </w:t>
            </w:r>
          </w:p>
        </w:tc>
        <w:tc>
          <w:tcPr>
            <w:tcW w:w="425" w:type="dxa"/>
            <w:tcBorders>
              <w:bottom w:val="single" w:sz="2" w:space="0" w:color="000000"/>
            </w:tcBorders>
            <w:vAlign w:val="center"/>
          </w:tcPr>
          <w:p>
            <w:pPr>
              <w:pStyle w:val="TableContents"/>
              <w:bidi w:val="0"/>
              <w:spacing w:before="0" w:after="283"/>
              <w:jc w:val="left"/>
              <w:rPr>
                <w:b/>
              </w:rPr>
            </w:pPr>
            <w:r>
              <w:rPr>
                <w:b/>
              </w:rPr>
              <w:t>Age</w:t>
            </w:r>
          </w:p>
        </w:tc>
        <w:tc>
          <w:tcPr>
            <w:tcW w:w="60" w:type="dxa"/>
            <w:tcBorders>
              <w:bottom w:val="single" w:sz="2" w:space="0" w:color="000000"/>
            </w:tcBorders>
            <w:vAlign w:val="center"/>
          </w:tcPr>
          <w:p>
            <w:pPr>
              <w:pStyle w:val="TableContents"/>
              <w:bidi w:val="0"/>
              <w:spacing w:before="0" w:after="283"/>
              <w:jc w:val="left"/>
              <w:rPr/>
            </w:pPr>
            <w:r>
              <w:rPr/>
              <w:t> </w:t>
            </w:r>
          </w:p>
        </w:tc>
        <w:tc>
          <w:tcPr>
            <w:tcW w:w="5465" w:type="dxa"/>
            <w:tcBorders>
              <w:bottom w:val="single" w:sz="2" w:space="0" w:color="000000"/>
            </w:tcBorders>
            <w:vAlign w:val="center"/>
          </w:tcPr>
          <w:p>
            <w:pPr>
              <w:pStyle w:val="TableContents"/>
              <w:bidi w:val="0"/>
              <w:spacing w:before="0" w:after="283"/>
              <w:jc w:val="left"/>
              <w:rPr>
                <w:b/>
              </w:rPr>
            </w:pPr>
            <w:r>
              <w:rPr>
                <w:b/>
              </w:rPr>
              <w:t>Position</w:t>
            </w:r>
          </w:p>
        </w:tc>
      </w:tr>
      <w:tr>
        <w:trPr/>
        <w:tc>
          <w:tcPr>
            <w:tcW w:w="1445" w:type="dxa"/>
            <w:tcBorders/>
            <w:shd w:fill="CCEE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Aaron P. Jagdfeld</w:t>
            </w:r>
          </w:p>
        </w:tc>
        <w:tc>
          <w:tcPr>
            <w:tcW w:w="60" w:type="dxa"/>
            <w:tcBorders/>
            <w:shd w:fill="CCEEFF" w:val="clear"/>
            <w:tcMar>
              <w:bottom w:w="0" w:type="dxa"/>
            </w:tcMar>
            <w:vAlign w:val="center"/>
          </w:tcPr>
          <w:p>
            <w:pPr>
              <w:pStyle w:val="TableContents"/>
              <w:bidi w:val="0"/>
              <w:spacing w:before="0" w:after="0"/>
              <w:ind w:left="0" w:right="0" w:hanging="0"/>
              <w:jc w:val="both"/>
              <w:rPr/>
            </w:pPr>
            <w:r>
              <w:rPr/>
              <w:t> </w:t>
            </w:r>
          </w:p>
        </w:tc>
        <w:tc>
          <w:tcPr>
            <w:tcW w:w="4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bottom w:w="0" w:type="dxa"/>
            </w:tcMar>
            <w:vAlign w:val="center"/>
          </w:tcPr>
          <w:p>
            <w:pPr>
              <w:pStyle w:val="TableContents"/>
              <w:bidi w:val="0"/>
              <w:spacing w:before="0" w:after="0"/>
              <w:ind w:left="0" w:right="0" w:hanging="0"/>
              <w:jc w:val="both"/>
              <w:rPr/>
            </w:pPr>
            <w:r>
              <w:rPr/>
              <w:t> </w:t>
            </w:r>
          </w:p>
        </w:tc>
        <w:tc>
          <w:tcPr>
            <w:tcW w:w="546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Chairman</w:t>
            </w:r>
          </w:p>
        </w:tc>
      </w:tr>
      <w:tr>
        <w:trPr/>
        <w:tc>
          <w:tcPr>
            <w:tcW w:w="1445" w:type="dxa"/>
            <w:tcBorders/>
            <w:shd w:fill="FFFF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York A. Ragen</w:t>
            </w:r>
          </w:p>
        </w:tc>
        <w:tc>
          <w:tcPr>
            <w:tcW w:w="60" w:type="dxa"/>
            <w:tcBorders/>
            <w:shd w:fill="FFFFFF" w:val="clear"/>
            <w:tcMar>
              <w:bottom w:w="0" w:type="dxa"/>
            </w:tcMar>
            <w:vAlign w:val="center"/>
          </w:tcPr>
          <w:p>
            <w:pPr>
              <w:pStyle w:val="TableContents"/>
              <w:bidi w:val="0"/>
              <w:spacing w:before="0" w:after="0"/>
              <w:ind w:left="0" w:right="0" w:hanging="0"/>
              <w:jc w:val="both"/>
              <w:rPr/>
            </w:pPr>
            <w:r>
              <w:rPr/>
              <w:t> </w:t>
            </w:r>
          </w:p>
        </w:tc>
        <w:tc>
          <w:tcPr>
            <w:tcW w:w="4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tcMar>
              <w:bottom w:w="0" w:type="dxa"/>
            </w:tcMar>
            <w:vAlign w:val="center"/>
          </w:tcPr>
          <w:p>
            <w:pPr>
              <w:pStyle w:val="TableContents"/>
              <w:bidi w:val="0"/>
              <w:spacing w:before="0" w:after="0"/>
              <w:ind w:left="0" w:right="0" w:hanging="0"/>
              <w:jc w:val="both"/>
              <w:rPr/>
            </w:pPr>
            <w:r>
              <w:rPr/>
              <w:t> </w:t>
            </w:r>
          </w:p>
        </w:tc>
        <w:tc>
          <w:tcPr>
            <w:tcW w:w="546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445" w:type="dxa"/>
            <w:tcBorders/>
            <w:shd w:fill="CCEE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Erik Wilde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Domestic C&amp;I</w:t>
            </w:r>
          </w:p>
        </w:tc>
      </w:tr>
      <w:tr>
        <w:trPr/>
        <w:tc>
          <w:tcPr>
            <w:tcW w:w="1445" w:type="dxa"/>
            <w:tcBorders/>
            <w:shd w:fill="FFFFFF" w:val="clear"/>
            <w:tcMar>
              <w:bottom w:w="0" w:type="dxa"/>
            </w:tcMar>
            <w:vAlign w:val="center"/>
          </w:tcPr>
          <w:p>
            <w:pPr>
              <w:pStyle w:val="TableContents"/>
              <w:bidi w:val="0"/>
              <w:spacing w:before="0" w:after="283"/>
              <w:jc w:val="left"/>
              <w:rPr/>
            </w:pPr>
            <w:r>
              <w:rPr/>
              <w:t>Raj Kanuru</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left"/>
              <w:rPr/>
            </w:pPr>
            <w:r>
              <w:rPr/>
              <w:t>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5" w:type="dxa"/>
            <w:tcBorders/>
            <w:shd w:fill="FFFFFF" w:val="clear"/>
            <w:tcMar>
              <w:bottom w:w="0" w:type="dxa"/>
            </w:tcMar>
            <w:vAlign w:val="center"/>
          </w:tcPr>
          <w:p>
            <w:pPr>
              <w:pStyle w:val="TableContents"/>
              <w:bidi w:val="0"/>
              <w:spacing w:before="0" w:after="283"/>
              <w:jc w:val="left"/>
              <w:rPr/>
            </w:pPr>
            <w:r>
              <w:rPr/>
              <w:t>Executive Vice President, General Counsel and Secretary</w:t>
            </w:r>
          </w:p>
        </w:tc>
      </w:tr>
      <w:tr>
        <w:trPr/>
        <w:tc>
          <w:tcPr>
            <w:tcW w:w="1445" w:type="dxa"/>
            <w:tcBorders/>
            <w:shd w:fill="CCEEFF" w:val="clear"/>
            <w:tcMar>
              <w:bottom w:w="0" w:type="dxa"/>
            </w:tcMar>
            <w:vAlign w:val="center"/>
          </w:tcPr>
          <w:p>
            <w:pPr>
              <w:pStyle w:val="TableContents"/>
              <w:bidi w:val="0"/>
              <w:spacing w:before="0" w:after="283"/>
              <w:jc w:val="left"/>
              <w:rPr/>
            </w:pPr>
            <w:r>
              <w:rPr/>
              <w:t>Norman Taffe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pPr>
            <w:r>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5" w:type="dxa"/>
            <w:tcBorders/>
            <w:shd w:fill="CCEEFF" w:val="clear"/>
            <w:tcMar>
              <w:bottom w:w="0" w:type="dxa"/>
            </w:tcMar>
            <w:vAlign w:val="center"/>
          </w:tcPr>
          <w:p>
            <w:pPr>
              <w:pStyle w:val="TableContents"/>
              <w:bidi w:val="0"/>
              <w:spacing w:before="0" w:after="283"/>
              <w:jc w:val="left"/>
              <w:rPr/>
            </w:pPr>
            <w:r>
              <w:rPr/>
              <w:t>President, Energy Technology</w:t>
            </w:r>
          </w:p>
        </w:tc>
      </w:tr>
      <w:tr>
        <w:trPr/>
        <w:tc>
          <w:tcPr>
            <w:tcW w:w="1445" w:type="dxa"/>
            <w:tcBorders/>
            <w:shd w:fill="FFFFFF" w:val="clear"/>
            <w:tcMar>
              <w:bottom w:w="0" w:type="dxa"/>
            </w:tcMar>
            <w:vAlign w:val="center"/>
          </w:tcPr>
          <w:p>
            <w:pPr>
              <w:pStyle w:val="TableContents"/>
              <w:bidi w:val="0"/>
              <w:spacing w:before="0" w:after="283"/>
              <w:jc w:val="left"/>
              <w:rPr/>
            </w:pPr>
            <w:r>
              <w:rPr/>
              <w:t>Kyle Raabe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left"/>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5" w:type="dxa"/>
            <w:tcBorders/>
            <w:shd w:fill="FFFFFF" w:val="clear"/>
            <w:tcMar>
              <w:bottom w:w="0" w:type="dxa"/>
            </w:tcMar>
            <w:vAlign w:val="center"/>
          </w:tcPr>
          <w:p>
            <w:pPr>
              <w:pStyle w:val="TableContents"/>
              <w:bidi w:val="0"/>
              <w:spacing w:before="0" w:after="283"/>
              <w:jc w:val="left"/>
              <w:rPr/>
            </w:pPr>
            <w:r>
              <w:rPr/>
              <w:t>President, Consumer Power</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Aaron P. Jagdfeld</w:t>
      </w:r>
      <w:r>
        <w:rPr>
          <w:rFonts w:ascii="Times New Roman;Times;serif" w:hAnsi="Times New Roman;Times;serif"/>
          <w:sz w:val="20"/>
        </w:rPr>
        <w:t xml:space="preserve"> has served as our Chief Executive Officer since September 2008, as a director since November 2006 and was named Chairman in February 2016. Prior to becoming Chief Executive Officer, Mr. Jagdfeld worked for Generac for 15 years. He began his career in the finance department in 1994 and became our Chief Financial Officer in 2002. In 2007, he was appointed President and was responsible for sales, marketing, engineering and product development. Prior to joining Generac, Mr. Jagdfeld worked in the audit practice of the Milwaukee, Wisconsin office of Deloitte and Touche. Mr. Jagdfeld holds a Bachelor of Business Administration in Accounting from the University of Wisconsin-Whitewater.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York A. Ragen</w:t>
      </w:r>
      <w:r>
        <w:rPr>
          <w:rFonts w:ascii="Times New Roman;Times;serif" w:hAnsi="Times New Roman;Times;serif"/>
          <w:sz w:val="20"/>
        </w:rPr>
        <w:t xml:space="preserve"> has served as our Chief Financial Officer since September 2008. Prior to becoming Chief Financial Officer, Mr. Ragen held Director of Finance and Vice President of Finance positions at Generac. Prior to joining Generac in 2005, Mr. Ragen was Vice President, Corporate Controller at APW Ltd., a spin-off from Applied Power Inc., now known as Enerpac Tool Group. Mr. Ragen began his career at Arthur Andersen in the Milwaukee, Wisconsin office audit practice. Mr. Ragen holds a Bachelor of Business Administration in Accounting from the University of Wisconsin-Whitewater.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Erik Wilde</w:t>
      </w:r>
      <w:r>
        <w:rPr>
          <w:rFonts w:ascii="Times New Roman;Times;serif" w:hAnsi="Times New Roman;Times;serif"/>
          <w:sz w:val="20"/>
        </w:rPr>
        <w:t xml:space="preserve"> began serving as our President, Domestic C&amp;I in July 2016. Mr. Wilde was Vice President and General Manager of the Mining Division for Komatsu America Corp., a manufacturer of construction, mining, and compact construction equipment, from 2013 until he joined Generac. Prior to that role, he held leadership positions as Vice President of the ICT Business Division and Product Marketing at Komatsu America Corp. beginning in 2005. Mr. Wilde holds a Bachelor of Business Administration in Management from Boise State University and an M.B.A. from the Keller Graduate School of Management.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Raj Kanuru</w:t>
      </w:r>
      <w:r>
        <w:rPr>
          <w:rFonts w:ascii="Times New Roman;Times;serif" w:hAnsi="Times New Roman;Times;serif"/>
          <w:sz w:val="20"/>
        </w:rPr>
        <w:t xml:space="preserve"> is our Executive Vice President, General Counsel &amp; Secretary and is the Company’s principal legal and compliance officer, roles that he has held since joining Generac in 2013. Prior to joining Generac, Mr. Kanuru served as in-house counsel at Caterpillar Inc. for almost 14 years within various leadership roles, including in Caterpillar’s Securities, Regulatory and Tax group, in Caterpillar Financial, and in Caterpillar’s Energy &amp; Transportation group. From 2009 to 2013, Mr. Kanuru served as Vice President, General Counsel and Secretary of Progress Rail Services Inc., and its subsidiaries (a Caterpillar company). He began his legal career as a senior associate in the tax consulting practice of Arthur Andersen LLP. Mr. Kanuru holds a Bachelor of Science in Finance degree from Birmingham-Southern College and received his Juris Doctor degree from the University of Alabama.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Norman Taffe</w:t>
      </w:r>
      <w:r>
        <w:rPr>
          <w:rFonts w:ascii="Times New Roman;Times;serif" w:hAnsi="Times New Roman;Times;serif"/>
          <w:sz w:val="20"/>
        </w:rPr>
        <w:t xml:space="preserve"> began serving as President, Energy Technology in August 2022. Prior to joining Generac, Mr. Taffe was Executive Vice President North America Residential of SunPower Corporation from 2018 to 2021. Prior to this, Mr. Taffe was Executive Vice President - Products and Vice President of Power Plant Products and Solutions from 2013 to 2018. Mr. Taffe also worked in various engineering and marketing management capacities at Cypress Semiconductor from 1989 to 2012, including Executive Vice President – Consumer &amp; Computation Devices from 2005 to 2012. Mr. Taffe holds a Bachelor of Science in Electrical Engineering from the University of Michigan and an Executive MBA from Harvard Business School.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Kyle Raabe</w:t>
      </w:r>
      <w:r>
        <w:rPr>
          <w:rFonts w:ascii="Times New Roman;Times;serif" w:hAnsi="Times New Roman;Times;serif"/>
          <w:sz w:val="20"/>
        </w:rPr>
        <w:t xml:space="preserve"> has served as our President, Consumer Power since November 2019. Prior to rejoining Generac, Mr. Raabe was Senior Vice President of North American Sales, Demand Planning and Sales Operations from 2018 through 2019 and Vice President of Sales for the Commercial Security and Safety groups from 2015 through 2018 at The Master Lock Corporation, a manufacturer of locks, combination padlocks and other security products. Prior to working at The Master Lock Corporation, Mr. Raabe led multiple groups at Generac Power Systems from 2007 through 2015 as Director of Wholesale and Dealer Distribution, Vice President Wholesale Distribution Sales and Vice President, Industrial Distribution Sales. Before joining Generac, Mr. Raabe served at Veolia North America, Environmental Services leading Midwest Regional Service Operations. Mr. Raabe holds a BA, Biological Science from Lawrence University.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5" w:name="item1a"/>
      <w:bookmarkEnd w:id="5"/>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These risks are not exclusive, and additional risks to which we are subject include, but are not limited to, the factors mentioned under “Forward-Looking Statements” and the risks of our businesses described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Demand for the majority of our products is significantly affected by unpredictable power outage activity that can lead to substantial variations in, and uncertainties regarding, our financial results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our residential products are subject to consumer buying patterns, and demand for the majority of our products is affected by power outage events caused by thunderstorms, hurricanes, wildfires, ice storms, blackouts, public safety power shutoffs, and other power grid reliability issues, all of which affect our ability to accurately manage our business and forecast future results. The impact of these outage events on our sales can vary depending on the location, frequency and severity of the outages. Sustained periods without major power disruptions can lead, and in the past have led, to reduced consumer awareness of the benefits of standby and portable generator products and can result and have previously resulted in reduced sales growth rates and excess inventory. There are smaller, more localized power outages that occur frequently that drive a baseline level of demand for backup power solutions. The lack of major power outage events and fluctuations to the baseline levels of power outage activity are part of managing our business, and these fluctuations could have, and previously have had, an adverse effect on our net sales and profits. Despite their unpredictable nature, we believe power disruptions create awareness and accelerate adoption and demand for our home standby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Decreases in the availability and quality, or increases in the cost, of raw materials, key components and labor we use to make our products could materially reduce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raw materials that we use to produce our products include steel, copper and aluminum as well as batteries and advanced electronic components. We also source a significant number of component parts from third parties that we utilize to manufacture our products. The prices of those raw materials and components are susceptible to significant fluctuations due to trends in supply and demand, commodity prices, currency rate changes, transportation costs, government regulations and tariffs, price controls, economic conditions and other unforeseen circumstances beyond our control. We have seen such trends significantly impact our business in the past resulting in higher costs and shortages in materials, components and labor, and such impacts may continue or arise again in the foreseeable future. We typically do not have long-term supply contracts in place to ensure the raw materials and components we use are available in necessary amounts or at fixed prices. In the short-term, we haven't always been able to fully mitigate raw material or component price increases through product design improvements, price increases to our customers, manufacturing productivity improvements, or hedging transactions, and if our mitigation efforts continue to not be fully effective in the short or long-term, our profitability could be adversely affected. Also, our ability to continue to obtain quality materials and components is subject to the continued reliability and viability of our suppliers, including in some cases, suppliers who are the sole source of certain important components. It has been challenging to consistently obtain adequate, cost efficient or timely deliveries of certain required raw materials and components, or sufficient labor resources, and if this trend continues, we may be unable to manufacture sufficient quantities of products on a timely basis. This could cause us to lose additional sales, incur additional costs, delay new product introductions or suffer harm to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depend upon a small number of outside manufacturers and component suppliers, as well as other single-source suppliers, for certain products and components, and our business and operations could be disrupted if we encounter problems with these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certain products we rely upon outside manufacturers to build these products or supply these components, including but not limited to certain clean energy products or components and large engines used in data center backup applications. The timing of purchases in future periods could differ materially from our estimates due to fluctuations in demand requirements related to varying sales levels as well as changes in economic conditions. Further, the revenues that our suppliers generate from our orders may represent a relatively small percentage of their overall revenues. While we seek to negotiate supply agreements with all of our vendors, we may purchase some products or components on a purchase order basis. As a result, fulfilling our orders may not be considered a priority to these suppliers in the event of constrained ability to fulfill all of their customer obligations in a timely manner. If any of these manufacturers or component suppliers were unable or unwilling to manufacture or produce our products in required volumes and at high quality levels or renew existing terms under supply agreements, we would have to identify, qualify and select acceptable alternative suppliers, which may not be available to us on favorable terms, if at all. Our reliance on such suppliers makes us vulnerable to possible capacity constraints and reduced control over component availability, delivery schedules, quality issues, manufacturing yields and costs. Moreover, we single-source certain types of parts in our product designs. Delays in our suppliers' deliveries have sometimes impaired, and may continue to impair, our ability to deliver products to our customers. A wide variety of factors could cause such delays including, but not limited to, lack of capacity, economic downturns, availability of credit, logistical challenges, labor or material shortages, trade restrictions, weather events, political instability, geopolitical conflicts (such as conflicts in the Ukraine or the Middle East), terrorism, civil unrest, disease or natural disasters. If any of these suppliers reduce or eliminate the supply of the components to us in the future, our revenues, business, financial condition and results of operations would be adversely impacted. Although we have ongoing contractual disputes with certain such suppliers, such disputes have not to date had any significant adverse impact on our business, financial condition or results of operation.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could be negatively impacted if we fail to adequately protect our intellectual property rights or if third parties claim that we are in violation of their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consider our intellectual property rights to be important assets and seek to protect them through a combination of patent, trademark, copyright and trade secret laws, as well as licensing and confidentiality agreements. These protections may not be adequate to prevent third parties from using our intellectual property without our authorization, breaching any confidentiality agreements with us, copying or reverse engineering our products, or developing and marketing products that are substantially equivalent to or superior to our own. The unauthorized use of our intellectual property by others could reduce our competitive advantage and harm our business. Not only are intellectual property-related proceedings burdensome and costly, but they could take years to resolve, and we might not ultimately prevail. We cannot guarantee that any patents, issued or pending, will provide us with any competitive advantage or will not be challenged by third parties. Moreover, the expiration of our patents may lead to increased competition with respect to certain products.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cannot be certain that we do not or will not infringe third parties' intellectual property rights. We currently are, and have previously been, subject to such third-party infringement claims, and may continue to be in the future. Any such claim, even if it is believed to be without merit, may be expensive and time-consuming to defend, subject us to damages, cause us to cease making, using or selling certain products that incorporate the disputed intellectual property, require us to redesign our products, divert management time and attention, and/or require us to enter into costly royalty or licensing arrangements. Certain parts of our business experience significant intellectual property litigation and we have in the past and could in the future become involved in costly and lengthy litigation involving patents or other intellectual property rights which could adversely affect our business. We have recently been subject to adverse rulings or have settled claims for significant amounts related to the infringement of third-party intellectual property rights, and may continue to be subject to such claims, damage awards or settlement payments. In addition, we may not prevail in such future proceedings. An adverse outcome of any such proceeding may reduce our competitive advantage or otherwise harm our financial condition and our business or potentially impair our patents and technology intangible assets which could have a material adverse effect on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 to the consolidated financial statements in Item 8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incur costs and liabilities as a result of product liability, warranty claims, recalls, or other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a risk from current and future product liability claims alleging to arise from the use of our products and that may purportedly result in injury or other damage. Although we currently maintain product liability insurance coverage, in certain cases such insurance coverage has not and may continue to not be sufficient to cover claims or damage awards or we may not be able to obtain such insurance on acceptable terms in the future, if at all, or obtain insurance that will provide adequate coverage against potential claims. Product liability claims can be expensive to defend and can divert the attention of management and other personnel for long periods of time, regardless of the ultimate outcome. A significant unsuccessful product liability defense could have a material adverse effect on our financial condition and results of operations. In addition, we believe our business depends on the strong brand reputation we have developed. If our reputation is damaged due to product liability or warranty claims, or recalls, we may face difficulty in maintaining our market share and pricing with respect to some of our products, which could reduce our sales and profitability. We have and may continue to experience product liability, product quality or reliability claims, or warranty claims with respect to certain clean energy, generator, and/or chore products, including being subject to certain consumer product class action lawsuits or other governmental fines or penalties in relation to such products. In the event such product or warranty related claims continue or are significantly higher in the future, or we incur losses or other damages associated with current or future product liability lawsuits or product related claims, this may continue to adversely affect our reputation or brand quality in relation to such products, subject us to significantly increased costs or penalties, and otherwise materially harm our results of operations, financial condition and our business. Even in litigation where we believe the likelihood of liability is remote, there is a risk that a negative finding or decision in a matter involving multiple plaintiffs or a purported class action could have a material adverse effect on our competitive position, results of operations or financial condition.  In fact, in order to avoid the uncertainty of a potential negative jury trial outcome on a products liability injury case, we have agreed to settle at least one such case, which we previously disclosed, in an amount which exceeded our insurance coverage, but which will not have a material adverse impact on our business,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do record reserves for future warranty claims, our estimated warranty accruals for previously sold products and our warranty costs for current product sales are based on assumptions using historical experience, and we do not have a long history with respect to certain products. As a result, these assumptions could prove to be materially different from the actual performance of such products, causing us to incur substantial unanticipated expenses to repair or replace defective products in the future or to compensate customers for defective products. Our failure to accurately predict future claims could have a material adverse effect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we have and may continue to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have resulted in and may continue to lead to increased scrutiny, fines or other penalties by federal, state or international regulatory agencies on our operations or business and increased litigation and could have a material adverse effect on our consolidated results of operations,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 to the consolidated financial statements in Item 8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risk of non-compliance with U.S. and foreign laws and regulations applicable to our global operations could have a significant impact on our results of operations, financial condition or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global operations subject us to regulation by U.S. federal and state laws and multiple foreign laws, regulations and policies. These laws and regulations are complex, change frequently, have become more stringent over time and increase our cost of doing business. These laws and regulations include import and export control, sanction and trade restriction laws, environmental, health and safety regulations, data privacy requirements, international labor laws and work councils and anti- corruption and bribery laws such as the U.S. Foreign Corrupt Practices Act, the U.K. Bribery Act, the U.N. Convention Against Bribery and local laws prohibiting corrupt payments to government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the risk that we, our employees, our affiliated entities, contractors, agents or their respective officers, directors, and employees may take actions determined to be in violation of any of these laws, for which we might be held responsible, particularly as we expand our operations geographically through organic growth and acquisitions. An actual or alleged violation could result in substantial fines, sanctions, civil or criminal penalties, debarment from government contracts, curtailment of operations in certain jurisdictions, competitive or reputational harm, litigation or regulatory action and other consequences that might adversely affect our results of operations, financial condition or strategic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develop new products or enhance existing products, or our customers do not accept the new or enhanced products we develop, our revenue and profitability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Difficulties or delays in research, development or production of new or enhanced products or failure to gain market acceptance of new or enhanced products and technologies may reduce future sales and adversely affect our competitive position. We continue to invest in the development and marketing of new or enhanced products. There can be no assurance that we will have sufficient resources to make such investments, that we will be able to make the technological advances necessary to maintain competitive advantages or that we can recover major research and development expenses. If we do not continue to strategically advance our product portfolio to maintain our technology leadership, our competitive position could be adversely affected. Certain of our products benefit from government incentive or tax credit programs and we cannot be assured that these incentive or tax credit programs will be maintained and for how long. On July 4, 2025, the United States enacted the OBBBA, which introduced substantial tax law changes, eliminates or reduces several tax credits and incentives applicable to energy related technologies, which has and may continue to negatively impact our business in the short term. For example, in July 2024, we received a grant from the U.S. Department of Energy (DOE) to facilitate the installation of residential solar and battery storage systems for disadvantaged Puerto Rican residents that the DOE has elected to stop funding going forward in 2026. If we fail to make innovations, experience unexpected delays and/or quality problems in launching products, or the market does not accept our new products, our financial condition, results of operations, cash flows and liquidity could be adversely affected. In addition, as new or enhanced products are introduced, we must successfully manage the transition from older products to minimize disruption in customers’ ordering patterns, avoid excessive levels of older or obsolete product inventories and ensure that we can deliver sufficient supplies of new products to meet customers’ demands.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b/>
          <w:i/>
          <w:caps w:val="false"/>
          <w:smallCaps w:val="false"/>
          <w:sz w:val="20"/>
        </w:rPr>
        <w:t>rowth of the data center market is difficult to project and may not be sustaining, and we may not be successful in achieving our growth, revenue, or profitability objectives in the future related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increasing use and development of artificial intelligence has created significant demand for the build out of data center infrastructure, which includes backup power generation. While we believe the potential for this business is very promising, the growth and development of this rapidly evolving industry is difficult to project. Our expectations regarding this market may not prove to be accurate or the market may not be sustainable. Our operating results may fluctuate moving forward as we develop this business and expand our offering of high output diesel generators. Our expectations around growth for this market may also place significant demands on our management team and require significant capital investment as well as other resources. The technical, operational, or general contractual requirements for certain large data center customers or projects can be significant. Challenges in meeting these requirements, due to evolving project specifications or changing customer or supplier circumstances, or other issues could result in delays, increased costs, reduced revenue, or reputational harm. Any such issues with our performance under these contracts could materially impact our net sales and operating results.  We may not be able to address these challenges in a cost-effective manner or at all. If we do not effectively manage our growth, we may not be able to execute on our business plan, respond to competitive pressures, or take advantage of the market opportunities. All of these could have an impact on our future objectives for growth, revenue, or profitability as well as our financial results and operations.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Demand for our products is significantly affected by durable goods spending by consumers and businesses, and other macroeconomic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affected by general economic conditions, and uncertainty or adverse changes, such as the prolonged downturn in U.S. residential investment and the impact of more stringent credit standards and rising interest rates or inflation. These have previously led and could lead again to a decline in demand for our products and increase pressure to reduce our prices. Our sales of light-commercial and industrial generators are affected by conditions in the non-residential construction sector and by the capital investment trends for small and large businesses and municipalities. If these businesses and municipalities cannot access credit markets or do not utilize discretionary funds to purchase our products as a result of the economy or other factors, our business could suffer and our ability to realize benefits from our strategy of increasing sales in the light-commercial and industrial sectors could be adversely affected. In addition, consumer confidence and home remodeling expenditures have a significant impact on sales of our residential products, and prolonged periods of weakness in consumer durable goods spending has previously had, and could again have a material impact on our business. We currently do not have any material contracts with our customers which call for committed volume, and we cannot guarantee that our current customers will continue to purchase our products at the same level, if at all. If general economic conditions or consumer confidence were to worsen, or if the non-residential construction sector or rate of capital investments were to decline, our net sales and profits would likely be adversely affected. Changes in government monetary or fiscal policies may negatively impact our results, including increases in interest rates or sustained inflationary pressure which could negatively affect overall growth and impact sales of our products. Additionally, timing of capital spending by our national account customers can vary from quarter-to-quarter based on capital availability and internal capital spending budgets. Our global operations are exposed to political and economic risks, commercial instability and events beyond our control in the countries in which we operate. Such risks or events may disrupt our supply chain and not enable us to produce products to meet customer demand.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do not forecast demand for our products accurately, we may experience product shortages, delays in product shipment, excess product inventory, difficulties in planning expenses or disputes with suppliers, any of which may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manufacture our products based on both actual customer orders and our estimates of customer demand. This process requires us to make multiple forecasts and assumptions relating to the demand of our distributors, their end customers, general market conditions, and other macroeconomic conditions. The frequency and duration of power outages also affects demand for our products as described above. As a result, it may be difficult to forecast customer demand to plan our operations, which may adversely affect our business and financial condition. If we overestimate demand for our products, we may have excess inventory that we cannot sell. We may have to make significant provisions for inventory write-downs based on events that are currently not known, or discount finished goods to liquidate inventory, and such provisions or any adjustments to such provisions and discounts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inventory through resale or return or build excess products, we could be required to pay for these excess parts or products and recognize related inventory write-downs.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industries in which we compete are highly competitive, and our failure to compete successfully could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in markets that are highly competitive. Some of our competitors have established brands and are larger in size or are divisions of large, diversified companies which have substantially greater financial resources than we do. Some of our competitors have and may continue to be willing to reduce prices and accept lower margins in order to compete with us. In addition, we could face new competition from large international or domestic companies with established brands that enter our end markets. Demand for our products may also be affected by our inability to respond to changes in design and functionality, to respond to downward pricing pressure, and to provide shorter lead times for our products than our competitors. There is also increasing use of data analytics, machine learning, and artificial intelligence software, which our competitors may be able to use or implement more effectively than we are able to do. If we are unable to respond successfully to these competitive pressures, we could lose market share, which could have an adverse impact on our results. For further information, see “Item 1—Business—Competition”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on independent dealers and distribution partners, and the loss of these dealers and distribution partners, or of any of our sales arrangements with significant private label, national, retail or equipment rental customers, would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depend on the services of independent distributors and dealers to sell and install our products and provide service and aftermarket support to our end customers. Their capacity constraints and/or inability to install and service our products, including their inability to hire, develop, or retain qualified technicians or other labor, could limit our ability to maintain and grow our sales. We also rely on our distribution channels to drive awareness for our product categories and our brands. In addition, we sell our products to end users through private label arrangements with leading home equipment, electrical equipment and construction machinery companies; arrangements with top retailers and equipment rental companies; and our direct national accounts with telecommunications and other industrial customers. Our distribution agreements and any contracts we have with large national, retail and other customers are typically not exclusive, and many of the distributors with whom we do business also offer competitors’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Impairment of our relationships with our distributors, dealers or large customers, loss of a substantial number of these distributors or dealers or of one or more large customers, or an increase in our distributors' or dealers' sales of our competitors' products to our customers or of our large customers' purchases of our competitors' products could materially reduce our sales and profits. For example, we have had, and may continue to have, disputes with one or more customers, distributors or dealers to whom we sell our products, including clean energy products, and this may reduce or limit the sales growth for such products. Additionally, our ability to successfully realize our growth strategy is dependent in part on our ability to identify, attract and retain new distributors at all layers of our distribution platform, including increasing the number of energy storage distributors, and we cannot be certain that we will be successful in these efforts. For further information, see “Item 1—Business—Distribution Channels and Customers”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cannot guarantee that our share repurchase programs will be fully consummated or that they will enhance long-term stockholder value. Share repurchases could also increase the volatility of the market price of our stock and diminish our cash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9, 2026, the Company’s Board of Directors (Board) approved the current stock repurchase program that allows for the repurchase of up to $500 million of the Company’s common stock over a twenty-four-month period. Although our Board has authorized such share repurchase program, the program does not obligate us to repurchase any specific dollar amount or to acquire any specific number of shares. Such program could also diminish our cash reserves. In addition, we may discontinue, modify or suspend our share repurchase program based on several factors, including our cash balances and potential future capital requirements for strategic transactions, including acquisitions, results of operations, financial condition and other factors that our Board may deem relevant. Any modification, suspension, or termination of our share repurchase program could cause our stock price to decline. We cannot guarantee that such program will be fully consummated or that it will enhance long-term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Increased scrutiny regarding our sustainability practices and reporting could impact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Increasing governmental and societal attention to sustainability matters, including expanding mandatory and voluntary reporting, and disclosure topics such as climate change, natural resources, waste reduction, energy, and risk oversight could expand the nature, scope, and complexity of matters that we are required to control, assess, and report. We strive to deliver shared value through our business and our diverse stakeholders have evolving, varied and sometimes conflicting expectations regarding many aspects of our business, including sustainability-related matters. We may be unsuccessful in achieving our sustainability goals, on a timely basis or at all, or that the costs to achieve those goals become prohibitively expensive. We are subject to regulatory requirements around sustainability-related disclosures, including the EU’s Corporate Sustainability Reporting Directive, which may continue to evolve and may impose substantial additional costs and require additional resources. Any actual or alleged failure to comply with regulatory requirements could result in fines, penalties and civil liabilities, and damage to our reputation. Furthermore, if our sustainability reporting and practices do not meet investor, regulator or other stakeholders’ expectations, standards and requirements, our reputation, ability to attract or retain employees, and attractiveness as an investment, business partner or acquiror could be negatively impacted. All of these could have an impact on our reputation as well as our financial results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loss of any key members of our senior management team or key employees could disrupt our operations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depends, in part, on the efforts of certain key individuals, including the members of our senior management team, who have significant experience in the energy products and solutions industry. If, for any reason, our senior executives do not continue to be active in management, or if key employees leave our company, our business, financial condition or results of operations could be adversely affected. Failure to continue to attract or retain these individuals at reasonable compensation levels could have a material adverse effect on our business, liquidity and results of operations. If we need to replace any of these individuals in the near future, the loss of their services could disrupt our operations and have a material adverse effect on our business if we do not have effective succession plans in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Disruptions caused by labor disputes or organized labor activities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from time-to-time experience union organizing activities in our non-union facilities. Disputes with the current labor union or new union organizing activities could lead to work slowdowns or stoppages and make it difficult or impossible for us to meet scheduled delivery times for product shipments to our customers, which could result in loss of business. In addition, union activity could result in higher labor costs, which could harm our financial condition, results of operations and competitive position. A work stoppage or limitations on production at our facilities for any reason could have an adverse effect on our business, results of operations and financial condition. In addition, many of our suppliers have unionized work forces. Strikes or work stoppages experienced by our customers or suppliers could have an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and operations can be adversely affected by our ability to attract, motivate, develop, and retain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committed to attracting, motivating, developing, and retaining our employees to ensure we remain an employer of choice. Despite our efforts, we have experienced, and could continue to experience, depending upon external market conditions, higher employee turnover and absenteeism. Furthermore, the market for skilled personnel is often very competitive both in markets where our facilities are located and with the emergence of remote work. Increased turnover rates within our employee base, perceived or actual deficiencies in total compensation paid to our employees in relation to competing employers, or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operations could be adversely affected.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experience material disruptions to our manufacturing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seek to operate our facilities in compliance with applicable rules and regulations and take measures to minimize the risks of disruption at our facilities, a material disruption at one of our manufacturing facilities could prevent us from meeting customer demand, reduce our sales and/or negatively impact our financial results. Any of our manufacturing facilities, or any of our equipment within an otherwise operational facility, could cease operations unexpectedly due to a number of events, including:</w:t>
      </w:r>
    </w:p>
    <w:p>
      <w:pPr>
        <w:pStyle w:val="TextBody"/>
        <w:bidi w:val="0"/>
        <w:spacing w:before="0" w:after="0"/>
        <w:ind w:left="16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60"/>
        <w:gridCol w:w="170"/>
        <w:gridCol w:w="48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4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 or information technology infrastructure failure; </w:t>
            </w:r>
          </w:p>
        </w:tc>
      </w:tr>
    </w:tbl>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6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disruptions in the transportation infrastructure including roads, bridges, railroad tracks and container ports;</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fires, floods, tornadoes, earthquakes, disease, pandemics, acts of violence, or other catastrophes; and </w:t>
            </w:r>
          </w:p>
        </w:tc>
      </w:tr>
    </w:tbl>
    <w:tbl>
      <w:tblPr>
        <w:tblW w:w="2485" w:type="dxa"/>
        <w:jc w:val="left"/>
        <w:tblInd w:w="0" w:type="dxa"/>
        <w:tblLayout w:type="fixed"/>
        <w:tblCellMar>
          <w:top w:w="0" w:type="dxa"/>
          <w:left w:w="0" w:type="dxa"/>
          <w:bottom w:w="0" w:type="dxa"/>
          <w:right w:w="0" w:type="dxa"/>
        </w:tblCellMar>
      </w:tblPr>
      <w:tblGrid>
        <w:gridCol w:w="60"/>
        <w:gridCol w:w="170"/>
        <w:gridCol w:w="22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2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operational problems.</w:t>
            </w:r>
          </w:p>
        </w:tc>
      </w:tr>
    </w:tbl>
    <w:p>
      <w:pPr>
        <w:pStyle w:val="TextBody"/>
        <w:bidi w:val="0"/>
        <w:spacing w:before="0" w:after="0"/>
        <w:ind w:left="144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 significant portion of our manufacturing and production facilities are in Wisconsin within a 100-mile radius of each other. We could experience prolonged periods of reduced production due to unforeseen events occurring in or around our manufacturing facilities in Wisconsin. In the event of a business interruption at our facilities, in particular our Wisconsin or South Carolina facilities, we may be unable to shift manufacturing capabilities to alternate locations, accept materials from suppliers or meet customer shipment needs, among other severe consequences. Such an event could have a material and adverse impact on our financial condition and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U.S. trade policy, including the imposition of new or increased tariffs and the resulting consequences, could have an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benefits from free trade agreements,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flows. The U.S. government has made changes in U.S. trade policy over the past several years. These changes include renegotiating and terminating certain existing bilateral or multi-lateral trade agreements, such as the U.S.-Mexico-Canada Agreement, and initiating tariffs on certain foreign goods from a variety of countries and regions, most notably China, India, or the EU. These changes in U.S. trade policy have resulted in, and may continue to result in, one or more foreign governments adopting responsive trade policies that make it more difficult or costly for us to do business in or import our products or components from those countries. In particular, during 2025, the U.S. imposed new or increased tariffs and other countries, resulting in the imposition of retaliatory tariffs on the U.S., which increased costs in our supply chain. The sales, gross margins, and profitability for each of our segments could be directly impacted by changes in tariffs and trade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certain of our products or key components or raw materials have and may continue to be subject to the imposition of higher duties as a result of anti-dumping and countervailing duties applied against them. To the extent such governmental actions, duties or tariffs are applied to such products, it could adversely affect our results of operations, financial condition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predict the extent to which the U.S. or other countries will impose new or additional quotas, duties,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economy, which in turn could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realize all of the anticipated benefits of our acquisitions, divestitures, restructurings, or realignments, or those benefits may take longer to realize than expected. We may also encounter significant unexpected difficulties in integrating acquired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regularly execute organizational changes such as acquisitions, divestitures, restructurings, and realignments to support our growth and management strategies. If we are unable to successfully manage these and other organizational changes, the ability to complete such activities and realize anticipated synergies or cost savings, as well as our results of operations and financial condition,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realize the anticipated benefits of our acquisitions will depend, to a large extent, on our ability to integrate the acquired businesses with our business. The integration of independent businesses is a complex, costly and time-consuming process. As a result, we may be required to devote significant management attention and resources to integrating the business practices and operations of any acquired businesses with ours. The integration process may disrupt our business and, if implemented ineffectively, could preclude realization of the full benefits expected by us. Our failure to meet the challenges involved in integrating an acquired business into our existing operations or otherwise to realize the anticipated benefits of the transaction could cause an interruption of, or a loss of momentum in, our activities and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in,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As part of the terms of an acquisition, we may commit to pay additional contingent consideration if certain revenue or other performance milestones are achieved. We are required to evaluate the fair value of such commitments at each reporting date and adjust the amount recorded if there are changes to the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overall integration of our acquired businesses may result in material unanticipated problems, expenses, liabilities, competitive responses, loss of customer relationships, and diversion of management's attention, and may cause our stock price to decline. The difficulties of combining the operations of acquired businesses with ours include, among others:</w:t>
      </w:r>
    </w:p>
    <w:p>
      <w:pPr>
        <w:pStyle w:val="TextBody"/>
        <w:bidi w:val="0"/>
        <w:spacing w:before="0" w:after="0"/>
        <w:ind w:left="0" w:right="0" w:hanging="0"/>
        <w:jc w:val="both"/>
        <w:rPr/>
      </w:pPr>
      <w:r>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3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managing a larger company;</w:t>
            </w:r>
          </w:p>
        </w:tc>
      </w:tr>
    </w:tbl>
    <w:tbl>
      <w:tblPr>
        <w:tblW w:w="7015" w:type="dxa"/>
        <w:jc w:val="left"/>
        <w:tblInd w:w="0" w:type="dxa"/>
        <w:tblLayout w:type="fixed"/>
        <w:tblCellMar>
          <w:top w:w="0" w:type="dxa"/>
          <w:left w:w="0" w:type="dxa"/>
          <w:bottom w:w="0" w:type="dxa"/>
          <w:right w:w="0" w:type="dxa"/>
        </w:tblCellMar>
      </w:tblPr>
      <w:tblGrid>
        <w:gridCol w:w="60"/>
        <w:gridCol w:w="170"/>
        <w:gridCol w:w="67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maintaining employee morale and retaining key management and other employees;</w:t>
            </w:r>
          </w:p>
        </w:tc>
      </w:tr>
    </w:tbl>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complying with newly applicable domestic and foreign regulations as we enter new product and geographic markets;</w:t>
            </w:r>
          </w:p>
        </w:tc>
      </w:tr>
    </w:tbl>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integrating two business cultures, which may prove to be incompatible;</w:t>
            </w:r>
          </w:p>
        </w:tc>
      </w:tr>
    </w:tbl>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possibility of faulty assumptions underlying expectations regarding the integration process;</w:t>
            </w:r>
          </w:p>
        </w:tc>
      </w:tr>
    </w:tbl>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47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retaining existing customers and attracting new customers;</w:t>
            </w:r>
          </w:p>
        </w:tc>
      </w:tr>
    </w:tbl>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consolidating corporate and administrative infrastructures and eliminating duplicative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diversion of management's attention from ongoing business concerns and performance shortfalls as a result of management's attention to the acquisition;</w:t>
            </w:r>
          </w:p>
        </w:tc>
      </w:tr>
    </w:tbl>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unanticipated issues in integrating information technology, communications and other systems;</w:t>
            </w:r>
          </w:p>
        </w:tc>
      </w:tr>
    </w:tbl>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complying with, or the failure to comply with, changes in applicable, new, or existing laws and regulations;</w:t>
            </w:r>
          </w:p>
        </w:tc>
      </w:tr>
    </w:tbl>
    <w:tbl>
      <w:tblPr>
        <w:tblW w:w="10120" w:type="dxa"/>
        <w:jc w:val="left"/>
        <w:tblInd w:w="0" w:type="dxa"/>
        <w:tblLayout w:type="fixed"/>
        <w:tblCellMar>
          <w:top w:w="0" w:type="dxa"/>
          <w:left w:w="0" w:type="dxa"/>
          <w:bottom w:w="0" w:type="dxa"/>
          <w:right w:w="0" w:type="dxa"/>
        </w:tblCellMar>
      </w:tblPr>
      <w:tblGrid>
        <w:gridCol w:w="60"/>
        <w:gridCol w:w="170"/>
        <w:gridCol w:w="98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managing tax costs or inefficiencies associated with integrating the operations or supply chain of the combined company;</w:t>
            </w:r>
          </w:p>
        </w:tc>
      </w:tr>
    </w:tbl>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9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unforeseen liabilities, expenses or delays associated with the acquisition;</w:t>
            </w:r>
          </w:p>
        </w:tc>
      </w:tr>
    </w:tbl>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2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difficulty comparing financial reports due to differing financial and/or internal reporting systems;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making any necessary modifications to internal financial control systems to comply with the Sarbanes-Oxley Act of 2002 and the rules and regulations promulgated thereunder.</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of these factors may be outside of our control and any one of them could result in increased costs, decreases in the amount of expected revenues and diversion of management's time and energy, which could materially impact our business, financial condition and results of operations. In addition, even if the operations of our acquired businesses are integrated successfully with our operations, we may not realize the full benefits of the transaction, including the synergies, cost savings or sales or growth opportunities that we expect. These benefits may not be achieved within the anticipated time frame, or at all, and additional unanticipated costs may be incurred in the integration or management of our businesses. All these factors could cause dilution to our earnings per share, decrease or delay the expected accretive effect of the acquisition, and cause a decrease in the price of our common stock. As a result, we cannot be assured that the combination of our acquisitions with our business will result in the realization of the full benefits anticipated from the transaction.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 significant portion of our purchased components are sourced in foreign countries, exposing us to additional risks that may not exist in the United States.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source a significant portion of our purchased components overseas, primarily in Asia and Europe. Our international sourcing subjects us to a number of potential risks in addition to the risks associated with third-party sourcing generally. Such risks include:</w:t>
      </w:r>
    </w:p>
    <w:p>
      <w:pPr>
        <w:pStyle w:val="TextBody"/>
        <w:bidi w:val="0"/>
        <w:spacing w:before="0" w:after="0"/>
        <w:ind w:left="0" w:right="0" w:hanging="0"/>
        <w:jc w:val="both"/>
        <w:rPr/>
      </w:pPr>
      <w:r>
        <w:rPr/>
        <w:t> </w:t>
      </w:r>
    </w:p>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inflation or changes in political and economic conditions;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logistical challenges, including extended container port congestion, and higher logistics costs;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unstable regulatory environments;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import and export duties;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domestic and foreign customs and tariffs;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currency rate fluctuations;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 restrictions;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labor or civil unrest;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conflict such as that experienced in Ukraine or the Middle East;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in our relationships with certain contract manufacturers or suppliers;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communications challenges; and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restraints and burdensome taxes.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factors have occurred in the past and are currently having an adverse effect on our ability to efficiently and cost effectively source our purchased components overseas. Additionally, if the U.S. dollar were to depreciate significantly against the currencies in which we purchase raw materials from foreign suppliers, our cost of goods sold could increase materially, which would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related to legal and regulatory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a variety of litigation and other legal and regulatory proceedings in the course of our business that could adversely affect our business, financial position or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a variety of litigation and other legal and regulatory proceedings incidental to our business (or the business operations of previously owned entities), including claims for damages arising out of the use of products or services and claims relating to product design, safety, manufacture and performance liability, contracts, commercial disputes, competition, sales and trading practices, employment issues, environmental matters, intellectual property rights, tax, securities, regulatory compliance, personal injury, insurance coverage, and acquisition-related matters, as well as other legal proceedings that arise in and outside of the ordinary course of our business. These matters may include claims for compensatory damages, punitive and consequential damages and/or injunctive relief. The defense of these matters may divert our management’s attention, we may incur significant expenses in defending such matters, and we may be required to pay fines, penalties, damage awards or settlements or become subject to equitable remedies that could adversely affect our operations and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industries in which we operate are also periodically reviewed or investigated by regulators, and we are subject to and may continue to be subject to such investigations and claims, including by the U.S. Department of Justice (DOJ), CPSC and EPA, which could lead to enforcement actions, fines and penalties or the assertion of private litigation claims. While the Company cooperates with such governmental inquiries, it is not possible to predict the outcome of such claims, investigations, and lawsuits. We could incur judgments, fines or penalties or enter into settlements of lawsuits and claims that could have an adverse effect on our reputation, business, results of operations or financial condition in any particular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the nature of our operations means that legal and compliance risks will continue to exist and additional legal proceedings and other contingencies, the outcome of which cannot be predicted with certainty, may arise from time to time. In addition, subsequent developments in legal proceedings or investigations may affect our assessment and estimates of loss contingencies recorded as a reserve and require us to make payments in excess of our reserves, which could have an adverse effect on our reputation, business and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any insurance or indemnification rights that we may have may be insufficient or unavailable to protect us against such losses. In addition, developments in proceedings in any given period have and may continue to require us to adjust the loss contingency estimates that we have recorded in our financial statements, record estimates for liabilities or assets previously not susceptible to reasonable estimates or pay cash settlements or judgments. Any of these developments could adversely affect our financial statements in any particular period. We cannot assure our liabilities in connection with litigation and other legal and regulatory proceedings will not exceed our estimates or adversely affect our financial statements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maintain insurance coverage in amounts that we believe are reasonable, we cannot assure we will be able to maintain this insurance on acceptable terms or that this insurance will provide sufficient coverage against potential liabilities that have or may arise. Any product liability claim may also include the imposition of punitive damages, the award of which may not be covered by insurance. Any claims brought against us, with or without merit, may have an adverse effect on our business and results of operations as a result of potential adverse outcomes, the expenses associated with defending such claims, the diversion of our management’s resources and time and the potential adverse effect to our business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 and our discussion of “Non-GAAP measures – Adjusted EBITDA” in Item 7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operations are subject to various environmental, health and safety laws and regulations, and non-compliance with or liabilities under such laws and regulations could result in substantial costs, fines, sanctions and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operations are subject to a variety of foreign, federal, state and local environmental, health and safety laws and regulations including those governing, among other things, emissions to air; discharges to water; noise; and the generation, handling, storage, transportation, treatment and disposal of waste and other materials. In addition, under federal and state environmental laws, we could be required to investigate, remediate and/or monitor the effects of the release or disposal of materials both at sites associated with past and present operations and at third-party sites where waste generated by our operations was disposed. This liability may be imposed retroactively and whether or not we caused, or had any knowledge of, the existence of these materials and may result in our paying more than our fair share of the related costs. Violations of or liabilities under such laws and regulations could result in substantial costs, fines and civil or criminal proceedings or personal injury and workers' compensation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products are subject to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products are subject to extensive statutory and regulatory requirements governing, among other things, emissions, noise, labeling, transport, product content and composition, product safety, and data privacy, including standards imposed by the EPA, CARB, CPSC and other regulatory agencies and certification bodies around the world. Also, as we increase our connectivity with our products and customers, we may be required to comply with additional data privacy and cybersecurity regulations. For example, personal privacy and data security have become significant issues in the United States, Europe, and in many other jurisdictions in which we operate. The regulatory framework for privacy and security issues worldwide is rapidly evolving and is likely to remain uncertain for the foreseeable future. In the United States, these include rules and regulations promulgated or pending under the authority of federal agencies, state attorneys general, legislatures, and consumer protection agencies. Internationally, many jurisdictions in which we operate have established their own data security and privacy legal framework with which we, relevant suppliers, and customers must comply. Although we have implemented certain policies, procedures, and, in other cases, contractual arrangements designed to facilitate compliance with applicable privacy and data security laws and standards, any challenges or perceived inability to adequately address privacy and security concerns, even if unfounded, or comply with applicable privacy and data security laws, regulations, and policies, could result in additional fines, costs, and liabilities to us, damage our reputation, inhibit sales,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affecting our products are constantly evolving and many are becoming increasingly stringent. As a further example, CARB regulations that will prohibit future sales in California of certain small off-road engines may negatively affect the long-term sales of certain products we sell today in that state. Changes in applicable laws or regulations, or in the enforcement thereof, could require us to redesign or recall our products and could adversely affect our business or financial condition in the future. Developing and marketing products to meet such new requirements could result in substantial additional costs that may be difficult to recover in some markets. In some cases, we may be required to modify our products or develop new products to comply with new regulations, particularly those relating to air emissions and carbon monoxide. Typically, additional costs associated with significant compliance modifications are passed on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failure to comply with existing and future regulatory or product standards or requirements could adversely affect our position in the markets we serve, our reputation, business, results of operations or financial condition in any particular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Failures or security breaches of our networks or information technology systems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heavily on technology both in our products and services for customers and in our IT systems used to run our business. Further, we collect and store sensitive information in cloud-based data centers and on our networks. Government agencies and security experts have warned about growing risks of hackers, cyber-criminals, malicious insiders and other actors targeting confidential information and all types of IT systems. These actors may engage in fraudulent activities, theft of confidential or proprietary information and sabotage or ransomware.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experience interruptions, delays and outages in service and availability from time to time, including infrastructure changes, human or software errors, upgrade disruptions and capacity constraints. Our IT systems, our connected products, and our confidential information may be vulnerable to damage or intrusion from a variety of attacks including computer viruses, worms or other malicious software programs. The risk of such attacks may increase as we integrate newly acquired companies or develop new connected products and related software. These attacks pose a risk to the security of our products, private data, systems and networks and those of our customers, suppliers and third-party service providers, as well as to the confidentiality of our information and the integrity and availability of our data and related systems. Use of artificial intelligence software may also create risks from the unintentional disclosure of proprietary, confidential, personal or otherwise sensitive information. While we attempt to mitigate these risks through board oversight, hiring additional internal cyber-security professionals to manage risk mitigations, enhancing controls, due diligence, employee training and communication, third party intrusion testing, system hardening, email and web filters, regular patching, multi-factor authentication, surveillance, encryption, and other measures, we remain vulnerable to inherent risks associated with information security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monitor cyber security threats and vulnerabilities in our systems, and we have experienced attacks targeting our IT systems and networks. Such prior events, to date, have not had a material impact on our financial condition, results of operations or liquidity. Despite the precautions we take, we have had, and could have again, an intrusion or infection of our systems or connected products. An attack on our IT systems or connected products could result in theft or disclosure of trade secrets or other intellectual property, a breach of confidential customer or employee information, or product failure or misuse. Any such events could have an adverse impact on sales, harm our reputation and cause us to incur legal liability and increased costs to address such events and related security concerns. As the threats evolve and become more potent, we may incur additional costs to secure the products that we sell, as well as our data and infrastructure of networks and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1C. Cybersecurity" of this Annual Report on Form 10-K for additional information related to cybersecurity risks.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indebtedness which could adversely affect our cash flow and our ability to make payments on our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we had total indebtedness of $1,333.1 million. Our level of indebtedness increases the possibility that we may be unable to generate sufficient cash to pay, when due, the principal of, interest on or other amounts due in respect of our indebtedness. While we maintain interest rate swaps covering a portion of our outstanding debt, our interest expense could increase if interest rates increase because debt under our credit facilities bears interest at a variable rate based on Secured Overnight Financing Rate (SOFR) or other base rate. If we do not have sufficient earnings to service our debt, we may be required to refinance all or part of our existing debt, sell assets, borrow more money or sell securities, none of which we can guarantee we can accomplish. Our Tranche B Term Loan Facility matures on July 3, 2031, and our Tranche A Term Loan Facility as well as our Revolving Facility mature on July 1,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terms of our credit facilities restrict our current and future operations, particularly our ability to respond to changes in our business or to take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credit facilities contain, and any future indebtedness of ours or our subsidiaries would likely contain, a number of restrictive covenants that impose operating and financial restrictions on us and our subsidiaries, including limitations on our ability to engage in acts that may be in our best long-term interests. These restrictions set limitations on, among other things, our ability to:</w:t>
      </w:r>
    </w:p>
    <w:p>
      <w:pPr>
        <w:pStyle w:val="TextBody"/>
        <w:bidi w:val="0"/>
        <w:spacing w:before="0" w:after="0"/>
        <w:ind w:left="0" w:right="0" w:hanging="0"/>
        <w:jc w:val="both"/>
        <w:rPr/>
      </w:pPr>
      <w:r>
        <w:rPr/>
        <w:t> </w:t>
      </w:r>
    </w:p>
    <w:tbl>
      <w:tblPr>
        <w:tblW w:w="1165" w:type="dxa"/>
        <w:jc w:val="left"/>
        <w:tblInd w:w="0" w:type="dxa"/>
        <w:tblLayout w:type="fixed"/>
        <w:tblCellMar>
          <w:top w:w="0" w:type="dxa"/>
          <w:left w:w="0" w:type="dxa"/>
          <w:bottom w:w="0" w:type="dxa"/>
          <w:right w:w="0" w:type="dxa"/>
        </w:tblCellMar>
      </w:tblPr>
      <w:tblGrid>
        <w:gridCol w:w="60"/>
        <w:gridCol w:w="170"/>
        <w:gridCol w:w="9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incur liens;</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incur or assume additional debt or guarantees or issue preferred stock;</w:t>
            </w:r>
          </w:p>
        </w:tc>
      </w:tr>
    </w:tbl>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7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pay dividends, or make redemptions and repurchases, with respect to capital stock;</w:t>
            </w:r>
          </w:p>
        </w:tc>
      </w:tr>
    </w:tbl>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prepay, or make redemptions and repurchases of, subordinated debt;</w:t>
            </w:r>
          </w:p>
        </w:tc>
      </w:tr>
    </w:tbl>
    <w:tbl>
      <w:tblPr>
        <w:tblW w:w="2590" w:type="dxa"/>
        <w:jc w:val="left"/>
        <w:tblInd w:w="0" w:type="dxa"/>
        <w:tblLayout w:type="fixed"/>
        <w:tblCellMar>
          <w:top w:w="0" w:type="dxa"/>
          <w:left w:w="0" w:type="dxa"/>
          <w:bottom w:w="0" w:type="dxa"/>
          <w:right w:w="0" w:type="dxa"/>
        </w:tblCellMar>
      </w:tblPr>
      <w:tblGrid>
        <w:gridCol w:w="60"/>
        <w:gridCol w:w="170"/>
        <w:gridCol w:w="23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make loans and investments;</w:t>
            </w:r>
          </w:p>
        </w:tc>
      </w:tr>
    </w:tbl>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2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make capital expenditures;</w:t>
            </w:r>
          </w:p>
        </w:tc>
      </w:tr>
    </w:tbl>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3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engage in mergers, acquisitions, asset sales, sale/leaseback transactions and transactions with affiliates;</w:t>
            </w:r>
          </w:p>
        </w:tc>
      </w:tr>
    </w:tbl>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49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the business conducted by us or our subsidiaries; and</w:t>
            </w:r>
          </w:p>
        </w:tc>
      </w:tr>
    </w:tbl>
    <w:tbl>
      <w:tblPr>
        <w:tblW w:w="3340" w:type="dxa"/>
        <w:jc w:val="left"/>
        <w:tblInd w:w="0" w:type="dxa"/>
        <w:tblLayout w:type="fixed"/>
        <w:tblCellMar>
          <w:top w:w="0" w:type="dxa"/>
          <w:left w:w="0" w:type="dxa"/>
          <w:bottom w:w="0" w:type="dxa"/>
          <w:right w:w="0" w:type="dxa"/>
        </w:tblCellMar>
      </w:tblPr>
      <w:tblGrid>
        <w:gridCol w:w="60"/>
        <w:gridCol w:w="170"/>
        <w:gridCol w:w="31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31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amend the terms of subordinated debt.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operating and financial restrictions in our credit facilities and any future financing agreements may adversely affect our ability to finance future operations or capital needs or to engage in other business activities. A breach of any of the restrictive covenants in our credit facilities would result in a default. If any such default occurs, the lenders under our credit facilities may elect to declare all outstanding borrowings, together with accrued interest and other fees, to be immediately due and payable, or enforce their security interest, any of which would result in an event of default. The lenders will also have the right in these circumstances to terminate any commitments they have to provide further borrowings. </w:t>
      </w:r>
    </w:p>
    <w:p>
      <w:pPr>
        <w:pStyle w:val="TextBody"/>
        <w:bidi w:val="0"/>
        <w:spacing w:before="0" w:after="0"/>
        <w:ind w:left="0" w:right="0" w:hanging="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b/>
          <w:i/>
          <w:sz w:val="20"/>
        </w:rPr>
        <w:t>We may need additional capital to finance our growth strategy or to refinance our existing credit facilities, and we may not be able to obtain it on acceptable terms, or at all, which may limit ou</w:t>
      </w:r>
      <w:r>
        <w:rPr>
          <w:rFonts w:ascii="Times New Roman;Times;serif" w:hAnsi="Times New Roman;Times;serif"/>
          <w:sz w:val="20"/>
        </w:rPr>
        <w:t xml:space="preserve"> </w:t>
      </w:r>
      <w:r>
        <w:rPr>
          <w:rFonts w:ascii="Times New Roman;Times;serif" w:hAnsi="Times New Roman;Times;serif"/>
          <w:b/>
          <w:i/>
          <w:sz w:val="20"/>
        </w:rPr>
        <w:t>r ability to grow.</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 xml:space="preserve">We may require additional financing to expand our business. Financing may not be available to us or may be available to us only on terms that are not favorable. The terms of our senior secured credit facilities limit our ability to incur additional debt. In addition, economic conditions, including a downturn in the credit markets, could impact our ability to finance our growth on acceptable terms or at all. If we are unable to raise additional funds or obtain capital on acceptable terms, we may have to delay, modify or abandon some or all of our growth strategies. In the future, if we are unable to refinance our credit facilities on acceptable terms, our liquidity and operating results could be adversely affected. </w:t>
      </w:r>
    </w:p>
    <w:p>
      <w:pPr>
        <w:pStyle w:val="TextBody"/>
        <w:bidi w:val="0"/>
        <w:spacing w:before="0" w:after="0"/>
        <w:ind w:left="0" w:right="0" w:hanging="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b/>
          <w:i/>
          <w:sz w:val="20"/>
        </w:rPr>
        <w:t>Our total assets include a substantial amount of goodwill and other indefinite-lived intangibles. If we determine these have become impaired, our net income could be materially adversely affected.</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excess of cost over the fair market value of net assets acquired in business combinations. Indefinite-lived intangibles are comprised of certain tradenames. As of  December 31, 2025, goodwill and other indefinite-lived intangibles tota </w:t>
      </w:r>
      <w:r>
        <w:rPr>
          <w:rFonts w:ascii="Times New Roman;Times;serif" w:hAnsi="Times New Roman;Times;serif"/>
          <w:color w:val="000000"/>
          <w:sz w:val="20"/>
        </w:rPr>
        <w:t>led $1,594.4 m</w:t>
      </w:r>
      <w:r>
        <w:rPr>
          <w:rFonts w:ascii="Times New Roman;Times;serif" w:hAnsi="Times New Roman;Times;serif"/>
          <w:sz w:val="20"/>
        </w:rPr>
        <w:t xml:space="preserve">illion. We review goodwill and other intangibles at least annually for impairment and any excess in carrying value over the estimated fair value is charged to the statement of comprehensive income. Future impairment may result from, among other things, deterioration in the performance of an acquired business or product line, adverse market conditions, a significant increase in interest rate, changes in the competitive landscape, adverse changes in applicable laws or regulations, including changes that restrict the activities of an acquired business or product line, and a variety of other circumstances including any of the risk factors noted above. A reduction in net income resulting from the write-down or impairment of goodwill or indefinite-lived intangibles could have a material adverse effect on our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common stock may be volatile or may decline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and could be subject to wide fluctuations in response to, among other things, the other risk factors described herein, and other factors beyond our control, such as quarterly variations in operating results, announcements of technology innovations or new products by us or our competitors, changes in financial estimates and recommendations by securities analysts, the operating and stock price performance of other companies that investors may deem comparable to us, and news reports relating to trends in our markets or general economic conditions.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and may continue to see volatility in the market price of our stock price. We have been subject to securities class action litigation relating to the market price of our stock, and may continue to be the target of this type of litigation in the future. Securities litigation against us could result in substantial costs and divert our management’s attention from other business concerns, which could seriously harm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 in Item 8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potential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income tax, indirect tax or other tax claims by tax agencies in jurisdictions in which we conduct business. 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in the period or periods for which that determination is made.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6" w:name="item1b"/>
      <w:bookmarkEnd w:id="6"/>
      <w:r>
        <w:rPr>
          <w:rFonts w:ascii="Times New Roman;Times;serif" w:hAnsi="Times New Roman;Times;serif"/>
          <w:b/>
          <w:sz w:val="20"/>
        </w:rPr>
        <w:t>Item 1B. Unresolved Staff Comments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83"/>
        <w:jc w:val="left"/>
        <w:rPr/>
      </w:pPr>
      <w:r>
        <w:rPr/>
        <w:t xml:space="preserve">  </w:t>
      </w:r>
    </w:p>
    <w:p>
      <w:pPr>
        <w:pStyle w:val="TextBody"/>
        <w:bidi w:val="0"/>
        <w:spacing w:before="0" w:after="0"/>
        <w:ind w:left="0" w:right="0" w:hanging="0"/>
        <w:jc w:val="both"/>
        <w:rPr/>
      </w:pPr>
      <w:bookmarkStart w:id="7" w:name="item1c"/>
      <w:bookmarkEnd w:id="7"/>
      <w:r>
        <w:rPr>
          <w:rFonts w:ascii="Times New Roman;Times;serif" w:hAnsi="Times New Roman;Times;serif"/>
          <w:b/>
          <w:sz w:val="20"/>
        </w:rPr>
        <w:t>Item </w:t>
      </w:r>
      <w:r>
        <w:rPr>
          <w:rStyle w:val="Emphasis"/>
          <w:rFonts w:ascii="Times New Roman;Times;serif" w:hAnsi="Times New Roman;Times;serif"/>
          <w:b/>
          <w:sz w:val="20"/>
        </w:rPr>
        <w:t>1C.</w:t>
      </w:r>
      <w:r>
        <w:rPr>
          <w:rFonts w:ascii="Times New Roman;Times;serif" w:hAnsi="Times New Roman;Times;serif"/>
          <w:b/>
          <w:sz w:val="20"/>
        </w:rPr>
        <w:t xml:space="preserve"> Cybersecurity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and Board recognize the importance of strong oversight of cybersecurity risk, information security and technology in maintaining the trust and confidence of our customers, partners, employees and stockholders. Our processes for assessing, identifying and managing material risks from cybersecurity threats is incorporated into our Enterprise Risk Management (ERM) program in a similar fashion to other legal, compliance, operational, and financial risk areas. The Company maintains cybersecurity measures aligned with the National Institute of Standards and Technology Cybersecurity Framework (Framework) which organizes cybersecurity risks into six categories: govern, identify, protect, detect, respond and recover, and looks to other standards as well to help identify, assess, and manage cybersecurity risks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Chief Information Officer (CIO) oversees our information systems and cybersecurity function and reports to our Chief Executive Officer (CEO). He has over 20 years of experience in leading information systems management, strategy, and operational execution, including incident prevention, management, and response. Our Company’s Chief Information Security Officer (CISO) is responsible for developing and implementing our information security program and reports to our CIO. The CISO has over 25 years of experience supporting cybersecurity and information technology. They are supported by a direct and cross-functional team of professionals with expertise and experience in threat assessment and detection, mitigation strategies, incident response, training, and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have established a Cybersecurity Steering Committee comprised of members of executive leadership. The Steering Committee, in which our CIO and CISO participate, meets regularly and has established Company-wide policies and standards concerning cybersecurity matters. These policies cover areas such as threat protection, access controls, multifactor authentication, containment of confidential information and the use of the internet, email and wireless devices. We have an established incident response plan led by our CIO and CISO and depending on the nature and severity of the incident, requires escalating notifications up to our CEO and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oversees our enterprise risk management activities. The Board receives periodic updates on our cybersecurity risk management program as well as regular updates and education on relevant legislation and trends related to cybersecurity. Our Audit Committee assists the Board in its oversight role and receives regular reports from management on the Company’s information systems and cybersecurity program. Several members of our Board's Audit Committee have expertise and experience in cybersecurity, and one director is the President of a major cybersecurity services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CISO and information technology security team conduct regular risk assessments to assess the overall technology infrastructure and related business processes, identify and address potential security gaps and vulnerabilities, and identify areas requiring additional focus. These risk assessments extend to our supply chain, where cybersecurity health assessments are employed for certain critical suppliers. The results are used to calculate a Cybersecurity Risk Score, a key component of our Supply Chain Scorecard used to proactively identify and manage potential risks. Additionally, we require certain third parties that could introduce significant cybersecurity risk to us to agree by contract to manage their cybersecurity risks in specified ways, as appropriate. Risk assessments are also performed on new products and software as part of our new product development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risk assessments, we engage third-party services for network penetration testing and security evaluations, conduct incident response table-top exercises, and perform regular testing of controls related to our financial information systems by our Internal Audit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promote a culture of security awareness across our organization, employees are required to complete an annual cybersecurity awareness training and are provided with periodic information updates on cybersecurity threats. We also maintain cyber insurance policies to help partially mitigate the financial impact of a significant cybersecurity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Despite our best efforts, we cannot guarantee that our security measures will prevent all potential cybersecurity incidents or breaches. Our systems are continually subject to sophisticated and evolving cyber threats, such as phishing, ransomware, social engineering, and advanced persistent threats. However, to date, we have not been subject to any incidents or cyber-attacks that have materially impacted our operations or financial condition. The Company has invested in developing and acquiring cybersecurity capabilities allowing us to monitor threats and manage incident response. We have also developed internal policies to reduce the impact of cybersecurity incidents, including providing clear guidelines for incident classification, escalation, and response. We recognize the importance of continued monitoring and improvement of our cybersecurity program, and will continue to evolve our security controls, cybersecurity risk management, incident response capabilities, and third-party vendor management protocols.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For additional information on the cybersecurity risks that we face, also see Item </w:t>
      </w:r>
      <w:r>
        <w:rPr>
          <w:rStyle w:val="Emphasis"/>
          <w:rFonts w:ascii="Times New Roman" w:hAnsi="Times New Roman"/>
          <w:caps w:val="false"/>
          <w:smallCaps w:val="false"/>
          <w:sz w:val="20"/>
        </w:rPr>
        <w:t>1A.</w:t>
      </w:r>
      <w:r>
        <w:rPr>
          <w:rFonts w:ascii="Times New Roman" w:hAnsi="Times New Roman"/>
          <w:caps w:val="false"/>
          <w:smallCaps w:val="false"/>
          <w:sz w:val="20"/>
        </w:rPr>
        <w:t xml:space="preserve"> “Risk Factors”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8" w:name="item2"/>
      <w:bookmarkEnd w:id="8"/>
      <w:r>
        <w:rPr>
          <w:rFonts w:ascii="Times New Roman;Times;serif" w:hAnsi="Times New Roman;Times;serif"/>
          <w:b/>
          <w:sz w:val="20"/>
        </w:rPr>
        <w:t>Item 2. Properties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own or lease manufacturing, distribution, R&amp;D, and office facilities globally totaling over eight million square feet. We also utilize third party inventory warehouses that accommodate material storage and rapid response requirements of our customers. The following table provides information about our principal owned or leased facilities exceeding 20,000 square feet: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2747"/>
        <w:gridCol w:w="109"/>
        <w:gridCol w:w="60"/>
        <w:gridCol w:w="60"/>
        <w:gridCol w:w="60"/>
        <w:gridCol w:w="1205"/>
        <w:gridCol w:w="109"/>
        <w:gridCol w:w="4635"/>
        <w:gridCol w:w="109"/>
        <w:gridCol w:w="1111"/>
      </w:tblGrid>
      <w:tr>
        <w:trPr/>
        <w:tc>
          <w:tcPr>
            <w:tcW w:w="2747"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Location</w:t>
            </w:r>
          </w:p>
        </w:tc>
        <w:tc>
          <w:tcPr>
            <w:tcW w:w="1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Owned/ Leased</w:t>
            </w:r>
          </w:p>
        </w:tc>
        <w:tc>
          <w:tcPr>
            <w:tcW w:w="109" w:type="dxa"/>
            <w:tcBorders/>
            <w:tcMar>
              <w:bottom w:w="0" w:type="dxa"/>
            </w:tcMar>
            <w:vAlign w:val="center"/>
          </w:tcPr>
          <w:p>
            <w:pPr>
              <w:pStyle w:val="TableContents"/>
              <w:bidi w:val="0"/>
              <w:spacing w:before="0" w:after="283"/>
              <w:jc w:val="left"/>
              <w:rPr/>
            </w:pPr>
            <w:r>
              <w:rPr/>
              <w:t> </w:t>
            </w:r>
          </w:p>
        </w:tc>
        <w:tc>
          <w:tcPr>
            <w:tcW w:w="463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Activities</w:t>
            </w:r>
          </w:p>
        </w:tc>
        <w:tc>
          <w:tcPr>
            <w:tcW w:w="109" w:type="dxa"/>
            <w:tcBorders/>
            <w:tcMar>
              <w:bottom w:w="0" w:type="dxa"/>
            </w:tcMar>
            <w:vAlign w:val="center"/>
          </w:tcPr>
          <w:p>
            <w:pPr>
              <w:pStyle w:val="TableContents"/>
              <w:bidi w:val="0"/>
              <w:spacing w:before="0" w:after="283"/>
              <w:jc w:val="left"/>
              <w:rPr/>
            </w:pPr>
            <w:r>
              <w:rPr/>
              <w:t> </w:t>
            </w:r>
          </w:p>
        </w:tc>
        <w:tc>
          <w:tcPr>
            <w:tcW w:w="1111"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w:t>
            </w:r>
          </w:p>
        </w:tc>
      </w:tr>
      <w:tr>
        <w:trPr/>
        <w:tc>
          <w:tcPr>
            <w:tcW w:w="2747"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Waukesha, WI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Corporate headquarters,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Pewaukee, WI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Eagle, WI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training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Whitewater, WI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Oshkosh, WI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Oshkosh, WI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Storage, distribution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Berlin, WI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Fond du Lac, WI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Warehouse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Jefferson, WI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distribution,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Jefferson, WI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Storage, distribution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Janesville, WI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Distribution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Richfield, WI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Storage, distribution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Sussex, WI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Beaver Dam, WI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training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Augusta, GA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Storage, distribution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Rockford, IL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Office, distribution, sales, training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283"/>
              <w:jc w:val="left"/>
              <w:rPr/>
            </w:pPr>
            <w:r>
              <w:rPr/>
              <w:t>Shelton, CT</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Leased</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283"/>
              <w:jc w:val="left"/>
              <w:rPr/>
            </w:pPr>
            <w:r>
              <w:rPr/>
              <w:t>Office, warehouse</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283"/>
              <w:jc w:val="left"/>
              <w:rPr/>
            </w:pPr>
            <w:r>
              <w:rPr/>
              <w:t>Domestic</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Trenton, SC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distribution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Stockton, CA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warehouse, training, distribution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Corona, CA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storage, distribution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Maquoketa, IA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Storage, rental property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South Burlington, VT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Office, sales, R&amp;D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South Portland, ME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Reno, NV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Warehouse, R&amp;D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Marlborough, MA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both"/>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warehouse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Toronto, Canada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Office, sales, R&amp;D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Domestic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Hunmanby, United Kingdom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storage, R&amp;D, distribution, sales, training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Staffordshire, United Kingdom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Warehouse, office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Rugby, United Kingdom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Kolkata, India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warehouse, office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Hidd, Bahrain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warehouse, office </w:t>
            </w:r>
          </w:p>
        </w:tc>
        <w:tc>
          <w:tcPr>
            <w:tcW w:w="109" w:type="dxa"/>
            <w:tcBorders/>
            <w:shd w:fill="CCEE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Celle, Germany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R&amp;D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Fellbach, Germany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warehouse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Pfullingen, Germany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sales, distribution, warehouse, office, R&amp;D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Cravinhos, Brazil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Balsicas, Spain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R&amp;D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Hidalgo, Mexico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sales, distribution, warehouse, office,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Saint-Nizier-sous-Charlieu, France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warehouse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Casole d’Elsa, Italy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Villanova d'Ardenghi, Italy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463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Manufacturing, office, warehouse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Sydney, Australia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office, warehouse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Foshan, China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Owned </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4635" w:type="dxa"/>
            <w:tcBorders/>
            <w:shd w:fill="FFFFFF" w:val="clear"/>
            <w:tcMar>
              <w:bottom w:w="0" w:type="dxa"/>
            </w:tcMar>
            <w:vAlign w:val="center"/>
          </w:tcPr>
          <w:p>
            <w:pPr>
              <w:pStyle w:val="TableContents"/>
              <w:bidi w:val="0"/>
              <w:spacing w:before="0" w:after="283"/>
              <w:jc w:val="left"/>
              <w:rPr/>
            </w:pPr>
            <w:r>
              <w:rPr/>
              <w:t>Manufacturing, office, warehouse, R&amp;D</w:t>
            </w:r>
          </w:p>
        </w:tc>
        <w:tc>
          <w:tcPr>
            <w:tcW w:w="109" w:type="dxa"/>
            <w:tcBorders/>
            <w:shd w:fill="FFFFFF" w:val="clear"/>
            <w:tcMar>
              <w:bottom w:w="0" w:type="dxa"/>
            </w:tcM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11" w:type="dxa"/>
            <w:tcBorders/>
            <w:shd w:fill="FFFF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r>
        <w:trPr/>
        <w:tc>
          <w:tcPr>
            <w:tcW w:w="2747"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Suzhou, China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Leased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4635"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Office, R&amp;D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111" w:type="dxa"/>
            <w:tcBorders/>
            <w:shd w:fill="CCEEFF" w:val="clear"/>
            <w:tcMar>
              <w:bottom w:w="0" w:type="dxa"/>
            </w:tcM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International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countries represented above, the Company operates small facilities in the United Arab Emirates, Romania, Poland, and Colombia.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substantially all of our domestically-owned and a portion of our internationally-owned properties are subject to collateral provisions under our senior secured credit facilities.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9" w:name="item3"/>
      <w:bookmarkEnd w:id="9"/>
      <w:r>
        <w:rPr>
          <w:rFonts w:ascii="Times New Roman;Times;serif" w:hAnsi="Times New Roman;Times;serif"/>
          <w:b/>
          <w:sz w:val="20"/>
        </w:rPr>
        <w:t>Item 3.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pPr>
      <w:hyperlink w:anchor="commncon">
        <w:r>
          <w:rPr>
            <w:rStyle w:val="InternetLink"/>
            <w:rFonts w:ascii="Times New Roman;Times;serif" w:hAnsi="Times New Roman;Times;serif"/>
            <w:sz w:val="20"/>
          </w:rPr>
          <w:t>See Note 18, "Commitments and Contingencies," to the consolidated financial statements in Item 8 of this Annual Report on Form 10-K for further information on the Company's legal proceedings. </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0" w:name="item4"/>
      <w:bookmarkEnd w:id="10"/>
      <w:r>
        <w:rPr>
          <w:rFonts w:ascii="Times New Roman;Times;serif" w:hAnsi="Times New Roman;Times;serif"/>
          <w:b/>
          <w:sz w:val="20"/>
        </w:rPr>
        <w:t>Item 4. Mine Safety Disclosures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rFonts w:ascii="Times New Roman;Times;serif" w:hAnsi="Times New Roman;Times;serif"/>
          <w:b/>
          <w:sz w:val="20"/>
        </w:rPr>
      </w:pPr>
      <w:bookmarkStart w:id="11" w:name="part2"/>
      <w:bookmarkEnd w:id="11"/>
      <w:r>
        <w:rPr>
          <w:rFonts w:ascii="Times New Roman;Times;serif" w:hAnsi="Times New Roman;Times;serif"/>
          <w:b/>
          <w:sz w:val="20"/>
        </w:rPr>
        <w:t>PART II</w:t>
      </w:r>
    </w:p>
    <w:p>
      <w:pPr>
        <w:pStyle w:val="TextBody"/>
        <w:bidi w:val="0"/>
        <w:spacing w:before="0" w:after="0"/>
        <w:ind w:left="691" w:right="0" w:hanging="691"/>
        <w:jc w:val="both"/>
        <w:rPr>
          <w:rFonts w:ascii="Times New Roman;Times;serif" w:hAnsi="Times New Roman;Times;serif"/>
          <w:b/>
          <w:sz w:val="20"/>
        </w:rPr>
      </w:pPr>
      <w:bookmarkStart w:id="12" w:name="item5"/>
      <w:bookmarkEnd w:id="12"/>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of our common stock are traded on the New York Stock Exchange (NYSE) under the symbol “GNRC.”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stock repurchase activity for the three months ended December 31, 2025, which consisted solely of the withholding of shares upon the vesting of restricted stock awards to pay related withholding taxes on behalf of the recipient: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943"/>
        <w:gridCol w:w="60"/>
        <w:gridCol w:w="164"/>
        <w:gridCol w:w="1337"/>
        <w:gridCol w:w="60"/>
        <w:gridCol w:w="60"/>
        <w:gridCol w:w="219"/>
        <w:gridCol w:w="1039"/>
        <w:gridCol w:w="60"/>
        <w:gridCol w:w="60"/>
        <w:gridCol w:w="1204"/>
        <w:gridCol w:w="1610"/>
        <w:gridCol w:w="60"/>
        <w:gridCol w:w="60"/>
        <w:gridCol w:w="339"/>
        <w:gridCol w:w="2866"/>
        <w:gridCol w:w="64"/>
      </w:tblGrid>
      <w:tr>
        <w:trPr/>
        <w:tc>
          <w:tcPr>
            <w:tcW w:w="9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w:t>
            </w:r>
          </w:p>
        </w:tc>
        <w:tc>
          <w:tcPr>
            <w:tcW w:w="64" w:type="dxa"/>
            <w:tcBorders/>
            <w:vAlign w:val="center"/>
          </w:tcPr>
          <w:p>
            <w:pPr>
              <w:pStyle w:val="TableContents"/>
              <w:bidi w:val="0"/>
              <w:spacing w:before="0" w:after="283"/>
              <w:jc w:val="left"/>
              <w:rPr/>
            </w:pPr>
            <w:r>
              <w:rPr/>
              <w:t> </w:t>
            </w:r>
          </w:p>
        </w:tc>
      </w:tr>
      <w:tr>
        <w:trPr/>
        <w:tc>
          <w:tcPr>
            <w:tcW w:w="9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10/01/25 - 10/31/25</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ind w:left="0" w:right="0" w:hanging="0"/>
              <w:jc w:val="left"/>
              <w:rPr/>
            </w:pPr>
            <w:r>
              <w:rPr/>
              <w:t> </w:t>
            </w:r>
          </w:p>
        </w:tc>
        <w:tc>
          <w:tcPr>
            <w:tcW w:w="1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199,340,001</w:t>
            </w:r>
          </w:p>
        </w:tc>
        <w:tc>
          <w:tcPr>
            <w:tcW w:w="64" w:type="dxa"/>
            <w:tcBorders/>
            <w:shd w:fill="CCEEFF" w:val="clear"/>
            <w:vAlign w:val="center"/>
          </w:tcPr>
          <w:p>
            <w:pPr>
              <w:pStyle w:val="TableContents"/>
              <w:bidi w:val="0"/>
              <w:spacing w:before="0" w:after="283"/>
              <w:jc w:val="left"/>
              <w:rPr/>
            </w:pPr>
            <w:r>
              <w:rPr/>
              <w:t> </w:t>
            </w:r>
          </w:p>
        </w:tc>
      </w:tr>
      <w:tr>
        <w:trPr/>
        <w:tc>
          <w:tcPr>
            <w:tcW w:w="94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11/01/25 - 11/30/25</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3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ind w:left="0" w:right="0" w:hanging="0"/>
              <w:jc w:val="left"/>
              <w:rPr/>
            </w:pPr>
            <w:r>
              <w:rPr/>
              <w:t> </w:t>
            </w:r>
          </w:p>
        </w:tc>
        <w:tc>
          <w:tcPr>
            <w:tcW w:w="16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199,340,001</w:t>
            </w:r>
          </w:p>
        </w:tc>
        <w:tc>
          <w:tcPr>
            <w:tcW w:w="64" w:type="dxa"/>
            <w:tcBorders/>
            <w:shd w:fill="FFFFFF" w:val="clear"/>
            <w:vAlign w:val="center"/>
          </w:tcPr>
          <w:p>
            <w:pPr>
              <w:pStyle w:val="TableContents"/>
              <w:bidi w:val="0"/>
              <w:spacing w:before="0" w:after="283"/>
              <w:jc w:val="left"/>
              <w:rPr/>
            </w:pPr>
            <w:r>
              <w:rPr/>
              <w:t> </w:t>
            </w:r>
          </w:p>
        </w:tc>
      </w:tr>
      <w:tr>
        <w:trPr/>
        <w:tc>
          <w:tcPr>
            <w:tcW w:w="9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12/01/25 - 12/31/25</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ind w:left="0" w:right="0" w:hanging="0"/>
              <w:jc w:val="left"/>
              <w:rPr/>
            </w:pPr>
            <w:r>
              <w:rPr/>
              <w:t> </w:t>
            </w:r>
          </w:p>
        </w:tc>
        <w:tc>
          <w:tcPr>
            <w:tcW w:w="16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199,340,001</w:t>
            </w:r>
          </w:p>
        </w:tc>
        <w:tc>
          <w:tcPr>
            <w:tcW w:w="64" w:type="dxa"/>
            <w:tcBorders/>
            <w:shd w:fill="CCEEFF" w:val="clear"/>
            <w:vAlign w:val="center"/>
          </w:tcPr>
          <w:p>
            <w:pPr>
              <w:pStyle w:val="TableContents"/>
              <w:bidi w:val="0"/>
              <w:spacing w:before="0" w:after="283"/>
              <w:jc w:val="left"/>
              <w:rPr/>
            </w:pPr>
            <w:r>
              <w:rPr/>
              <w:t> </w:t>
            </w:r>
          </w:p>
        </w:tc>
      </w:tr>
      <w:tr>
        <w:trPr/>
        <w:tc>
          <w:tcPr>
            <w:tcW w:w="94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left"/>
              <w:rPr/>
            </w:pPr>
            <w:r>
              <w:rPr/>
              <w:t> </w:t>
            </w:r>
          </w:p>
        </w:tc>
        <w:tc>
          <w:tcPr>
            <w:tcW w:w="16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equity compensation plan information, refer to Note 17, “Share Plans,” to the consolidated financial statements in Item 8 of this Annual Report on Form 10-K. For information on the Company’s stock repurchase plans, refer to Note 13, “Stock Repurchase Programs,” to the consolidated financial statements in Item 8 of this Annual Report on Form 10-K.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4, 2025, Aaron Jagdfeld, Chief Executive Officer and director, adopted a Rule 10b5-1 trading arrangement that is intended to satisfy the affirmative defense of Rule 10b5-1(c) for the sale of up to 60,000 shares of the Company’s common stock until February 26, 2027.</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line graph below compares the cumulative total stockholder return on our common stock with the cumulative total return of the Standard &amp; Poor’s (S&amp;P 500) Index, the S&amp;P MidCap 400 Index, and the S&amp;P 500 Industrial Index, for the five-year period ended December 31, 2025. The graph and table assume $100 was invested on December 31, 2020, in each of our common stock, the S&amp;P 500 Index, the S&amp;P MidCap 400 Index, and the S&amp;P 500 Industrial Index, and that all dividends were reinvested. Cumulative total stockholder returns for our common stock, the S&amp;P 500 Index, the S&amp;P MidCap 400 Index, and the S&amp;P 500 Industrial Index, are based on our fiscal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8096250" cy="6124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6124575"/>
                    </a:xfrm>
                    <a:prstGeom prst="rect">
                      <a:avLst/>
                    </a:prstGeom>
                  </pic:spPr>
                </pic:pic>
              </a:graphicData>
            </a:graphic>
          </wp:inline>
        </w:drawing>
      </w:r>
    </w:p>
    <w:p>
      <w:pPr>
        <w:pStyle w:val="TextBody"/>
        <w:bidi w:val="0"/>
        <w:spacing w:before="0" w:after="0"/>
        <w:ind w:left="0" w:right="0" w:hanging="0"/>
        <w:jc w:val="both"/>
        <w:rPr/>
      </w:pPr>
      <w:r>
        <w:rPr/>
        <w:t> </w:t>
      </w:r>
    </w:p>
    <w:tbl>
      <w:tblPr>
        <w:tblW w:w="8125" w:type="dxa"/>
        <w:jc w:val="left"/>
        <w:tblInd w:w="0" w:type="dxa"/>
        <w:tblLayout w:type="fixed"/>
        <w:tblCellMar>
          <w:top w:w="0" w:type="dxa"/>
          <w:left w:w="0" w:type="dxa"/>
          <w:bottom w:w="28" w:type="dxa"/>
          <w:right w:w="0" w:type="dxa"/>
        </w:tblCellMar>
      </w:tblPr>
      <w:tblGrid>
        <w:gridCol w:w="2615"/>
        <w:gridCol w:w="60"/>
        <w:gridCol w:w="171"/>
        <w:gridCol w:w="808"/>
        <w:gridCol w:w="60"/>
        <w:gridCol w:w="60"/>
        <w:gridCol w:w="171"/>
        <w:gridCol w:w="808"/>
        <w:gridCol w:w="60"/>
        <w:gridCol w:w="60"/>
        <w:gridCol w:w="171"/>
        <w:gridCol w:w="808"/>
        <w:gridCol w:w="60"/>
        <w:gridCol w:w="60"/>
        <w:gridCol w:w="171"/>
        <w:gridCol w:w="808"/>
        <w:gridCol w:w="60"/>
        <w:gridCol w:w="60"/>
        <w:gridCol w:w="171"/>
        <w:gridCol w:w="808"/>
        <w:gridCol w:w="75"/>
      </w:tblGrid>
      <w:tr>
        <w:trPr/>
        <w:tc>
          <w:tcPr>
            <w:tcW w:w="26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 Market / Peer Group</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12/31/2025</w:t>
            </w:r>
          </w:p>
        </w:tc>
        <w:tc>
          <w:tcPr>
            <w:tcW w:w="75" w:type="dxa"/>
            <w:tcBorders/>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Generac Holdings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S&amp;P 500 Index - Total Returns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S&amp;P MidCap 400 Index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S&amp;P 500 Industrials Index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February 13, 2026, there were</w:t>
      </w:r>
      <w:r>
        <w:rPr>
          <w:rFonts w:ascii="Times New Roman;Times;serif" w:hAnsi="Times New Roman;Times;serif"/>
          <w:color w:val="000000"/>
          <w:sz w:val="20"/>
          <w:shd w:fill="FFFFFF" w:val="clear"/>
        </w:rPr>
        <w:t> 804 </w:t>
      </w:r>
      <w:r>
        <w:rPr>
          <w:rFonts w:ascii="Times New Roman;Times;serif" w:hAnsi="Times New Roman;Times;serif"/>
          <w:sz w:val="20"/>
          <w:shd w:fill="FFFFFF" w:val="clear"/>
        </w:rPr>
        <w:t>reg</w:t>
      </w:r>
      <w:r>
        <w:rPr>
          <w:rFonts w:ascii="Times New Roman;Times;serif" w:hAnsi="Times New Roman;Times;serif"/>
          <w:sz w:val="20"/>
        </w:rPr>
        <w:t>istered holders of record of Generac’s common stock. A substantially greater number of holders of Generac common stock are “street name” or beneficial holders, whose shares are held of record by banks, brokers and other financial institutions.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have plans to pay dividends on our common stock in the foreseeable future. However, in the future, subject to factors such as general economic and business conditions, our financial condition and results of operations, our capital requirements, our future liquidity and capitalization, and other such factors that our Board may deem relevant, we may change this policy and choose to pay dividends. Our ability to pay dividends on our common stock is currently limited by the terms of our senior secured credit facilities and may be further restricted by any future indebtedness we incur. Dividends from, and cash generated by our subsidiaries will be our principal sources of cash to repay indebtedness, fund operations, repurchase shares of common stock and pay dividends. Accordingly, our ability to pay dividends to our stockholders is dependent on the earnings and distributions of funds from our subsidiaries.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information on securities authorized for issuance under our equity compensation plans, refer to Note 17, “Share Plans,” and “Item 12 - Security Ownership of Certain Beneficial Owners and Management and Related Stockholder Matters,” of this Annual Report on Form 10-K which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Use of Proceeds from Registered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3" w:name="item6"/>
      <w:bookmarkEnd w:id="13"/>
      <w:r>
        <w:rPr>
          <w:rFonts w:ascii="Times New Roman;Times;serif" w:hAnsi="Times New Roman;Times;serif"/>
          <w:b/>
          <w:sz w:val="20"/>
        </w:rPr>
        <w:t>Item 6. [Reserved]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4" w:name="item7"/>
      <w:bookmarkEnd w:id="14"/>
      <w:r>
        <w:rPr>
          <w:rFonts w:ascii="Times New Roman;Times;serif" w:hAnsi="Times New Roman;Times;serif"/>
          <w:b/>
          <w:sz w:val="20"/>
        </w:rPr>
        <w:t>Item 7.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of our financial condition and results of operations should be read together with “Item 1 – Business,” the consolidated financial statements, and the related notes thereto in Item 8 of this Annual Report on Form 10-K. This discussion contains forward-looking statements that involve risks and uncertainties. These forward-looking statements refer to future events and our future financial performance, and are based on our expectations at the time of filing this Annual Report on Form 10-K. Our actual results may differ materially from those anticipated in these forward-looking statements as a result of many factors, including those set forth under “Item 1A. - Risk Factors.”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Founded in 1959, Generac is a leading global designer, manufacturer, and provider of a wide range of energy technology solutions. Generac provides power generation equipment, energy storage systems, energy management devices &amp; solutions, and other power products and services serving the residential, commercial, data center, telecom, rental, and industrial markets. The Company’s broad portfolio of energy technology offerings for homes and businesses enables its mission to Power a Smarter World and lead the evolution to more resilient, efficient, and innovative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information regarding our business is provided in “Part I, Item 1. Business”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Drivers and Operational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Part I, Item 1. Business” of this Annual Report on Form 10-K contains information regarding business drivers, including key mega-trends and strategic growth themes under the subheading “Key Mega-Trends and Strategic Growth Themes.”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various other business drivers and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Impact of residential investment cycle. </w:t>
      </w:r>
      <w:r>
        <w:rPr>
          <w:rFonts w:ascii="Times New Roman" w:hAnsi="Times New Roman"/>
          <w:caps w:val="false"/>
          <w:smallCaps w:val="false"/>
          <w:sz w:val="20"/>
        </w:rPr>
        <w:t>The market for our residential products is affected by the residential investment cycle and overall consumer confidence and sentiment. When homeowners are confident of their household income, the value of their home and overall net worth, they are more likely to invest in their home. These trends can have an impact on demand for residential generators, solar and energy storage systems, and energy management devices. Trends in interest rates and the new housing market, highlighted by residential housing starts, can also impact demand for these products. Demand for outdoor power equipment is also impacted by several of these factors, as well as weather patterns. The existence of renewable energy mandates, investment tax credits, and other subsidies can also have an impact on the demand for solar and energy storage systems. The “One Big Beautiful Bill Act” (OBBBA) that was enacted in the United States in July 2025 accelerated the phase out of certain investment tax credits, resulting in a negative impact to the solar &amp; storage market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Impact of business capital investment and other economic cycles. </w:t>
      </w:r>
      <w:r>
        <w:rPr>
          <w:rFonts w:ascii="Times New Roman" w:hAnsi="Times New Roman"/>
          <w:caps w:val="false"/>
          <w:smallCaps w:val="false"/>
          <w:sz w:val="20"/>
        </w:rPr>
        <w:t>The global market for our C&amp;I products is affected by different capital investment cycles, which can vary widely across the different regions and markets that we serve. These cycles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and market conditions can have a material impact on demand for our products. The capital investment cycle may differ for the various C&amp;I end markets that we serve, including data centers, light commercial, retail, office, telecommunications, rental, industrial, healthcare, construction, oil &amp; gas and municipal infrastructure, among others. The market for these products is also affected by general economic conditions around the world, fluctuations in interest rates &amp; foreign currencies, trade policies, and geopolitical matters in the various countries where we serve, as well as credit availability in those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Effect of commodity, currency, component price fluctuations, and resource availability. </w:t>
      </w:r>
      <w:r>
        <w:rPr>
          <w:rFonts w:ascii="Times New Roman" w:hAnsi="Times New Roman"/>
          <w:caps w:val="false"/>
          <w:smallCaps w:val="false"/>
          <w:sz w:val="20"/>
        </w:rPr>
        <w:t>Industry-wide price fluctuations of key commodities, such as steel, copper and aluminum, along with other components we use in our products, as well as changes in labor costs required to produce our products, can have a material impact on our results of operations. Acquisitions in recent years have increased our use of advanced electronic components and battery cells that can fluctuate in terms of pricing and availability. Our international operations, along with our existing global supply chain, expose us to fluctuations in foreign currency exchange rates and regulatory tariffs that can also have a material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Commodity, currency, and component price levels are increasingly subject to geopolitical uncertainty, including ongoing regional conflicts, shifts in U.S. and international trade policies, and the potential for new or increased tariffs. These factors, along with increased demand from data centers, have contributed to heightened volatility in commodity prices, particularly for raw materials such as steel, copper, and aluminum. Additionally, geopolitical instability can contribute to significant fluctuations in foreign currency exchange rates which can impact our reported financial performance from our foreign operations and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Tariffs and international trade relations.</w:t>
      </w:r>
      <w:r>
        <w:rPr>
          <w:rFonts w:ascii="Times New Roman" w:hAnsi="Times New Roman"/>
          <w:caps w:val="false"/>
          <w:smallCaps w:val="false"/>
          <w:sz w:val="20"/>
        </w:rPr>
        <w:t xml:space="preserve"> Given our global supply chain and international operations, our business is impacted by tariffs and other changes in U.S. trade policy and international trade relations. For example, starting in the first quarter of 2025, the United States government enacted additional tariffs on goods imported into the U.S. from numerous countries, and certain countries announced tariffs on U.S. goods. Some of these tariffs have been subsequently modified or delayed, and the U.S. government has also stated it is willing to negotiate with respect to the tariffs it has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implemented price increases across many of our product offerings and are executing a number of supply chain initiatives to attempt to mitigate the impact of these tariffs on our profitability. Despite our efforts, these tariff actions and resulting price increases have created inflationary pressures for consumers, negatively impacting demand and margins for certain of our products. As U.S. trade policy continues to evolve, we will continue to evaluate the impact of future tariffs and take actions to mitigate and/or minimize their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Seasonality. </w:t>
      </w:r>
      <w:r>
        <w:rPr>
          <w:rFonts w:ascii="Times New Roman" w:hAnsi="Times New Roman"/>
          <w:caps w:val="false"/>
          <w:smallCaps w:val="false"/>
          <w:sz w:val="20"/>
        </w:rPr>
        <w:t>Although there is demand for our products throughout the year, in each of the past five years, approximately 20% to 25% of our net sales occurred in the first quarter, 23% to 28% in the second quarter, 24% to 27% in the third quarter, and 23% to 29% in the fourth quarter, with different seasonality depending primarily on the occurrence, timing and severity of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 The second half of 2025 represented a very low level of baseline power outage activity, impacting demand for our residential products and resulting in quarterly net sales being more level-loaded as compared to our historical averages.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Acquisitions. </w:t>
      </w:r>
      <w:r>
        <w:rPr>
          <w:rFonts w:ascii="Times New Roman" w:hAnsi="Times New Roman"/>
          <w:caps w:val="false"/>
          <w:smallCaps w:val="false"/>
          <w:sz w:val="20"/>
        </w:rPr>
        <w:t>Over the years, we have executed a number of acquisitions that support our strategic plan. A summary of the recent acquisitions can be found in Note 1, “Description of Business" to the consolidated financial statements included in Item 8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Factors Influencing Interest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can be impacted by a variety of factors, including market fluctuations in SOFR, interest rate election periods, interest rate swap agreements, repayments or borrowings of indebtedness, and amendments to our credit agreements. Refer to Note 12, “Credit Agreements,” to the consolidated financial statements included in Item 8 of this Annual Report on Form 10-K for further information. The decrease in interest expense in the current year was primarily driven by lower borrowings, lower SOFR interest rates, and lower interest rate spreads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 2025, we amended our Term Loan A Facility and Revolving Credit Facility, extending the maturity of both to July 1, 2030, revising the Term Loan A Facility outstanding principal balance to $700,000, reducing the Revolving Credit Facility borrowing capacity to $1,000,000, and redefining the Term Benchmark to replace the Adjusted Term SOFR Rate with the Term SOFR Rate, resulting in an interest rate spread reduction of 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Factors Influencing Provision for Income Taxes and Cash Income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 income tax rates for the years ended December 31, 2025 and 2024 were 18.9% and 22.6%, respectively. The lower 2025 effective tax rate was driven primarily by the impact of certain favorable discrete tax items and their impact on a lower pre-tax income in the current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2021, the Organization for Economic Cooperation and Development (OECD) released Pillar Two Global Anti-Base Erosion model rules, designed to ensure large corporations are taxed at a minimum rate of 15% in all countries of operation. The OECD continues to release guidance and countries are implementing legislation to adopt the rules, some of which became effective on January 1, 2024. In January 2026, the OECD released a new package of administrative guidance that effectively deems the United States tax system as compliant with Pillar Two, which is expected to eliminate additional top-up taxes across our global operations. This updated guidance package does not exempt the Company from Qualified Domestic Minimum Top-Up Taxes in foreign jurisdictions. As a result, we expect our cash taxes paid to remain subject to local minimum tax regimes where applicable. There was no impact to the financial results of the year ended December 31, 2025, and we do not expect the rules to have a material impact on our effective tax rate for the following year. We will update our future tax provisions based on new regulations or guidance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the United States signed the OBBBA into law. This legislation makes permanent several key provisions related to 100% bonus depreciation and the immediate expensing of domestic research and development costs. Under ASC 740, “Income Taxes,” the effects of changes in tax laws are reflected in the Company’s financial statements in the quarter in which the legislation was passed. We expect to realize cash tax savings as a result of provisions related to bonus depreciation and domestic research and development expensing. These changes did not have a material impact on our effective income tax rate for 2025 as the changes relate to temporary differences in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Net Sales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net sales primarily consist of the sale of products to our customers. This includes sales of our power generation equipment, energy storage systems, and other power products to the residential, commercial and industrial markets, as well as service parts to our dealer network. Net sales also include shipping and handling charges billed to customers, with the related freight costs included in cost of goods sold. Additionally, we offer other services, including extended warranties, installation, maintenance, telecom facility design and build, and remote monitoring. These services accounted for approximately 4% of our net sales for the year ended December 31, 2025. Refer to Note 2, “Summary of Accounting Policies - Revenue Recognition,” to the consolidated financial statements in Item 8 of this Annual Report on Form 10-K for further information on our revenue streams and related revenue recognition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not dependent on any one channel or customer for our net sales, with no single customer representing more than 4% of our net sales, and our top ten customers representing approximately 18% of our net sales in aggregate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Costs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elements of costs of goods sold are component parts, raw materials, inbound and outbound freight, factory overhead and labor. The principal component parts are engines, alternators, batteries, electronic controls, and steel enclosures. We design and manufacture air-cooled engines for certain of our generators up to 28kW, along with certain liquid-cooled, natural gas engines. We source engines for certain of our smaller products and all of our diesel products. For certain natural gas engines, we source the base engine block, and then add a significant amount of value engineering, sub-systems and other content to the point that we are recognized as the original equipment manufacturer (OEM) of those engines. We design and manufacture many of the alternators for our generators. We also manufacture other generator components where we believe we have a design and cost advantage. We source component parts from an extensive global network of reliable, high-quality suppliers. In some cases, these relationships are proprietary. For certain energy technology products, we source these products complete from certain contract manufacturers using our designs.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sourced raw materials used in the manufacturing process are steel, copper and aluminum. We are susceptible to fluctuations in the cost of these commodities, impacting our costs of goods sold. We seek to mitigate the impact of commodity price changes on our business through a continued focus on global sourcing, product design improvements, manufacturing efficiencies, price increases and select hedging transactions. We are also impacted by foreign currency fluctuations and global trade policies given our global supply chain. There is typically a lag between raw material price fluctuations and their effect on our costs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results are also influenced by changes in fuel prices in the form of freight rates, which in some cases are accepted by our customers and in other cases are paid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balance of cost of goods sold include our manufacturing and warehousing facilities, factory overhead, labor and shipping costs. Factory overhead includes utilities, insurance, support personnel, depreciation, general supplies, and maintenance. Although we attempt to maintain a flexible manufacturing cost structure, our margins can be impacted if we cannot timely adjust labor and manufacturing costs to match fluctuations in net sales.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expenses consist of costs incurred to support our sales, marketing, distribution, service parts, warranty, engineering, information systems, human resources, accounting, finance, risk management, legal and tax functions, among others. These expenses include, among others, personnel costs such as salaries, bonuses, employee benefit costs, payroll taxes, and share-based compensation cost, and are classified into three categories: selling and service, research and development, and general and administrative. Additionally, the amortization expense related to our finite-lived intangible assets is included within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Selling and service. </w:t>
      </w:r>
      <w:r>
        <w:rPr>
          <w:rFonts w:ascii="Times New Roman" w:hAnsi="Times New Roman"/>
          <w:caps w:val="false"/>
          <w:smallCaps w:val="false"/>
          <w:sz w:val="20"/>
        </w:rPr>
        <w:t>Our selling and service expenses consist primarily of personnel costs, marketing expense, standard assurance warranty expense, bad debt provisions, and other sales expenses. Our personnel costs recorded in selling and services expenses include the expense of our sales force, customer support teams, outbound shipping and distribution functions, and other personnel involved in the marketing, sales and service of our products. Standard warranty expense is estimated based on historical trends or based on specific warranty matters as they become known and reasonably estimable. Our marketing expenses include media advertising, promotional expenses, co-op advertising costs, direct mail costs, printed material costs, product display costs, market research expenses, and trade show expenses. Marketing expenses are generally related to the launch of new product offerings, opportunities to create market awareness for our products, and general brand awareness marketing efforts. Our marketing campaigns are an important source for lead 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Research and development. </w:t>
      </w:r>
      <w:r>
        <w:rPr>
          <w:rFonts w:ascii="Times New Roman" w:hAnsi="Times New Roman"/>
          <w:caps w:val="false"/>
          <w:smallCaps w:val="false"/>
          <w:sz w:val="20"/>
        </w:rPr>
        <w:t>Our research and development expenses include mechanical engineering, electronics engineering, and software development costs and support numerous projects covering all of our product lines. They also support our connectivity, remote monitoring, and energy management initiatives. We operate engineering facilities with extensive capabilities at many locations around the world with a focus on new product development, existing product improvement and cost containment. We are committed to innovation, research and development and rely on a combination of patents and trademarks to establish and protect our proprietary rights. Our research and development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General and administrative. </w:t>
      </w:r>
      <w:r>
        <w:rPr>
          <w:rFonts w:ascii="Times New Roman" w:hAnsi="Times New Roman"/>
          <w:caps w:val="false"/>
          <w:smallCaps w:val="false"/>
          <w:sz w:val="20"/>
        </w:rPr>
        <w:t>Our general and administrative expenses include personnel costs for accounting, information technology, human resources, legal, general and administrative employees, legal and professional services fees, information technology costs, insurance, travel and entertainment expense, adjustments to contingent acquisition consideration, share-based compensation costs, and other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Amortization of intangibles. </w:t>
      </w:r>
      <w:r>
        <w:rPr>
          <w:rFonts w:ascii="Times New Roman" w:hAnsi="Times New Roman"/>
          <w:caps w:val="false"/>
          <w:smallCaps w:val="false"/>
          <w:sz w:val="20"/>
        </w:rPr>
        <w:t>Our amortization of intangibles expense includes the straight-line amortization of finite-lived tradenames, customer lists, patents and technology, and other intangibles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(Expense)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income includes the interest expense on our outstanding borrowings, amortization of deferred financing costs and original issue discount, credit facility commitment fees, and interest accretion on contingent acquisition consideration. Other (expense) income also includes other financial items such as losses on debt refinancing, investment income earned on our cash and cash equivalents, gains/losses on the sale of certain investments, and changes in the fair value of our investment in Wallbox N.V. warrants and equity securities.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detailed discussion of the year-over-year changes from the Company's fiscal 2023 results of operations to fiscal 2024 results of operations can be found in the Management's Discussion and Analysis section of the Company's fiscal 2024 Annual Report on Form 10-K filed February 19, 2025.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Year ended December 31, 2025 compared to year ended December 31,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consolidated statement of operations data for the periods indicated:</w:t>
      </w:r>
    </w:p>
    <w:p>
      <w:pPr>
        <w:pStyle w:val="TextBody"/>
        <w:bidi w:val="0"/>
        <w:spacing w:before="0" w:after="0"/>
        <w:ind w:left="0" w:right="0" w:hanging="0"/>
        <w:jc w:val="both"/>
        <w:rPr/>
      </w:pPr>
      <w:r>
        <w:rPr/>
        <w:t> </w:t>
      </w:r>
    </w:p>
    <w:tbl>
      <w:tblPr>
        <w:tblW w:w="8676" w:type="dxa"/>
        <w:jc w:val="left"/>
        <w:tblInd w:w="0" w:type="dxa"/>
        <w:tblLayout w:type="fixed"/>
        <w:tblCellMar>
          <w:top w:w="0" w:type="dxa"/>
          <w:left w:w="0" w:type="dxa"/>
          <w:bottom w:w="0" w:type="dxa"/>
          <w:right w:w="0" w:type="dxa"/>
        </w:tblCellMar>
      </w:tblPr>
      <w:tblGrid>
        <w:gridCol w:w="4145"/>
        <w:gridCol w:w="60"/>
        <w:gridCol w:w="133"/>
        <w:gridCol w:w="903"/>
        <w:gridCol w:w="85"/>
        <w:gridCol w:w="64"/>
        <w:gridCol w:w="133"/>
        <w:gridCol w:w="903"/>
        <w:gridCol w:w="80"/>
        <w:gridCol w:w="60"/>
        <w:gridCol w:w="125"/>
        <w:gridCol w:w="755"/>
        <w:gridCol w:w="80"/>
        <w:gridCol w:w="60"/>
        <w:gridCol w:w="99"/>
        <w:gridCol w:w="806"/>
        <w:gridCol w:w="185"/>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4,209,147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2,597,410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1,611,737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Selling and service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555,358</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243,470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422,211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101,507</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1,322,546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289,191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199,060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161,354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159,554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sets forth our reportable segment information for the periods indicated:</w:t>
      </w:r>
    </w:p>
    <w:p>
      <w:pPr>
        <w:pStyle w:val="TextBody"/>
        <w:bidi w:val="0"/>
        <w:spacing w:before="0" w:after="0"/>
        <w:ind w:left="0" w:right="0" w:hanging="0"/>
        <w:jc w:val="both"/>
        <w:rPr/>
      </w:pPr>
      <w:r>
        <w:rPr/>
        <w:t> </w:t>
      </w:r>
    </w:p>
    <w:tbl>
      <w:tblPr>
        <w:tblW w:w="7322" w:type="dxa"/>
        <w:jc w:val="left"/>
        <w:tblInd w:w="0" w:type="dxa"/>
        <w:tblLayout w:type="fixed"/>
        <w:tblCellMar>
          <w:top w:w="0" w:type="dxa"/>
          <w:left w:w="0" w:type="dxa"/>
          <w:bottom w:w="0" w:type="dxa"/>
          <w:right w:w="0" w:type="dxa"/>
        </w:tblCellMar>
      </w:tblPr>
      <w:tblGrid>
        <w:gridCol w:w="2240"/>
        <w:gridCol w:w="60"/>
        <w:gridCol w:w="169"/>
        <w:gridCol w:w="1146"/>
        <w:gridCol w:w="81"/>
        <w:gridCol w:w="81"/>
        <w:gridCol w:w="169"/>
        <w:gridCol w:w="1146"/>
        <w:gridCol w:w="60"/>
        <w:gridCol w:w="60"/>
        <w:gridCol w:w="125"/>
        <w:gridCol w:w="755"/>
        <w:gridCol w:w="80"/>
        <w:gridCol w:w="60"/>
        <w:gridCol w:w="137"/>
        <w:gridCol w:w="768"/>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by Reportable Segment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3,470,966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3,599,149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738,181</w:t>
            </w:r>
          </w:p>
        </w:tc>
        <w:tc>
          <w:tcPr>
            <w:tcW w:w="81"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4,209,147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07"/>
        <w:gridCol w:w="60"/>
        <w:gridCol w:w="177"/>
        <w:gridCol w:w="1200"/>
        <w:gridCol w:w="60"/>
        <w:gridCol w:w="60"/>
        <w:gridCol w:w="233"/>
        <w:gridCol w:w="1217"/>
        <w:gridCol w:w="80"/>
        <w:gridCol w:w="60"/>
        <w:gridCol w:w="125"/>
        <w:gridCol w:w="845"/>
        <w:gridCol w:w="80"/>
        <w:gridCol w:w="60"/>
        <w:gridCol w:w="177"/>
        <w:gridCol w:w="1200"/>
        <w:gridCol w:w="60"/>
        <w:gridCol w:w="60"/>
        <w:gridCol w:w="233"/>
        <w:gridCol w:w="1217"/>
        <w:gridCol w:w="80"/>
        <w:gridCol w:w="60"/>
        <w:gridCol w:w="125"/>
        <w:gridCol w:w="845"/>
        <w:gridCol w:w="84"/>
      </w:tblGrid>
      <w:tr>
        <w:trPr/>
        <w:tc>
          <w:tcPr>
            <w:tcW w:w="1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5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 by Reportable Segment</w:t>
            </w:r>
          </w:p>
        </w:tc>
        <w:tc>
          <w:tcPr>
            <w:tcW w:w="84" w:type="dxa"/>
            <w:tcBorders/>
            <w:shd w:fill="FFFF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 2024</w:t>
            </w:r>
          </w:p>
        </w:tc>
        <w:tc>
          <w:tcPr>
            <w:tcW w:w="84" w:type="dxa"/>
            <w:tcBorders/>
            <w:shd w:fill="FFFF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w:t>
            </w:r>
          </w:p>
        </w:tc>
        <w:tc>
          <w:tcPr>
            <w:tcW w:w="84" w:type="dxa"/>
            <w:tcBorders/>
            <w:shd w:fill="FFFFFF" w:val="clear"/>
            <w:vAlign w:val="center"/>
          </w:tcPr>
          <w:p>
            <w:pPr>
              <w:pStyle w:val="TableContents"/>
              <w:bidi w:val="0"/>
              <w:spacing w:before="0" w:after="283"/>
              <w:jc w:val="left"/>
              <w:rPr/>
            </w:pPr>
            <w:r>
              <w:rPr/>
              <w:t> </w:t>
            </w:r>
          </w:p>
        </w:tc>
      </w:tr>
      <w:tr>
        <w:trPr/>
        <w:tc>
          <w:tcPr>
            <w:tcW w:w="18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Domestic</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3,470,966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3,494,171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3,599,149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1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35,932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3,635,081</w:t>
            </w:r>
          </w:p>
        </w:tc>
        <w:tc>
          <w:tcPr>
            <w:tcW w:w="84" w:type="dxa"/>
            <w:tcBorders/>
            <w:shd w:fill="CCEE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International</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738,181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777,431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696,685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725,385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18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Intercompany elimination</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(62,455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(62,455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(64,632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(64,632</w:t>
            </w:r>
          </w:p>
        </w:tc>
        <w:tc>
          <w:tcPr>
            <w:tcW w:w="8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0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4,209,147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4,209,147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4,295,834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4,295,834</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766" w:type="dxa"/>
        <w:jc w:val="left"/>
        <w:tblInd w:w="0" w:type="dxa"/>
        <w:tblLayout w:type="fixed"/>
        <w:tblCellMar>
          <w:top w:w="0" w:type="dxa"/>
          <w:left w:w="0" w:type="dxa"/>
          <w:bottom w:w="0" w:type="dxa"/>
          <w:right w:w="0" w:type="dxa"/>
        </w:tblCellMar>
      </w:tblPr>
      <w:tblGrid>
        <w:gridCol w:w="1985"/>
        <w:gridCol w:w="60"/>
        <w:gridCol w:w="252"/>
        <w:gridCol w:w="1405"/>
        <w:gridCol w:w="121"/>
        <w:gridCol w:w="121"/>
        <w:gridCol w:w="252"/>
        <w:gridCol w:w="1405"/>
        <w:gridCol w:w="60"/>
        <w:gridCol w:w="60"/>
        <w:gridCol w:w="131"/>
        <w:gridCol w:w="684"/>
        <w:gridCol w:w="80"/>
        <w:gridCol w:w="60"/>
        <w:gridCol w:w="108"/>
        <w:gridCol w:w="797"/>
        <w:gridCol w:w="18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Adjusted EBITDA by Reportable Segment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597,915</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117,627</w:t>
            </w:r>
          </w:p>
        </w:tc>
        <w:tc>
          <w:tcPr>
            <w:tcW w:w="121"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18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715,542</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net sales by product class for the periods indicated:</w:t>
      </w:r>
    </w:p>
    <w:p>
      <w:pPr>
        <w:pStyle w:val="TextBody"/>
        <w:bidi w:val="0"/>
        <w:spacing w:before="0" w:after="0"/>
        <w:ind w:left="0" w:right="0" w:hanging="0"/>
        <w:jc w:val="both"/>
        <w:rPr/>
      </w:pPr>
      <w:r>
        <w:rPr/>
        <w:t> </w:t>
      </w:r>
    </w:p>
    <w:tbl>
      <w:tblPr>
        <w:tblW w:w="7320" w:type="dxa"/>
        <w:jc w:val="left"/>
        <w:tblInd w:w="0" w:type="dxa"/>
        <w:tblLayout w:type="fixed"/>
        <w:tblCellMar>
          <w:top w:w="0" w:type="dxa"/>
          <w:left w:w="0" w:type="dxa"/>
          <w:bottom w:w="0" w:type="dxa"/>
          <w:right w:w="0" w:type="dxa"/>
        </w:tblCellMar>
      </w:tblPr>
      <w:tblGrid>
        <w:gridCol w:w="2780"/>
        <w:gridCol w:w="60"/>
        <w:gridCol w:w="136"/>
        <w:gridCol w:w="924"/>
        <w:gridCol w:w="65"/>
        <w:gridCol w:w="65"/>
        <w:gridCol w:w="136"/>
        <w:gridCol w:w="924"/>
        <w:gridCol w:w="60"/>
        <w:gridCol w:w="60"/>
        <w:gridCol w:w="125"/>
        <w:gridCol w:w="755"/>
        <w:gridCol w:w="80"/>
        <w:gridCol w:w="60"/>
        <w:gridCol w:w="137"/>
        <w:gridCol w:w="768"/>
        <w:gridCol w:w="185"/>
      </w:tblGrid>
      <w:tr>
        <w:trPr/>
        <w:tc>
          <w:tcPr>
            <w:tcW w:w="27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by Product Class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2,266,912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2,433,474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1,457,385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484,850</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4,209,147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Net sales.    </w:t>
      </w:r>
      <w:r>
        <w:rPr>
          <w:rFonts w:ascii="Times New Roman;Times;serif" w:hAnsi="Times New Roman;Times;serif"/>
          <w:sz w:val="20"/>
        </w:rPr>
        <w:t>The decrease in domestic segment sales for the year ended December 31, 2025, was primarily driven by a decrease in residential product sales, most notably in home standby and portable generators as a result of the significantly lower power outage environment together with a strong prior year comparison which included multiple major landed hurricanes. This was partially offset by robust growth in residential energy technology sales, revenue from products sold to data center customers, and higher shipments of C&amp;I products to the industrial distributor and telecom channels.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international segment sales for the year ended December 31, 2025, was primarily driven by revenue to data center customers, an increase in global sales of controls solutions, and the favorable impact of foreign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total net sales from non-annualized acquisitions for the year ended December 31, 2025, were $28.3 million, entirely in the domestic segment. </w:t>
      </w:r>
    </w:p>
    <w:p>
      <w:pPr>
        <w:pStyle w:val="TextBody"/>
        <w:bidi w:val="0"/>
        <w:jc w:val="both"/>
        <w:rPr/>
      </w:pPr>
      <w:r>
        <w:rPr/>
        <w:t xml:space="preserve">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Gross profit.    </w:t>
      </w:r>
      <w:r>
        <w:rPr>
          <w:rFonts w:ascii="Times New Roman;Times;serif" w:hAnsi="Times New Roman;Times;serif"/>
          <w:sz w:val="20"/>
        </w:rPr>
        <w:t>Gross profit margin for the year ended December 31, 2025 was 38.3% compared to 38.8% for the year ended December 31, 2024. The decrease in gross profit margin was primarily driven by higher inputs costs, unfavorable sales mix, and a certain inventory provision as disclosed in the reconciliation table below. This decline was partially offset by higher price realization.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Operating expenses.    </w:t>
      </w:r>
      <w:r>
        <w:rPr>
          <w:rFonts w:ascii="Times New Roman;Times;serif" w:hAnsi="Times New Roman;Times;serif"/>
          <w:sz w:val="20"/>
        </w:rPr>
        <w:t>Operating expenses increased $193.7 million, or 17.2%  as compared to the prior year. The increase in operating expenses was driven by higher employee &amp; marketing costs along with higher warranty provision related to the Department of Energy program in Puerto Rico, partially offset by lower incentive-based compensation. 2025 operating expenses also include $142.3 million of legal provisions, settlements, patent related costs, and other costs related to certain legal matters. (see Note 18, “Commitments and Contingencies” to the consolidated financial statements in Item 8 of this Annual Report on Form 10-K for additional information).  2024 operating expenses included $10.5 million of legal provisions and other costs related to patent and other litigation (see Note 18, “Commitments and Contingencies” to the consolidated financial statements in Item 8 of this Annual Report on Form 10-K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expense.    </w:t>
      </w:r>
      <w:r>
        <w:rPr>
          <w:rFonts w:ascii="Times New Roman;Times;serif" w:hAnsi="Times New Roman;Times;serif"/>
          <w:sz w:val="20"/>
        </w:rPr>
        <w:t>The decrease in other expense, net in 2025 was driven primarily by a reduced loss from the change in fair value of our investment in warrants and equity securities of Wallbox N.V. and a decrease in interest expense, as compared to the prior year.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The effective income tax rates for the years ended December 31, 2025 and 2024 were 18.9%  and 22.6%, respectively. The decrease in the effective tax rate was driven primarily by the impact of certain discrete tax items and their impact on a lower pre-tax income in the current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Net income attributable to Generac Holdings Inc.</w:t>
      </w:r>
      <w:r>
        <w:rPr>
          <w:rFonts w:ascii="Times New Roman;Times;serif" w:hAnsi="Times New Roman;Times;serif"/>
          <w:sz w:val="20"/>
        </w:rPr>
        <w:t>    Net income attributable to Generac Holdings Inc. was $159.6 million as compared to $316.3 million in the prior year period. The decrease was primarily driven by lower sales and gross margin, along with the higher 2025 operating expenses noted above.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Adjusted EBITDA.    </w:t>
      </w:r>
      <w:r>
        <w:rPr>
          <w:rFonts w:ascii="Times New Roman;Times;serif" w:hAnsi="Times New Roman;Times;serif"/>
          <w:sz w:val="20"/>
        </w:rPr>
        <w:t>Adjusted EBITDA is defined and reconciled to net income in, “Non-GAAP Measures – Adjusted EBITDA” included below in Item 7 of this Annual Report on Form 10-K. Adjusted EBITDA margins for the domestic segment for the year ended December 31, 2025 were 17.1% of domestic segment total sales compared to 19.1% for the year ended December 31, 2024. This margin decline was primarily driven by unfavorable sales mix, higher input costs, and operating deleverage on lower sales volumes, partially offset by increased price cost realization.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margins for the international segment, before deducting for non-controlling interests, for the year ended December 31, 2025 were 15.1% of international segment total sales compared to 13.2% in the prior year. This margin increase was primarily due to favorable sales mix and price/cost realization.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Adjusted net income.    </w:t>
      </w:r>
      <w:r>
        <w:rPr>
          <w:rFonts w:ascii="Times New Roman;Times;serif" w:hAnsi="Times New Roman;Times;serif"/>
          <w:sz w:val="20"/>
        </w:rPr>
        <w:t>Adjusted Net Income is defined and reconciled to net income in, “Non-GAAP Measures – Adjusted Net Income” included below in Item 7 of this Annual Report on Form 10-K. Adjusted Net Income was $376.0 million for the year ended December 31, 2025 compared to $438.5 million for the year ended December 31, 2024, with the decrease primarily due to lower net income in the current year as outlined above, together with the impact of various add-backs in the current and prior years.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Financial Position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primary cash requirements include payment for raw materials and components, salaries and benefits, facility and lease costs, operating expenses, interest and principal payments on debt, and capital expenditures. We finance our operations primarily from cash flow generated from operations and, if necessary, borrowings under our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 2025, we amended our Original Tranche A Term Loan Facility and Original Revolving Facility (Prior Amended Credit Agreement), extending the maturity of both to July 1, 2030, revising the Original Tranche A Term Loan Facility outstanding principal balance to $700 million (New Tranche A Term Loan Facility), reducing the Original Revolving Facility borrowing capacity to $1 billion (New Revolving Facility) (collectively the New Credit Agreements) and redefining the Term Benchmark (as defined in the Prior Amended Credit Agreement) to replace the Adjusted Term SOFR Rate (as defined in the Prior Amended Credit Agreement) with the Term SOFR Rate (as defined in the New Credit Agreements), resulting in an interest rate reduction of 0.10%. The New Tranche A Term Loan Facility is repayable in increasing quarterly installments over time, equal to 0.625% to 2.50% of the original principal amount, beginning on October 1, 2026. The New Tranche A Term Loan Facility and the New Revolving Facility bear interest at a rate based on SOFR plus an applicable margin between 1.25% and 1.75%, both based on our total leverage ratio and subject to a SOFR floor of 0.0%. As of December 31, 2025, the interest rate for the New Tranche A Term Loan Facility and the New Revolving Facility was 5.12%.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ASC 470-50, we capitalized $5.3 million of debt issuance costs related to this refinancing transaction. Additionally, we wrote-off certain unamortized deferred financing costs related to the Original Revolving Facility of $0.4 million and expensed $0.8 million of third-party fees as a loss on refinancing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there was $494 million outstanding under the Term Loan B Facility, $700 million outstanding under the New Tranche A Term Loan Facility, and there were no borrowings on the New Revolving Facility, leaving $999.3 million of unused capacity, net of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Loan B Facility bears interest at the adjusted SOFR rate plus an applicable margin of 1.75%, subject to a SOFR floor of 0.0%. As of December 31, 2025, the interest rate for the Term Loan B Facility was 5.62%. The Term Loan B Facility does not require an Excess Cash Flow payment (as defined in the Term Loan B Facility credit agreement) if our net secured leverage ratio is maintained below 3.75 to 1.00. As of December 31, 2025, our net secured leverage ratio was 1.32 to 1.00, and we were in compliance with all covenants of the Facility. There are no financial maintenance covenants on the Term Loan B Facility. The New Tranche A Term Loan Facility and the New Revolving Facility contain certain financial covenants that require us to maintain a total leverage ratio below 3.75 to 1.00, as well as an interest coverage ratio above 3.00 to 1.00. As of December 31, 2025, our total leverage ratio was 1.39 to 1.00, and our interest coverage ratio was 11.76 to 1.00. We were also in compliance with all other covenants of the New Credit Agreements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12, 2024, our Board of Directors approved a stock repurchase program that allowed for the repurchase of up to $500.0 million of our common stock over a twenty-four-month period. Additionally, on February 9, 2026, our Board of Directors approved a new stock repurchase program that allows for the repurchase of up to $500.0 million of our common stock over the next twenty-four months. The new program replaces the prior share repurchase program, which had approximately $199.3 million remaining available for repurchase when the new program was approved. Pursuant to the approved program, we may repurchase our common stock from time to time, in amounts and at prices we deem appropriate, subject to market conditions and other considerations. The repurchases may be executed using a combination of Rule 10b5-1 trading plans, open market purchases, privately negotiated agreements, or other transactions. The actual timing, number and value of shares repurchased under the program will be determined by management at its discretion and in compliance with the terms of our credit agreements. The repurchases may be funded with cash on hand, available borrowings, or proceeds from potential debt or other capital markets sources. The stock repurchase program may be suspended or discontinued at any time without prior notice.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years ended December 31, 2025, and 2024, we repurchased 1,109,206 shares of our common stock for $147.9 million, and 1,046,351 shares of our common stock for $152.7 million, respectively. We have periodically reissued shares out of Treasury stock, including for acquisition contingent consideration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arrangement with a finance company to provide floor plan financing for qualifying dealers. This arrangement provides liquidity for our dealers by financing dealer purchases of Generac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at cost. We do not indemnify the finance company for any credit losses they may incur. Total dealer purchases financed under this arrangement accounted for approximately 13% of net sales for the years ended December 31, 2025 and 2024. The amount financed by dealers which remained outstanding was $149.7 million and $165.4 million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12, “Credit Agreements,” and Note 13, “Stock Repurchase Program,” to the consolidated financial statements included in Item 8 of this Annual Report on Form 10-K for more information on our credit agreements and stock repurchase programs. See Note 10, “Leases,” to the consolidated financial statements included in Item 8 of this Annual Report on Form 10-K for the maturity schedule of our lease liabilities.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Long-term Liquidity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we had total liquidity of $1,340.7 million which consisted of $341.4 million of cash and cash equivalents and $999.3 million of availability under our New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cash and cash equivalents, cash flow from operations, availability under our New Revolving Facility and other short-term lines of credit will provide us with sufficient capital to continue to run our operations. We may use a portion of our cash flow for debt repayments and common stock buybacks, impacting the amount available for working capital, capital expenditures, acquisitions, and other general corporate purposes. As we continue to expand our business, we may require additional capital to fund other activities that could potentially drive incremental shareholder value.</w:t>
      </w:r>
    </w:p>
    <w:p>
      <w:pPr>
        <w:pStyle w:val="TextBody"/>
        <w:bidi w:val="0"/>
        <w:spacing w:before="0" w:after="0"/>
        <w:ind w:left="0" w:right="0" w:hanging="0"/>
        <w:jc w:val="both"/>
        <w:rPr>
          <w:color w:val="FF0000"/>
        </w:rPr>
      </w:pPr>
      <w:r>
        <w:rPr>
          <w:color w:val="FF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Year ended December 31, 2025 compared to year ended December 31,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by source (use) for the periods presented:</w:t>
      </w:r>
    </w:p>
    <w:p>
      <w:pPr>
        <w:pStyle w:val="TextBody"/>
        <w:bidi w:val="0"/>
        <w:spacing w:before="0" w:after="0"/>
        <w:ind w:left="0" w:right="0" w:hanging="0"/>
        <w:jc w:val="both"/>
        <w:rPr/>
      </w:pPr>
      <w:r>
        <w:rPr/>
        <w:t> </w:t>
      </w:r>
    </w:p>
    <w:tbl>
      <w:tblPr>
        <w:tblW w:w="10148" w:type="dxa"/>
        <w:jc w:val="left"/>
        <w:tblInd w:w="0" w:type="dxa"/>
        <w:tblLayout w:type="fixed"/>
        <w:tblCellMar>
          <w:top w:w="0" w:type="dxa"/>
          <w:left w:w="0" w:type="dxa"/>
          <w:bottom w:w="0" w:type="dxa"/>
          <w:right w:w="0" w:type="dxa"/>
        </w:tblCellMar>
      </w:tblPr>
      <w:tblGrid>
        <w:gridCol w:w="5615"/>
        <w:gridCol w:w="60"/>
        <w:gridCol w:w="146"/>
        <w:gridCol w:w="884"/>
        <w:gridCol w:w="93"/>
        <w:gridCol w:w="70"/>
        <w:gridCol w:w="146"/>
        <w:gridCol w:w="884"/>
        <w:gridCol w:w="80"/>
        <w:gridCol w:w="60"/>
        <w:gridCol w:w="125"/>
        <w:gridCol w:w="755"/>
        <w:gridCol w:w="80"/>
        <w:gridCol w:w="60"/>
        <w:gridCol w:w="89"/>
        <w:gridCol w:w="816"/>
        <w:gridCol w:w="185"/>
      </w:tblGrid>
      <w:tr>
        <w:trPr/>
        <w:tc>
          <w:tcPr>
            <w:tcW w:w="5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437,978</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(303,323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(172,904</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(208,712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(212,719</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7,781</w:t>
            </w:r>
          </w:p>
        </w:tc>
        <w:tc>
          <w:tcPr>
            <w:tcW w:w="93"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60,136</w:t>
            </w:r>
          </w:p>
        </w:tc>
        <w:tc>
          <w:tcPr>
            <w:tcW w:w="93"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80,283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18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decrease in net cash provided by operating activities was primarily driven by a significant reduction in net working capital in the prior year which did not repeat and lower operating earnings as compared to the prior year. This was partially offset by lower cash tax payments.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$172.9 million net cash used in investing activities for the year ended December 31, 2025 primarily represents cash payments of $169.9 million for the purchase of property and equipment (net of $12.2 million of capital expenditures in accounts payable as of December 31, 2025), $3.0 million for the purchase of long-term investments, and $3.1 million related to other investing activities. These were partially offset by $3.1 million of cash proceeds received from the sale of property and equipment.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$208.7 million net cash used in investing activities for the year ended December 31, 2024 primarily represents cash payments of $136.7 million for the purchase of property and equipment (net of $11.1 million of capital expenditures in accounts payable as of December 31, 2024), $35.0 million for an incremental minority investment in Wallbox N.V., $2.8 million for a minority investment in Earth Foundry Fund, $1.6 million for a tax equity investment, and $34.7 million collectively for the acquisitions of Huntington, C&amp;I BESS, Ageto, and Wolverine. These were partially offset by $2.0 million of cash proceeds from the sale of our minority interest in Rolling Energy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$212.7 million net cash used in financing activities for the year ended December 31, 2025 primarily represents proceeds of $36.4 million from short-term borrowings, $132.8 million from long-term borrowings, $1.0 million of contributions received from the noncontrolling interest holder of a subsidiary, and $4.9 million from the exercise of stock options. These cash proceeds were more than offset by $216.7 million of debt repayments ($48.2 million of short-term borrowings and $168.5 million of long-term borrowings and finance lease obligations), $147.9 million of share repurchases, $5.3 million of debt issuance costs, $2.7 million payment of contingent acquisition consideration, $14.3 million for taxes paid related to equity awards, and $0.9 million of other financing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$448.8 million net cash used in financing activities for the year ended December 31, 2024 primarily represents $849.1 million of debt repayments ($54.5 million of short-term borrowings and $794.6 million of long-term borrowings and finance lease obligations), $152.7 million of stock repurchases, a $9.1 million payment for the remaining ownership interest in Captiva, $7.4 million of payments for deferred acquisition consideration, $24.8 million for taxes paid related to equity awards, and $3.6 million of payments for debt issuance costs related to our amended Tranche B Term Loan credit agreement refinancing. These uses of cash were partially offset by proceeds of $29.2 million from short-term borrowings, $541.5 million from long-term borrowings, and $27.6 million from the exercise of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Senior Secured Credit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12, “Credit Agreements,” to the consolidated financial statements in Item 8 of this Annual Report on Form 10-K for information on our senior secured credit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Covenant Compliance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Term Loans restrict the aggregate amount of dividends and distributions that can be paid and, in certain circumstances, requires pro forma compliance with certain fixed charge coverage ratios or gross leverage ratios, as applicable, in order to pay certain dividends and distributions. Our Term Loans also contain other affirmative and negative covenants that, among other things, limit the incurrence of additional indebtedness, liens on property, sale and leaseback transactions, investments, loans and advances, mergers or consolidations, asset sales, acquisitions, transactions with affiliates, prepayments of certain other indebtedness, and modifications of our organizational documents. The New Tranche A Term Loan Facility and the New Revolving Facility contain certain financial covenants that require the Company to maintain a total leverage ratio below 3.75 to 1.00, an interest coverage ratio above 3.00 to 1.00, and may require an excess cash flow payment. As of December 31, 2025, the Company’s total leverage ratio was 1.39 to 1.00, and the Company's interest coverage ratio was 11.76 to 1.00. The Company was not required to make an excess cash flow payment as of December 31, 2025. The Company was also in compliance with all other covenants of the Amended Credit Agreement as of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Term Loans contain customary events of default, including, among others, nonpayment of principal, interest or other amounts, failure to perform covenants, inaccuracy of representations or warranties in any material respect, cross-defaults with other material indebtedness, certain undischarged judgments, the occurrence of certain ERISA, bankruptcy or insolvency events, or the occurrence of a change in control (as defined in the Amended Credit Agreement). A bankruptcy or insolvency event of default will cause the obligations under the Term Loans to automatically become immediately due and payable.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Revolving Facility also contains covenants and events of default substantially similar to those in the Term Loans, as described above.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operations require capital expenditures for facilities and related improvements, technology, research &amp; development, tooling, equipment, capacity expansion, internal use software, IT systems &amp; infrastructure, and upgrades. Capital expenditures were $169.9 million, $136.7 million, and $129.1 million in the years ended December 31, 2025, 2024 and 2023, respectively, and were funded primarily from cash from operations.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preparing the financial statements, management is required to make estimates and assumptions that have an impact on the asset, liability, revenue and expense amounts reported. These estimates can also affect our supplemental information disclosures, including information about contingencies, risk and financial condition. We believe, given current facts and circumstances, that our estimates and assumptions are reasonable, adhere to U.S. generally accepted accounting principles (U.S. GAAP), and are consistently applied. Inherent in the nature of an estimate or assumption is the fact that actual results may differ from estimates and estimates may vary as new facts and circumstances arise. We make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and income taxes. The following is a discussion of critical accounting estimates in each of these areas.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Goodwill and Other Indefinite-Lived Intangible</w:t>
      </w:r>
      <w:r>
        <w:rPr>
          <w:rFonts w:ascii="Times New Roman;Times;serif" w:hAnsi="Times New Roman;Times;serif"/>
          <w:sz w:val="20"/>
        </w:rPr>
        <w:t xml:space="preserve"> </w:t>
      </w:r>
      <w:r>
        <w:rPr>
          <w:rFonts w:ascii="Times New Roman;Times;serif" w:hAnsi="Times New Roman;Times;serif"/>
          <w:b/>
          <w:i/>
          <w:sz w:val="20"/>
        </w:rPr>
        <w:t>Assets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preparing a discounted cash flow analysis for purposes of our annual impairment test, we make a number of key estimates and assumptions. We estimate the future cash flows of the business based on historical and forecasted revenues and operating costs. In addition, we apply a discount rate to the estimated future cash flows for the purpose of the valuation. This discount rate is based on the estimated weighted average cost of capital for the underlying business and may change from year to year. Weighted average cost of capital includes certain assumptions such as market capital structures, market betas, risk-free rate of return and estimated costs of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our October 31, 2025 impairment test calculation, the Clean Energy reporting unit had an estimated fair value that exceeded its carrying value by approximately 20%. The carrying value of the Clean Energy goodwill was $79.0 million. Key financial assumptions utilized to determine the fair value of the reporting unit include accelerating long-term demand growth due to a confluence of factors expected to drive power prices meaningfully higher in the future, cost improvements in renewable energy and energy storage technologies which are expected to improve profit margins, the development and launch of additional products, a 3% terminal growth rate and a 13.6% discount rate. The reporting unit’s fair value would approximate its carrying value with a 100 basis point increase in the discount rate or a 210 basis point reduction in the compound annual sales growth rate and terminal growth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above, a considerable amount of management judgment and assumptions are required in performing the goodwill and indefinite-lived intangible asset impairment tests.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pStyle w:val="TextBody"/>
        <w:bidi w:val="0"/>
        <w:spacing w:before="0" w:after="0"/>
        <w:ind w:left="0" w:right="0" w:hanging="0"/>
        <w:jc w:val="both"/>
        <w:rPr/>
      </w:pPr>
      <w:r>
        <w:rPr/>
        <w:t> </w:t>
      </w:r>
    </w:p>
    <w:tbl>
      <w:tblPr>
        <w:tblW w:w="4450" w:type="dxa"/>
        <w:jc w:val="left"/>
        <w:tblInd w:w="0" w:type="dxa"/>
        <w:tblLayout w:type="fixed"/>
        <w:tblCellMar>
          <w:top w:w="0" w:type="dxa"/>
          <w:left w:w="0" w:type="dxa"/>
          <w:bottom w:w="0" w:type="dxa"/>
          <w:right w:w="0" w:type="dxa"/>
        </w:tblCellMar>
      </w:tblPr>
      <w:tblGrid>
        <w:gridCol w:w="60"/>
        <w:gridCol w:w="170"/>
        <w:gridCol w:w="4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a rising interest rate environment;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2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prolonged global or regional economic downturn;</w:t>
            </w:r>
          </w:p>
        </w:tc>
      </w:tr>
    </w:tbl>
    <w:tbl>
      <w:tblPr>
        <w:tblW w:w="4585" w:type="dxa"/>
        <w:jc w:val="left"/>
        <w:tblInd w:w="0" w:type="dxa"/>
        <w:tblLayout w:type="fixed"/>
        <w:tblCellMar>
          <w:top w:w="0" w:type="dxa"/>
          <w:left w:w="0" w:type="dxa"/>
          <w:bottom w:w="0" w:type="dxa"/>
          <w:right w:w="0" w:type="dxa"/>
        </w:tblCellMar>
      </w:tblPr>
      <w:tblGrid>
        <w:gridCol w:w="60"/>
        <w:gridCol w:w="170"/>
        <w:gridCol w:w="4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3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decrease in the demand for our products;</w:t>
            </w:r>
          </w:p>
        </w:tc>
      </w:tr>
    </w:tbl>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inability to develop new and enhanced products and services in a timely manner;</w:t>
            </w:r>
          </w:p>
        </w:tc>
      </w:tr>
    </w:tbl>
    <w:tbl>
      <w:tblPr>
        <w:tblW w:w="7795" w:type="dxa"/>
        <w:jc w:val="left"/>
        <w:tblInd w:w="0" w:type="dxa"/>
        <w:tblLayout w:type="fixed"/>
        <w:tblCellMar>
          <w:top w:w="0" w:type="dxa"/>
          <w:left w:w="0" w:type="dxa"/>
          <w:bottom w:w="0" w:type="dxa"/>
          <w:right w:w="0" w:type="dxa"/>
        </w:tblCellMar>
      </w:tblPr>
      <w:tblGrid>
        <w:gridCol w:w="60"/>
        <w:gridCol w:w="170"/>
        <w:gridCol w:w="7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5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adverse change in legal factors, the business climate, or regulatory environment;</w:t>
            </w:r>
          </w:p>
        </w:tc>
      </w:tr>
    </w:tbl>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8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adverse action or assessment by a regulator;</w:t>
            </w:r>
          </w:p>
        </w:tc>
      </w:tr>
    </w:tbl>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inability to gain market share in our markets;</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disruptions to the Company’s business;</w:t>
            </w:r>
          </w:p>
        </w:tc>
      </w:tr>
    </w:tbl>
    <w:tbl>
      <w:tblPr>
        <w:tblW w:w="4555" w:type="dxa"/>
        <w:jc w:val="left"/>
        <w:tblInd w:w="0" w:type="dxa"/>
        <w:tblLayout w:type="fixed"/>
        <w:tblCellMar>
          <w:top w:w="0" w:type="dxa"/>
          <w:left w:w="0" w:type="dxa"/>
          <w:bottom w:w="0" w:type="dxa"/>
          <w:right w:w="0" w:type="dxa"/>
        </w:tblCellMar>
      </w:tblPr>
      <w:tblGrid>
        <w:gridCol w:w="60"/>
        <w:gridCol w:w="170"/>
        <w:gridCol w:w="4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3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inability to effectively integrate acquired businesses;</w:t>
            </w:r>
          </w:p>
        </w:tc>
      </w:tr>
    </w:tbl>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left"/>
              <w:rPr/>
            </w:pPr>
            <w:r>
              <w:rPr/>
              <w:t>loss of key management and employees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unexpected or unplanned changes in the use of assets or entity structure; and</w:t>
            </w:r>
          </w:p>
        </w:tc>
      </w:tr>
    </w:tbl>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7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business divestitures.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management's estimates of future operating results change or if there are changes to other assumptions due to these factors, the estimate of the fair values may change significantly. Such change could result in impairment charges in future periods, which could have a significant impact on our operating results and financial condition. We performed the required annual impairment tests for goodwill and other indefinite-lived intangible assets for the fiscal years 2025, 2024 and 2023, and found no impairment.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2, “Summary of Accounting Policies – Goodwill and Other Indefinite-Lived Intangible Assets,” to the consolidated financial statements in Item 8 of this Annual Report on Form 10-K for further information on the Company’s policy regarding the accounting for goodwill and other indefinite-lived intangible assets.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in accordance with Accounting Standards Codification (ASC) 740, </w:t>
      </w:r>
      <w:r>
        <w:rPr>
          <w:rFonts w:ascii="Times New Roman;Times;serif" w:hAnsi="Times New Roman;Times;serif"/>
          <w:i/>
          <w:sz w:val="20"/>
        </w:rPr>
        <w:t>Income Taxes</w:t>
      </w:r>
      <w:r>
        <w:rPr>
          <w:rFonts w:ascii="Times New Roman;Times;serif" w:hAnsi="Times New Roman;Times;serif"/>
          <w:sz w:val="20"/>
        </w:rPr>
        <w:t>. Our estimates of income taxes payable, deferred income taxes and the effective tax rate are based on an analysis of many factors including interpretations of federal, state and international income tax laws; the difference between tax and financial reporting bases of assets and liabilities; estimates of amounts currently due or owed in various jurisdictions; and current accounting standards. We review and update our estimates on a quarterly basis as facts and circumstances change and actual results are known. In assessing the net realizable value of the deferred tax assets on our balance sheet, we consider whether it is more likely than not that some portion or all of the deferred tax assets will not be realized. The ultimate realization of deferred tax assets is dependent on the generation of future taxable income during the years in which those temporary differences become deductible. We consider the taxable income in prior carryback years, scheduled reversal of deferred tax liabilities, projected future taxable income and tax planning strategies in making this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Note 15, “Income Taxes,” to the consolidated financial statements in Item 8 of this Annual Report on Form 10-K for further information on the Company’s income taxes and income tax positions.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New Accounting Standards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information on new accounting pronouncements and the impact of these pronouncements on our consolidated financial statements, refer to Note 2, “Summary of Accounting Policies - New Accounting Pronouncements,” to the consolidated financial statements in Item 8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Non-GAAP Measures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supplement our consolidated financial statements presented in accordance with U.S. GAAP, the Company provides the computation of Adjusted EBITDA attributable to the Company, which is defined as net income before noncontrolling interests adjusted for the following items: interest expense, depreciation expense, amortization of intangible assets, income tax expense, certain non-cash gains and losses including certain purchase accounting adjustments and contingent consideration adjustments, share-based compensation expense, certain transaction costs and credit facility fees, business optimization expenses, provision for certain legal and regulatory charges, certain other specific provisions, mark-to-market gains and losses on a minority investment, and Adjusted EBITDA attributable to noncontrolling interests. The provision for legal and regulatory charges adjusts for matters that are significant and not part of the ordinary routine litigation or regulatory matters incidental to the Company’s business, such as large suits and settlements, class action lawsuits, government inquiries, and certain intellectual property litigation. The adjustments to net income in computing Adjusted EBITDA are set forth in the reconciliation table below. The computation of Adjusted EBITDA is based primarily on the definition included in our Amended Credit Agreement.</w:t>
      </w:r>
    </w:p>
    <w:p>
      <w:pPr>
        <w:pStyle w:val="TextBody"/>
        <w:bidi w:val="0"/>
        <w:jc w:val="both"/>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certain items that we do not believe are indicative of our core operating performance. Our management uses Adjusted EBITDA:</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planning purposes, including the preparation of our annual operating budget and developing and refining our internal projections for future periods;</w:t>
            </w:r>
          </w:p>
        </w:tc>
      </w:tr>
    </w:tbl>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allocate resources to enhance the financial performance of our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target for the determination of the bonus component of compensation for our senior executives under our management incentive plan, as described further in our Proxy Statement;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evaluate the effectiveness of our business strategies and as a supplemental tool in evaluating our performance against our budget for each period; and</w:t>
            </w:r>
          </w:p>
        </w:tc>
      </w:tr>
    </w:tbl>
    <w:tbl>
      <w:tblPr>
        <w:tblW w:w="7330" w:type="dxa"/>
        <w:jc w:val="left"/>
        <w:tblInd w:w="0" w:type="dxa"/>
        <w:tblLayout w:type="fixed"/>
        <w:tblCellMar>
          <w:top w:w="0" w:type="dxa"/>
          <w:left w:w="0" w:type="dxa"/>
          <w:bottom w:w="0" w:type="dxa"/>
          <w:right w:w="0" w:type="dxa"/>
        </w:tblCellMar>
      </w:tblPr>
      <w:tblGrid>
        <w:gridCol w:w="60"/>
        <w:gridCol w:w="170"/>
        <w:gridCol w:w="71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1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communications with our Board and investors concerning our financial performance.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and similar non-GAAP measures are widely used by investors to measure a company's operating performance excluding the impact of items that can vary substantially from company to company depending upon financing and accounting methods, book values of assets, tax jurisdictions, capital structures and the methods by which assets were acquired;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investors can use Adjusted EBITDA as a supplemental measure to evaluate the overall operating performance of our Company, including our ability to service our debt and other cash needs;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comparing our Adjusted EBITDA in different historical periods, our investors can evaluate our operating performance excluding the impact of items described below.</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included in the reconciliation table listed below are presented to illustrate the operating performance of our business in a manner consistent with the presentation used by our management and Board. These adjustments eliminate the impact of a number of items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consider indicative of our ongoing operating performance, such as non-cash write-downs and other charges, non-cash gains, write-offs relating to the retirement of debt, severance costs and other restructuring-related business optimization expenses, provision for certain legal and regulatory charges, certain other specific provisions, and mark-to-market gains and losses on a minority investment;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to be akin to, or associated with, interest expense, such as administrative agent fees, revolving credit facility commitment fees and letter of credit fees;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are non-cash in nature, such as share-based compensation expense; or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provision for legal and regulatory charges adjusts for matters that are significant and not part of the ordinary routine litigation or regulatory matters incidental to the Company’s business, including but not limited to large suits and settlements, class action lawsuits, government inquiries, and certain intellectual property litigation.</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explain in more detail in the footnotes (a) through (g) below why we believe these adjustments are useful in calculating Adjusted EBITDA as a measure of our operating performance.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our cash expenditures, or future requirements for capital expenditures or contractual commitments;</w:t>
            </w:r>
          </w:p>
        </w:tc>
      </w:tr>
    </w:tbl>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changes in, or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the significant interest expense, or the cash requirements necessary to service interest or principal payments on our debt;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depreciation and amortization are non-cash charges, the assets being depreciated and amortized will often have to be replaced in the future, and Adjusted EBITDA does not reflect any cash requirements for such replacements;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tc>
      </w:tr>
    </w:tbl>
    <w:tbl>
      <w:tblPr>
        <w:tblW w:w="10135" w:type="dxa"/>
        <w:jc w:val="left"/>
        <w:tblInd w:w="0" w:type="dxa"/>
        <w:tblLayout w:type="fixed"/>
        <w:tblCellMar>
          <w:top w:w="0" w:type="dxa"/>
          <w:left w:w="0" w:type="dxa"/>
          <w:bottom w:w="0" w:type="dxa"/>
          <w:right w:w="0" w:type="dxa"/>
        </w:tblCellMar>
      </w:tblPr>
      <w:tblGrid>
        <w:gridCol w:w="60"/>
        <w:gridCol w:w="170"/>
        <w:gridCol w:w="99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companies may calculate Adjusted EBITDA differently than we do, limiting its usefulness as a comparative measure.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Furthermore, as noted above, one of our uses of Adjusted EBITDA is as a target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in the context of the Board's review of our financial statements, and certification by our Chief Financial Officer in a compliance certificate provided to the lenders under our Amended Credit Agreement, this discretion may be viewed as an additional limitation on the use of Adjusted EBITDA as an analytical tool.</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EBITDA attributable to Generac Holdings Inc.:</w:t>
      </w:r>
    </w:p>
    <w:p>
      <w:pPr>
        <w:pStyle w:val="TextBody"/>
        <w:bidi w:val="0"/>
        <w:spacing w:before="0" w:after="0"/>
        <w:ind w:left="0" w:right="0" w:hanging="0"/>
        <w:jc w:val="both"/>
        <w:rPr/>
      </w:pPr>
      <w:r>
        <w:rPr/>
        <w:t> </w:t>
      </w:r>
    </w:p>
    <w:tbl>
      <w:tblPr>
        <w:tblW w:w="7540" w:type="dxa"/>
        <w:jc w:val="left"/>
        <w:tblInd w:w="0" w:type="dxa"/>
        <w:tblLayout w:type="fixed"/>
        <w:tblCellMar>
          <w:top w:w="0" w:type="dxa"/>
          <w:left w:w="0" w:type="dxa"/>
          <w:bottom w:w="0" w:type="dxa"/>
          <w:right w:w="0" w:type="dxa"/>
        </w:tblCellMar>
      </w:tblPr>
      <w:tblGrid>
        <w:gridCol w:w="4700"/>
        <w:gridCol w:w="60"/>
        <w:gridCol w:w="125"/>
        <w:gridCol w:w="695"/>
        <w:gridCol w:w="60"/>
        <w:gridCol w:w="60"/>
        <w:gridCol w:w="125"/>
        <w:gridCol w:w="695"/>
        <w:gridCol w:w="60"/>
        <w:gridCol w:w="60"/>
        <w:gridCol w:w="125"/>
        <w:gridCol w:w="695"/>
        <w:gridCol w:w="80"/>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97,627</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166,602</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write-down and other adjustments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share-based compensation expense (b)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35,492</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and credit facility fees (c)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4,054</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optimization and other charges (d)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10,551</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regulatory, and other costs (e)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38,490</w:t>
            </w:r>
          </w:p>
        </w:tc>
        <w:tc>
          <w:tcPr>
            <w:tcW w:w="8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investments (f)</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refinancing of debt (g)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80" w:type="dxa"/>
            <w:tcBorders/>
            <w:shd w:fill="FFFFFF" w:val="clear"/>
            <w:vAlign w:val="center"/>
          </w:tcPr>
          <w:p>
            <w:pPr>
              <w:pStyle w:val="TableContents"/>
              <w:bidi w:val="0"/>
              <w:spacing w:before="0" w:after="0"/>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637,859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attributable to 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80" w:type="dxa"/>
            <w:tcBorders/>
            <w:shd w:fill="FFFFFF" w:val="clear"/>
            <w:vAlign w:val="center"/>
          </w:tcPr>
          <w:p>
            <w:pPr>
              <w:pStyle w:val="TableContents"/>
              <w:bidi w:val="0"/>
              <w:spacing w:before="0" w:after="0"/>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633,172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Represents the following non-cash charges, gains, and other adjustments: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We believe that adjusting net income for these items is useful for the following reasons: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gains/losses on disposition of assets other than in the ordinary course of business and sales of certain investments result from the sale of assets that are no longer useful in our business and therefore represent gains or losses that are not from our core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purchase accounting adjustments represent non-cash items to reflect fair value of certain assets at the date of acquisition, and therefore do not reflect our ongoing operations. Fair value adjustments to contingent consideration obligations related to business acquisitions are added back as they are akin to purchase price.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share-based compensation expense to account for stock options, restricted stock, and other stock awards over their respective vesting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Amended Credit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Represents severance and other restructuring charges related to the consolidation of certain operating facilities and organizational functions.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 Represents the following litigation, regulatory, and other matters that are not indicative of our ongoing operations:</w:t>
      </w:r>
    </w:p>
    <w:p>
      <w:pPr>
        <w:pStyle w:val="TextBody"/>
        <w:bidi w:val="0"/>
        <w:spacing w:before="0" w:after="0"/>
        <w:ind w:left="160" w:right="0" w:hanging="0"/>
        <w:jc w:val="both"/>
        <w:rPr>
          <w:caps w:val="false"/>
          <w:smallCaps w:val="false"/>
        </w:rPr>
      </w:pPr>
      <w:r>
        <w:rPr>
          <w:caps w:val="false"/>
          <w:smallCaps w:val="false"/>
        </w:rPr>
        <w:t>   •  </w:t>
      </w:r>
      <w:r>
        <w:rPr>
          <w:rFonts w:ascii="Times New Roman" w:hAnsi="Times New Roman"/>
          <w:caps w:val="false"/>
          <w:smallCaps w:val="false"/>
          <w:sz w:val="20"/>
        </w:rPr>
        <w:t>Legal expenses, judgments, and settlements related to certain patent lawsuits - $7.5 million in 2025; $9.2 million in 2024; $27.3 million in 2023. </w:t>
        <w:br/>
        <w:t>   •  Legal expenses and settlements related to certain class action lawsuits - $22.7 million in 2025, which includes a $15.0 million provision for a multi-district class action settlement related to clean energy products; $1.3 million in 2024; $1.0 million in 2023.</w:t>
      </w:r>
    </w:p>
    <w:p>
      <w:pPr>
        <w:pStyle w:val="TextBody"/>
        <w:bidi w:val="0"/>
        <w:spacing w:before="0" w:after="0"/>
        <w:ind w:left="160" w:right="0" w:hanging="0"/>
        <w:jc w:val="both"/>
        <w:rPr>
          <w:caps w:val="false"/>
          <w:smallCaps w:val="false"/>
        </w:rPr>
      </w:pPr>
      <w:r>
        <w:rPr>
          <w:caps w:val="false"/>
          <w:smallCaps w:val="false"/>
        </w:rPr>
        <w:t>   •  </w:t>
      </w:r>
      <w:r>
        <w:rPr>
          <w:rFonts w:ascii="Times New Roman" w:hAnsi="Times New Roman"/>
          <w:caps w:val="false"/>
          <w:smallCaps w:val="false"/>
          <w:sz w:val="20"/>
        </w:rPr>
        <w:t>Legal expenses related to certain government inquiries and other significant matters - $7.6 million in 2025.</w:t>
        <w:br/>
        <w:t>   •  Additional customer support costs related to a clean energy product customer that filed for bankruptcy in 2022 – $0.4 million in 2024; $4.4 million additional customer support costs in 2023.</w:t>
        <w:br/>
        <w:t>  •  A provision for a matter with the CPSC concerning the imposition of civil fines for allegedly failing to timely submit a report under the Consumer Product Safety Act (CPSA) in relation to certain portable generators that were subject to a voluntary recall previously announced on July 29, 2021 - $5.8 million in 2023. </w:t>
      </w:r>
    </w:p>
    <w:p>
      <w:pPr>
        <w:pStyle w:val="TextBody"/>
        <w:bidi w:val="0"/>
        <w:spacing w:before="0" w:after="0"/>
        <w:ind w:left="160" w:right="0" w:hanging="0"/>
        <w:jc w:val="both"/>
        <w:rPr>
          <w:caps w:val="false"/>
          <w:smallCaps w:val="false"/>
        </w:rPr>
      </w:pPr>
      <w:r>
        <w:rPr>
          <w:caps w:val="false"/>
          <w:smallCaps w:val="false"/>
        </w:rPr>
        <w:t>   •  </w:t>
      </w:r>
      <w:r>
        <w:rPr>
          <w:rFonts w:ascii="Times New Roman" w:hAnsi="Times New Roman"/>
          <w:caps w:val="false"/>
          <w:smallCaps w:val="false"/>
          <w:sz w:val="20"/>
        </w:rPr>
        <w:t>A provision of $104.5 million, net in the fourth quarter of 2025 for a settlement agreement (in principle) related to a certain portable generator product liability case deemed outside the ordinary course of routine litigation for the Company.</w:t>
      </w:r>
    </w:p>
    <w:p>
      <w:pPr>
        <w:pStyle w:val="TextBody"/>
        <w:bidi w:val="0"/>
        <w:spacing w:before="0" w:after="0"/>
        <w:ind w:left="0" w:right="0" w:hanging="0"/>
        <w:jc w:val="both"/>
        <w:rPr/>
      </w:pPr>
      <w:r>
        <w:rPr/>
        <w:t xml:space="preserve">      •  </w:t>
      </w:r>
      <w:r>
        <w:rPr>
          <w:rFonts w:ascii="Times New Roman;Times;serif" w:hAnsi="Times New Roman;Times;serif"/>
          <w:sz w:val="20"/>
        </w:rPr>
        <w:t>A $15.6 million net inventory provision in the fourth quarter of 2025 related to the settlement of a contract dispute with a supplier for a discontinued product.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 Represents non-cash losses primarily from changes in the fair value of the Company's investment in Wallbox N.V. warrants and equity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 For the year ended December 31, 2025, the loss represents the third-party costs and the write-off of certain deferred financing costs in connection with the refinancing of the Tranche A Term Loan Facility and Revolving Debt Facility.  For the year ended December 31, 2024, the loss represents fees paid to creditors and the write-off of the unamortized original issue discount and deferred financing costs in connection with the refinancing of the Tranche B Term Loan Facility. Refer to Note 12, “Credit Agreements,” to the consolidated financial statements in Item 8 of this Annual Report on Form 10-K for further information.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Adjusted Net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further supplement our consolidated financial statements in accordance with U.S. GAAP, we provide the computation of Adjusted Net Income attributable to the Company, which is defined as net income before noncontrolling interests adjusted for the following items: amortization of intangible assets, amortization of deferred financing costs and original issue discount related to the Company's debt, intangible impairment charges, certain transaction costs and other purchase accounting adjustments, business optimization expenses, provision for certain legal and regulatory charges, certain other specific provisions, mark-to-market gains and losses on a minority investment, other non-cash gains and losses, and adjusted net income attributable to non-controlling interests, as set forth in the reconciliation table below.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pStyle w:val="TextBody"/>
        <w:bidi w:val="0"/>
        <w:spacing w:before="0" w:after="0"/>
        <w:ind w:left="0" w:right="0" w:hanging="0"/>
        <w:jc w:val="both"/>
        <w:rPr/>
      </w:pPr>
      <w:r>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2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Net Income does not reflect changes in, or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amortization is a non-cash charge, the assets being amortized may have to be replaced in the future, and Adjusted Net Income does not reflect any cash requirements for such replacements;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companies may calculate Adjusted Net Income differently than we do, limiting its usefulness as a comparative measure.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Net Income attributable to Generac Holdings Inc.:</w:t>
      </w:r>
    </w:p>
    <w:p>
      <w:pPr>
        <w:pStyle w:val="TextBody"/>
        <w:bidi w:val="0"/>
        <w:spacing w:before="0" w:after="0"/>
        <w:ind w:left="0" w:right="0" w:hanging="0"/>
        <w:jc w:val="both"/>
        <w:rPr/>
      </w:pPr>
      <w:r>
        <w:rPr/>
        <w:t> </w:t>
      </w:r>
    </w:p>
    <w:tbl>
      <w:tblPr>
        <w:tblW w:w="8405" w:type="dxa"/>
        <w:jc w:val="left"/>
        <w:tblInd w:w="0" w:type="dxa"/>
        <w:tblLayout w:type="fixed"/>
        <w:tblCellMar>
          <w:top w:w="0" w:type="dxa"/>
          <w:left w:w="0" w:type="dxa"/>
          <w:bottom w:w="0" w:type="dxa"/>
          <w:right w:w="0" w:type="dxa"/>
        </w:tblCellMar>
      </w:tblPr>
      <w:tblGrid>
        <w:gridCol w:w="5525"/>
        <w:gridCol w:w="60"/>
        <w:gridCol w:w="125"/>
        <w:gridCol w:w="695"/>
        <w:gridCol w:w="80"/>
        <w:gridCol w:w="60"/>
        <w:gridCol w:w="125"/>
        <w:gridCol w:w="695"/>
        <w:gridCol w:w="80"/>
        <w:gridCol w:w="60"/>
        <w:gridCol w:w="125"/>
        <w:gridCol w:w="695"/>
        <w:gridCol w:w="80"/>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104,194</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and original issue discount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3,885</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and other purchase accounting adjustments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2,089</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Loss/(gain) attributable to business or asset dispositions (b)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optimization and other charges (c)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regulatory, and other costs (c)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38,490</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investments (c)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refinancing of debt (c)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add backs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(80,658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(38,384</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337,826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0"/>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335,312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Represents transaction costs incurred directly in connection with any investment, as defined in our credit agreement, equity issuance or debt issuance or refinancing, and certain purchase accounting and contingent consideration adjustments.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losses/(gains) attributable to the disposition of a business or assets occurring in other than ordinary course, as defined in our credit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See reconciliation of net income to Adjusted EBITDA attributable to Generac Holdings Inc. above.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5" w:name="item7a"/>
      <w:bookmarkEnd w:id="15"/>
      <w:r>
        <w:rPr>
          <w:rFonts w:ascii="Times New Roman;Times;serif" w:hAnsi="Times New Roman;Times;serif"/>
          <w:b/>
          <w:sz w:val="20"/>
        </w:rPr>
        <w:t>Item 7A. 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market risk from changes in foreign currency exchange rates, commodity prices and interest rates. To reduce the risk from these changes, we use financial instruments from time to time. We do not hold or issue financial instruments for trading purposes.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foreign currency exchange risk as a result of transactions denominated in currencies other than the U.S. Dollar, as well as operating businesses and supply chains in foreign countries. Periodically, we utilize foreign currency forward purchase and sales contracts to manage the volatility associated with certain foreign currency purchases and sales in the normal course of business. Contracts typically have maturities of twelve months or less. Realized gains and losses on transactions denominated in foreign currency are recorded as a component of cost of goods sold in the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the 24 foreign currency forward contracts outstanding as of December 31, 2025 (notional amounts in thousands of U.S. dollars). </w:t>
      </w:r>
    </w:p>
    <w:p>
      <w:pPr>
        <w:pStyle w:val="TextBody"/>
        <w:bidi w:val="0"/>
        <w:spacing w:before="0" w:after="0"/>
        <w:ind w:left="0" w:right="0" w:hanging="0"/>
        <w:jc w:val="both"/>
        <w:rPr/>
      </w:pPr>
      <w:r>
        <w:rPr/>
        <w:t> </w:t>
      </w:r>
    </w:p>
    <w:tbl>
      <w:tblPr>
        <w:tblW w:w="8620" w:type="dxa"/>
        <w:jc w:val="left"/>
        <w:tblInd w:w="0" w:type="dxa"/>
        <w:tblLayout w:type="fixed"/>
        <w:tblCellMar>
          <w:top w:w="0" w:type="dxa"/>
          <w:left w:w="0" w:type="dxa"/>
          <w:bottom w:w="28" w:type="dxa"/>
          <w:right w:w="0" w:type="dxa"/>
        </w:tblCellMar>
      </w:tblPr>
      <w:tblGrid>
        <w:gridCol w:w="2090"/>
        <w:gridCol w:w="60"/>
        <w:gridCol w:w="1670"/>
        <w:gridCol w:w="60"/>
        <w:gridCol w:w="1670"/>
        <w:gridCol w:w="60"/>
        <w:gridCol w:w="1475"/>
        <w:gridCol w:w="60"/>
        <w:gridCol w:w="1475"/>
      </w:tblGrid>
      <w:tr>
        <w:trPr/>
        <w:tc>
          <w:tcPr>
            <w:tcW w:w="20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 Denomination</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Trade Dates</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Dates</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Amount</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Expiration Dates</w:t>
            </w:r>
          </w:p>
        </w:tc>
      </w:tr>
      <w:tr>
        <w:trPr/>
        <w:tc>
          <w:tcPr>
            <w:tcW w:w="20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11/19/25 - 12/16/25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11/19/25 - 12/16/25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1/14/26 - 1/28/26</w:t>
            </w:r>
          </w:p>
        </w:tc>
      </w:tr>
      <w:tr>
        <w:trPr/>
        <w:tc>
          <w:tcPr>
            <w:tcW w:w="20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GBP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Commodity Prices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purchaser of commodities and components manufactured from commodities including steel, aluminum, copper and others. As a result, we are exposed to fluctuating market prices for those commodities. While such materials are typically available from numerous suppliers, commodity raw materials are subject to price fluctuations. We generally buy these commodities and components based on market prices that are established with the supplier as part of the purchase process. Depending on the supplier, these market prices may reset on a periodic basis based on negotiated lags and calculations.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or supply chain savings to offset increases in commodity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Periodically, we engage in certain commodity risk management activities to mitigate the impact of potential price fluctuations on our financial results. These derivatives typically have maturities of less than eighteen months. As of December 31, 2025, we had the following commodity forward contract outstanding (notional amounts in thousands of U.S. dollars):</w:t>
      </w:r>
    </w:p>
    <w:p>
      <w:pPr>
        <w:pStyle w:val="TextBody"/>
        <w:bidi w:val="0"/>
        <w:spacing w:before="0" w:after="0"/>
        <w:ind w:left="0" w:right="0" w:hanging="0"/>
        <w:jc w:val="both"/>
        <w:rPr/>
      </w:pPr>
      <w:r>
        <w:rPr/>
        <w:t> </w:t>
      </w:r>
    </w:p>
    <w:tbl>
      <w:tblPr>
        <w:tblW w:w="7525" w:type="dxa"/>
        <w:jc w:val="left"/>
        <w:tblInd w:w="0" w:type="dxa"/>
        <w:tblLayout w:type="fixed"/>
        <w:tblCellMar>
          <w:top w:w="0" w:type="dxa"/>
          <w:left w:w="0" w:type="dxa"/>
          <w:bottom w:w="28" w:type="dxa"/>
          <w:right w:w="0" w:type="dxa"/>
        </w:tblCellMar>
      </w:tblPr>
      <w:tblGrid>
        <w:gridCol w:w="1610"/>
        <w:gridCol w:w="60"/>
        <w:gridCol w:w="1265"/>
        <w:gridCol w:w="60"/>
        <w:gridCol w:w="1535"/>
        <w:gridCol w:w="60"/>
        <w:gridCol w:w="1475"/>
        <w:gridCol w:w="60"/>
        <w:gridCol w:w="1400"/>
      </w:tblGrid>
      <w:tr>
        <w:trPr/>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Hedged Item</w:t>
            </w:r>
          </w:p>
        </w:tc>
        <w:tc>
          <w:tcPr>
            <w:tcW w:w="60" w:type="dxa"/>
            <w:tcBorders/>
            <w:tcMar>
              <w:bottom w:w="0" w:type="dxa"/>
            </w:tcMar>
            <w:vAlign w:val="center"/>
          </w:tcPr>
          <w:p>
            <w:pPr>
              <w:pStyle w:val="TableContents"/>
              <w:bidi w:val="0"/>
              <w:spacing w:before="0" w:after="283"/>
              <w:jc w:val="left"/>
              <w:rPr/>
            </w:pPr>
            <w:r>
              <w:rPr/>
              <w:t> </w:t>
            </w:r>
          </w:p>
        </w:tc>
        <w:tc>
          <w:tcPr>
            <w:tcW w:w="12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 Date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Date</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Amount</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Expiration Date</w:t>
            </w:r>
          </w:p>
        </w:tc>
      </w:tr>
      <w:tr>
        <w:trPr/>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High Grade Copper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8,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30,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Rates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all of the outstanding debt under our Term Loans and Revolving Facility was subject to floating interest rate risk. As of December 31, 2025, we had the following interest rate swap contracts outstanding to help minimize our borrowing costs (notional amount in thousands of U.S. dollars):</w:t>
      </w:r>
    </w:p>
    <w:p>
      <w:pPr>
        <w:pStyle w:val="TextBody"/>
        <w:bidi w:val="0"/>
        <w:spacing w:before="0" w:after="0"/>
        <w:ind w:left="0" w:right="0" w:hanging="0"/>
        <w:jc w:val="both"/>
        <w:rPr/>
      </w:pPr>
      <w:r>
        <w:rPr/>
        <w:t> </w:t>
      </w:r>
    </w:p>
    <w:tbl>
      <w:tblPr>
        <w:tblW w:w="8865" w:type="dxa"/>
        <w:jc w:val="left"/>
        <w:tblInd w:w="0" w:type="dxa"/>
        <w:tblLayout w:type="fixed"/>
        <w:tblCellMar>
          <w:top w:w="0" w:type="dxa"/>
          <w:left w:w="0" w:type="dxa"/>
          <w:bottom w:w="28" w:type="dxa"/>
          <w:right w:w="0" w:type="dxa"/>
        </w:tblCellMar>
      </w:tblPr>
      <w:tblGrid>
        <w:gridCol w:w="1580"/>
        <w:gridCol w:w="60"/>
        <w:gridCol w:w="1205"/>
        <w:gridCol w:w="60"/>
        <w:gridCol w:w="1205"/>
        <w:gridCol w:w="60"/>
        <w:gridCol w:w="1475"/>
        <w:gridCol w:w="60"/>
        <w:gridCol w:w="1490"/>
        <w:gridCol w:w="60"/>
        <w:gridCol w:w="1610"/>
      </w:tblGrid>
      <w:tr>
        <w:trPr/>
        <w:tc>
          <w:tcPr>
            <w:tcW w:w="15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Hedged Item</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 Date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Date</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Amount</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Fixed SOFR Rate</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Expiration Date</w:t>
            </w:r>
          </w:p>
        </w:tc>
      </w:tr>
      <w:tr>
        <w:trPr/>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SOFR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4,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13, 2026</w:t>
            </w:r>
          </w:p>
        </w:tc>
      </w:tr>
      <w:tr>
        <w:trPr/>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SOFR 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5,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13, 2026</w:t>
            </w:r>
          </w:p>
        </w:tc>
      </w:tr>
      <w:tr>
        <w:trPr/>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SOFR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13, 2026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2025, in conjunction with the amendments to the Company's credit agreements discussed further in Note 12, “Credit Agreements,” to our consolidated financial statements in Item 8 of this Annual Report on Form 10-K, the Company modified its interest rate swaps to match that of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income (loss) in the consolidated balance sheets. As of December 31, 2025, the fair value of these interest rate swaps was an asset of $11.6 million, excluding the impact of credit risk. Even after giving effect to these swaps, we are exposed to risks due to changes in interest rates with respect to the portions of our Term Loans and Revolving Facility that are not covered by the swaps. A hypothetical change in the SOFR interest rate of 100 basis points would have changed annual interest expense by approximately $7.4 million (or, without the swaps in place, approximately $12.4 million) in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on the Company’s foreign currency and commodity forward contracts and interest rate swaps, including amounts charged to the statements of comprehensive income during 2025, 2024, and 2023, refer to Note 5, “Derivative Instruments and Hedging Activities,” and Note 6, “Accumulated Other Comprehensive Income (Loss),” to our consolidated financial statements in Item 8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6" w:name="item8"/>
      <w:bookmarkEnd w:id="16"/>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7" w:name="report"/>
      <w:bookmarkEnd w:id="17"/>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Generac Holdings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Generac Holdings Inc. and subsidiaries (the "Company") as of December 31, 2025 and 2024, the related consolidated statements of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the Committee of Sponsoring Organizations of the Treadway Commission and our report dated February 18, 2026, expressed an unqualified opinion on the Company's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Revenue </w:t>
      </w:r>
      <w:r>
        <w:rPr>
          <w:rFonts w:ascii="Times New Roman" w:hAnsi="Times New Roman"/>
          <w:caps w:val="false"/>
          <w:smallCaps w:val="false"/>
          <w:sz w:val="20"/>
        </w:rPr>
        <w:t xml:space="preserve">– </w:t>
      </w:r>
      <w:r>
        <w:rPr>
          <w:rFonts w:ascii="Times New Roman" w:hAnsi="Times New Roman"/>
          <w:b/>
          <w:i/>
          <w:caps w:val="false"/>
          <w:smallCaps w:val="false"/>
          <w:sz w:val="20"/>
        </w:rPr>
        <w:t>Refer to Note 2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wide range of products and services that are offered in various markets throughout the world. The Company’s business activities are carried out by numerous individual business units, which offer a unique set of products and services within specific geographic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identified revenue as a critical audit matter given the disaggregated nature of the Company’s operations and business units generating revenue. This required extensive audit effort due to the volume of the underlying transactions and distinctiveness of each individual business unit. High levels of auditor judgment were necessary to determine the nature, timing, and extent of audit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 procedures related to the Company’s revenue transactions included the following, among others: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We tested the design, implementation, and operating effectiveness of the controls within the relevant revenue business processes, including controls over revenue recognition and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For a sample of revenue transactions, we performed detail transaction testing by agreeing the amounts recorded to source documents and determined that revenue was recognized appropriately.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For the revenue populations subject to detail transaction testing, we tested the completeness of revenue by making selections from reciprocal populations and determined whether the transaction was recorded as a sale in the general ledger.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For revenue transactions not subject to detail transaction testing we evaluated recorded activity based on analytical procedures using regression analyses to develop an expectation of the revenue balance at the product class level.</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Goodwill - Refer to Notes 2 and 9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evaluation of goodwill for impairment involves the comparison of the fair value of each reporting unit to its carrying value. The Company’s estimate for each reporting unit is based on the present value of estimated future cash flows attributable to the respective reporting unit. This requires management to make significant estimates and assumptions related to discounts rates and forecasts of future revenues and operating margins.⁠ Changes in the assumptions could have a significant impact on the fair value, the amount of any goodwill impairment charge, or both. The goodwill balance of the Clean Energy Reporting Unit (“Clean Energy”) as of December 31, 2025, was $79.0 million. The fair value of Clean Energy exceeded its carrying value by approximately 20% as of the October 31, 2025 measurement date and, therefore, no impairment was recognized. The Company plans to introduce new products for Clean Energy whose forecasted revenues contribute significantly to the fair value of Clean Energy and for which there is limited historical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the significant judgments made by management to estimate the fair value of Clean Energy, performing audit procedures to evaluate the reasonableness of management’s estimates and assumptions related to the selection of the discount rate and forecasts of future revenue and operating margin of Clean Energy, specifically for the new products for which there is limited historical data, required a high degree of auditor judgment and an increased extent of effort, including the need to involve our fair value specialists.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procedures related to the discount rate and forecasts of revenue and operating margin used by management to estimate the fair value of Clean Energy included the following, among others: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We tested the design, implementation, and operating effectiveness of controls over management’s goodwill impairment evaluation, including those over the determination of the fair value of Clean Energy, such as controls related to management’s selection of the discount rate and forecasts of future revenue and operating margin.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We evaluated management’s ability to accurately forecast future revenue and operating margin by comparing actual results to management’s historical forecasts.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Assessed management’s intent and/or ability to take specific actions included in the discounted cash flow model.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Due to the lack of historical experience available for the new products, we evaluated the reasonableness of management’s revenue and operating margin forecasts for the new products by comparing the forecasts to (1) the historical operating results of the Company’s similar existing products, (2) internal communications to management and the board of directors, (3) analyst reports, and (4) industry reports.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Milwaukee, Wisconsin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18,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Generac Holdings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the internal control over financial reporting of Generac Holdings Inc. and subsidiaries (the "Company") as of December 31, 2025,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audited, in accordance with the standards of the Public Company Accounting Oversight Board (United States) (PCAOB), the consolidated financial statements as of and for the year ended December 31, 2025, of the Company and our report dated February 18, 2026, expressed an unqualified opinion on those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Milwaukee, Wisconsin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18,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105" w:type="dxa"/>
        <w:jc w:val="left"/>
        <w:tblInd w:w="0" w:type="dxa"/>
        <w:tblLayout w:type="fixed"/>
        <w:tblCellMar>
          <w:top w:w="0" w:type="dxa"/>
          <w:left w:w="0" w:type="dxa"/>
          <w:bottom w:w="0" w:type="dxa"/>
          <w:right w:w="0" w:type="dxa"/>
        </w:tblCellMar>
      </w:tblPr>
      <w:tblGrid>
        <w:gridCol w:w="5105"/>
      </w:tblGrid>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18" w:name="bs"/>
            <w:bookmarkEnd w:id="18"/>
            <w:r>
              <w:rPr>
                <w:rFonts w:ascii="Times New Roman;Times;serif" w:hAnsi="Times New Roman;Times;serif"/>
                <w:sz w:val="24"/>
              </w:rPr>
              <w:t>Generac Holdings Inc.</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Balance Sheets</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281,277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less allowance for credit losses of $34,504 and $35,465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612,107</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1,031,647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107,139</w:t>
            </w:r>
          </w:p>
        </w:tc>
        <w:tc>
          <w:tcPr>
            <w:tcW w:w="80" w:type="dxa"/>
            <w:tcBorders/>
            <w:shd w:fill="FFFFFF" w:val="clear"/>
            <w:vAlign w:val="center"/>
          </w:tcPr>
          <w:p>
            <w:pPr>
              <w:pStyle w:val="TableContents"/>
              <w:bidi w:val="0"/>
              <w:spacing w:before="0" w:after="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2,032,170</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690,023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152,737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technology,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379,095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20,026</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206,664</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1,467,094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1,436,261</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24,132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and 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168,223</w:t>
            </w:r>
          </w:p>
        </w:tc>
        <w:tc>
          <w:tcPr>
            <w:tcW w:w="80" w:type="dxa"/>
            <w:tcBorders/>
            <w:shd w:fill="CCEEFF" w:val="clear"/>
            <w:vAlign w:val="center"/>
          </w:tcPr>
          <w:p>
            <w:pPr>
              <w:pStyle w:val="TableContents"/>
              <w:bidi w:val="0"/>
              <w:spacing w:before="0" w:after="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5,109,331</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55,848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458,693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wages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81,485</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56,127</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313,401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 and finance lease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67,598</w:t>
            </w:r>
          </w:p>
        </w:tc>
        <w:tc>
          <w:tcPr>
            <w:tcW w:w="80" w:type="dxa"/>
            <w:tcBorders/>
            <w:shd w:fill="CCEEFF" w:val="clear"/>
            <w:vAlign w:val="center"/>
          </w:tcPr>
          <w:p>
            <w:pPr>
              <w:pStyle w:val="TableContents"/>
              <w:bidi w:val="0"/>
              <w:spacing w:before="0" w:after="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1,033,152</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 and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1,210,776</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33,185</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193,260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and 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141,515</w:t>
            </w:r>
          </w:p>
        </w:tc>
        <w:tc>
          <w:tcPr>
            <w:tcW w:w="80" w:type="dxa"/>
            <w:tcBorders/>
            <w:shd w:fill="CCEEFF" w:val="clear"/>
            <w:vAlign w:val="center"/>
          </w:tcPr>
          <w:p>
            <w:pPr>
              <w:pStyle w:val="TableContents"/>
              <w:bidi w:val="0"/>
              <w:spacing w:before="0" w:after="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2,934,633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2,611,888</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$0.01, 500,000,000 shares authorized, 74,050,753 and 73,785,631 shares issued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738</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1,133,756</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15,373,990 and 14,173,697 shares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(1,358,053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(1,196,997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purchase price over predecessor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3,003,557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2,844,296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(85,399</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 attributable to Generac Holdings Inc.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2,494,278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3,165</w:t>
            </w:r>
          </w:p>
        </w:tc>
        <w:tc>
          <w:tcPr>
            <w:tcW w:w="80" w:type="dxa"/>
            <w:tcBorders/>
            <w:shd w:fill="FFFFFF" w:val="clear"/>
            <w:vAlign w:val="center"/>
          </w:tcPr>
          <w:p>
            <w:pPr>
              <w:pStyle w:val="TableContents"/>
              <w:bidi w:val="0"/>
              <w:spacing w:before="0" w:after="0"/>
              <w:jc w:val="left"/>
              <w:rPr/>
            </w:pPr>
            <w:r>
              <w:rPr/>
              <w:t> </w:t>
            </w:r>
          </w:p>
        </w:tc>
      </w:tr>
      <w:tr>
        <w:trPr/>
        <w:tc>
          <w:tcPr>
            <w:tcW w:w="7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2,497,443</w:t>
            </w:r>
          </w:p>
        </w:tc>
        <w:tc>
          <w:tcPr>
            <w:tcW w:w="80"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5,109,331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105" w:type="dxa"/>
        <w:jc w:val="left"/>
        <w:tblInd w:w="0" w:type="dxa"/>
        <w:tblLayout w:type="fixed"/>
        <w:tblCellMar>
          <w:top w:w="0" w:type="dxa"/>
          <w:left w:w="0" w:type="dxa"/>
          <w:bottom w:w="0" w:type="dxa"/>
          <w:right w:w="0" w:type="dxa"/>
        </w:tblCellMar>
      </w:tblPr>
      <w:tblGrid>
        <w:gridCol w:w="5105"/>
      </w:tblGrid>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19" w:name="income"/>
            <w:bookmarkEnd w:id="19"/>
            <w:r>
              <w:rPr>
                <w:rFonts w:ascii="Times New Roman;Times;serif" w:hAnsi="Times New Roman;Times;serif"/>
                <w:sz w:val="24"/>
              </w:rPr>
              <w:t>Generac Holdings Inc.</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Statements of Comprehensive Income</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tc>
      </w:tr>
    </w:tbl>
    <w:p>
      <w:pPr>
        <w:pStyle w:val="TextBody"/>
        <w:bidi w:val="0"/>
        <w:spacing w:before="0" w:after="283"/>
        <w:jc w:val="left"/>
        <w:rPr/>
      </w:pPr>
      <w:r>
        <w:rPr/>
        <w:t> </w:t>
      </w:r>
    </w:p>
    <w:tbl>
      <w:tblPr>
        <w:tblW w:w="9950" w:type="dxa"/>
        <w:jc w:val="left"/>
        <w:tblInd w:w="0" w:type="dxa"/>
        <w:tblLayout w:type="fixed"/>
        <w:tblCellMar>
          <w:top w:w="0" w:type="dxa"/>
          <w:left w:w="0" w:type="dxa"/>
          <w:bottom w:w="0" w:type="dxa"/>
          <w:right w:w="0" w:type="dxa"/>
        </w:tblCellMar>
      </w:tblPr>
      <w:tblGrid>
        <w:gridCol w:w="6305"/>
        <w:gridCol w:w="60"/>
        <w:gridCol w:w="125"/>
        <w:gridCol w:w="950"/>
        <w:gridCol w:w="80"/>
        <w:gridCol w:w="60"/>
        <w:gridCol w:w="125"/>
        <w:gridCol w:w="950"/>
        <w:gridCol w:w="80"/>
        <w:gridCol w:w="60"/>
        <w:gridCol w:w="125"/>
        <w:gridCol w:w="950"/>
        <w:gridCol w:w="80"/>
      </w:tblGrid>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4,209,147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4,022,667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2,597,410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2,630,208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2,657,236</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1,365,431</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526,446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448,199</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173,443</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253,396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97,743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104,194</w:t>
            </w:r>
          </w:p>
        </w:tc>
        <w:tc>
          <w:tcPr>
            <w:tcW w:w="80" w:type="dxa"/>
            <w:tcBorders/>
            <w:shd w:fill="CCEEFF" w:val="clear"/>
            <w:vAlign w:val="center"/>
          </w:tcPr>
          <w:p>
            <w:pPr>
              <w:pStyle w:val="TableContents"/>
              <w:bidi w:val="0"/>
              <w:spacing w:before="0" w:after="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979,232</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386,199</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4,272</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refinancing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57,963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 on derivatives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(8,004</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49,959</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267,079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264,498</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 per common share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58,523,642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59,559,797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61,265,060</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 per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59,275,781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60,350,412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62,058,387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20" w:name="equity"/>
            <w:bookmarkEnd w:id="20"/>
            <w:r>
              <w:rPr>
                <w:rFonts w:ascii="Times New Roman;Times;serif" w:hAnsi="Times New Roman;Times;serif"/>
                <w:sz w:val="24"/>
              </w:rPr>
              <w:t>Generac Holdings Inc.</w:t>
            </w:r>
          </w:p>
        </w:tc>
      </w:tr>
      <w:tr>
        <w:trPr/>
        <w:tc>
          <w:tcPr>
            <w:tcW w:w="462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Statements of Stockholders' Equity</w:t>
            </w:r>
          </w:p>
        </w:tc>
      </w:tr>
      <w:tr>
        <w:trPr/>
        <w:tc>
          <w:tcPr>
            <w:tcW w:w="462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Data)</w:t>
            </w:r>
          </w:p>
        </w:tc>
      </w:tr>
    </w:tbl>
    <w:p>
      <w:pPr>
        <w:pStyle w:val="TextBody"/>
        <w:bidi w:val="0"/>
        <w:spacing w:before="0" w:after="283"/>
        <w:jc w:val="left"/>
        <w:rPr/>
      </w:pPr>
      <w:r>
        <w:rPr/>
        <w:t> </w:t>
      </w:r>
    </w:p>
    <w:tbl>
      <w:tblPr>
        <w:tblW w:w="10530" w:type="dxa"/>
        <w:jc w:val="left"/>
        <w:tblInd w:w="0" w:type="dxa"/>
        <w:tblLayout w:type="fixed"/>
        <w:tblCellMar>
          <w:top w:w="0" w:type="dxa"/>
          <w:left w:w="0" w:type="dxa"/>
          <w:bottom w:w="0" w:type="dxa"/>
          <w:right w:w="0" w:type="dxa"/>
        </w:tblCellMar>
      </w:tblPr>
      <w:tblGrid>
        <w:gridCol w:w="920"/>
        <w:gridCol w:w="60"/>
        <w:gridCol w:w="60"/>
        <w:gridCol w:w="680"/>
        <w:gridCol w:w="60"/>
        <w:gridCol w:w="60"/>
        <w:gridCol w:w="135"/>
        <w:gridCol w:w="350"/>
        <w:gridCol w:w="60"/>
        <w:gridCol w:w="60"/>
        <w:gridCol w:w="95"/>
        <w:gridCol w:w="605"/>
        <w:gridCol w:w="60"/>
        <w:gridCol w:w="60"/>
        <w:gridCol w:w="60"/>
        <w:gridCol w:w="725"/>
        <w:gridCol w:w="65"/>
        <w:gridCol w:w="60"/>
        <w:gridCol w:w="95"/>
        <w:gridCol w:w="650"/>
        <w:gridCol w:w="65"/>
        <w:gridCol w:w="60"/>
        <w:gridCol w:w="180"/>
        <w:gridCol w:w="545"/>
        <w:gridCol w:w="65"/>
        <w:gridCol w:w="60"/>
        <w:gridCol w:w="95"/>
        <w:gridCol w:w="605"/>
        <w:gridCol w:w="65"/>
        <w:gridCol w:w="60"/>
        <w:gridCol w:w="153"/>
        <w:gridCol w:w="767"/>
        <w:gridCol w:w="65"/>
        <w:gridCol w:w="60"/>
        <w:gridCol w:w="108"/>
        <w:gridCol w:w="692"/>
        <w:gridCol w:w="65"/>
        <w:gridCol w:w="60"/>
        <w:gridCol w:w="199"/>
        <w:gridCol w:w="736"/>
        <w:gridCol w:w="65"/>
        <w:gridCol w:w="60"/>
        <w:gridCol w:w="95"/>
        <w:gridCol w:w="605"/>
        <w:gridCol w:w="80"/>
      </w:tblGrid>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Generac Holdings Inc.</w:t>
            </w:r>
          </w:p>
        </w:tc>
        <w:tc>
          <w:tcPr>
            <w:tcW w:w="65"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Excess Purchase Price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Accumulated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Over</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Other</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Total</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Treasury Stock</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Predecessor</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Retained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Comprehensive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Stockholders'</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Noncontrolling</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Shares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Basis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Earnings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Income (Loss)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Equity</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Interest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Total</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72,701,257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1,016,138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(11,284,350</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(808,491</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(202,116</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2,316,224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(65,102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8"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2,257,381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1,874</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2,259,255</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Unrealized loss on interest rate swaps, net of tax of $2,674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57,963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57,963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58,091</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Common stock issued under equity incentive plans, net of forfeitures and shares withheld for employee taxes and strike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482,855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3,350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3,350</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Payment of acquisition contingent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466,118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33,396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48,807</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48,807</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share settlement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(50,591</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(6,313</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(6,313</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(2,188,475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(251,513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(251,513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35,492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35,492</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Redemption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(11,517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(11,517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214,606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214,606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816</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215,422</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as of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73,195,055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1,070,386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(13,057,298</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(1,032,921</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(202,116</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2,519,313</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(15,143</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8"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2,340,252</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2,818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2,343,070</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Unrealized loss on interest rate swaps, net of tax of $2,563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(7,672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(7,672</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(62,584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(62,584</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(258</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(62,842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under equity incentive plans, net of forfeitures and shares withheld for employee taxes and strike price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590,576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3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8,417</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14,127</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14,127</w:t>
            </w:r>
          </w:p>
        </w:tc>
        <w:tc>
          <w:tcPr>
            <w:tcW w:w="80" w:type="dxa"/>
            <w:tcBorders/>
            <w:shd w:fill="CCEEFF" w:val="clear"/>
            <w:vAlign w:val="center"/>
          </w:tcPr>
          <w:p>
            <w:pPr>
              <w:pStyle w:val="TableContents"/>
              <w:bidi w:val="0"/>
              <w:spacing w:before="0" w:after="0"/>
              <w:jc w:val="left"/>
              <w:rPr/>
            </w:pPr>
            <w:r>
              <w:rPr/>
              <w:t> </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share settlement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(78,465</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(11,333</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(11,333</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(1,046,351</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(152,743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(152,743</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(152,743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49,248</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49,248</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Redemption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8,941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8,941</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8,941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paid to noncontrolling interest of subsidiary</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w:t>
            </w:r>
          </w:p>
        </w:tc>
        <w:tc>
          <w:tcPr>
            <w:tcW w:w="80" w:type="dxa"/>
            <w:tcBorders/>
            <w:shd w:fill="FFFFFF" w:val="clear"/>
            <w:vAlign w:val="center"/>
          </w:tcPr>
          <w:p>
            <w:pPr>
              <w:pStyle w:val="TableContents"/>
              <w:bidi w:val="0"/>
              <w:spacing w:before="0" w:after="0"/>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316,315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316,315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605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316,920</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73,785,631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1,133,756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(14,173,697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(1,196,997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(202,116</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2,844,296</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(85,399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8"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2,494,278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3,165</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2,497,443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on interest rate swaps, net of tax of $4,232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(12,863</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(12,863</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(12,863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99,136</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99,136</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99,817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under equity incentive plans, net of forfeitures and shares withheld for employee taxes and strike price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265,122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350"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3,719</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share settlement of restricted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(91,087</w:t>
            </w:r>
          </w:p>
        </w:tc>
        <w:tc>
          <w:tcPr>
            <w:tcW w:w="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(13,139</w:t>
            </w:r>
          </w:p>
        </w:tc>
        <w:tc>
          <w:tcPr>
            <w:tcW w:w="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(13,139</w:t>
            </w:r>
          </w:p>
        </w:tc>
        <w:tc>
          <w:tcPr>
            <w:tcW w:w="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(13,139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repurchases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(1,109,206</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(147,917</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(147,917</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(147,917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49,947</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49,947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dividends paid to noncontrolling interest of subsidiary</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righ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w:t>
            </w:r>
          </w:p>
        </w:tc>
        <w:tc>
          <w:tcPr>
            <w:tcW w:w="65"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pPr>
            <w:r>
              <w:rPr>
                <w:rStyle w:val="Emphasis"/>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159,554</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159,554</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2,036</w:t>
            </w:r>
          </w:p>
        </w:tc>
        <w:tc>
          <w:tcPr>
            <w:tcW w:w="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161,590</w:t>
            </w:r>
          </w:p>
        </w:tc>
        <w:tc>
          <w:tcPr>
            <w:tcW w:w="80" w:type="dxa"/>
            <w:tcBorders/>
            <w:shd w:fill="CCEEFF" w:val="clear"/>
            <w:vAlign w:val="center"/>
          </w:tcPr>
          <w:p>
            <w:pPr>
              <w:pStyle w:val="TableContents"/>
              <w:bidi w:val="0"/>
              <w:spacing w:before="0" w:after="0"/>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74,050,753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1,187,419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(15,373,990</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(1,358,053</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(202,116</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3,003,557</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874</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2,632,422</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5,882</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2,638,304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3785" w:type="dxa"/>
        <w:jc w:val="left"/>
        <w:tblInd w:w="0" w:type="dxa"/>
        <w:tblLayout w:type="fixed"/>
        <w:tblCellMar>
          <w:top w:w="0" w:type="dxa"/>
          <w:left w:w="0" w:type="dxa"/>
          <w:bottom w:w="0" w:type="dxa"/>
          <w:right w:w="0" w:type="dxa"/>
        </w:tblCellMar>
      </w:tblPr>
      <w:tblGrid>
        <w:gridCol w:w="3785"/>
      </w:tblGrid>
      <w:tr>
        <w:trPr/>
        <w:tc>
          <w:tcPr>
            <w:tcW w:w="378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21" w:name="cf"/>
            <w:bookmarkEnd w:id="21"/>
            <w:r>
              <w:rPr>
                <w:rFonts w:ascii="Times New Roman;Times;serif" w:hAnsi="Times New Roman;Times;serif"/>
                <w:sz w:val="24"/>
              </w:rPr>
              <w:t>Generac Holdings Inc.</w:t>
            </w:r>
          </w:p>
        </w:tc>
      </w:tr>
      <w:tr>
        <w:trPr/>
        <w:tc>
          <w:tcPr>
            <w:tcW w:w="378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Statements of Cash Flows</w:t>
            </w:r>
          </w:p>
        </w:tc>
      </w:tr>
      <w:tr>
        <w:trPr/>
        <w:tc>
          <w:tcPr>
            <w:tcW w:w="378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w:t>
            </w:r>
          </w:p>
        </w:tc>
      </w:tr>
    </w:tbl>
    <w:p>
      <w:pPr>
        <w:pStyle w:val="TextBody"/>
        <w:bidi w:val="0"/>
        <w:spacing w:before="0" w:after="283"/>
        <w:jc w:val="left"/>
        <w:rPr/>
      </w:pPr>
      <w:r>
        <w:rPr/>
        <w:t> </w:t>
      </w:r>
    </w:p>
    <w:tbl>
      <w:tblPr>
        <w:tblW w:w="9680" w:type="dxa"/>
        <w:jc w:val="left"/>
        <w:tblInd w:w="0" w:type="dxa"/>
        <w:tblLayout w:type="fixed"/>
        <w:tblCellMar>
          <w:top w:w="0" w:type="dxa"/>
          <w:left w:w="0" w:type="dxa"/>
          <w:bottom w:w="0" w:type="dxa"/>
          <w:right w:w="0" w:type="dxa"/>
        </w:tblCellMar>
      </w:tblPr>
      <w:tblGrid>
        <w:gridCol w:w="6620"/>
        <w:gridCol w:w="60"/>
        <w:gridCol w:w="125"/>
        <w:gridCol w:w="755"/>
        <w:gridCol w:w="80"/>
        <w:gridCol w:w="60"/>
        <w:gridCol w:w="125"/>
        <w:gridCol w:w="755"/>
        <w:gridCol w:w="80"/>
        <w:gridCol w:w="60"/>
        <w:gridCol w:w="125"/>
        <w:gridCol w:w="755"/>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finance lease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62,408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104,194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and original issue discount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refinancing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35,492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attributable to the disposition of a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tax benefits from equity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262,670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24,266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wages and employee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(27,337</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521,670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beneficial interest in securitization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to tax equity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long-term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(15,974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(208,712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short-term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64,257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long-term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348,827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short-term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long-term borrowings and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(168,503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(288,699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repurchases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(147,917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contingent acquisition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acquisition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 received from noncontrolling interest in 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noncontrolling interest of subsidiary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ownership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related to equity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(10,897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7,815</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68,271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132,723</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200,994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paid during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84,027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100,082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2" w:name="notes"/>
      <w:bookmarkEnd w:id="22"/>
      <w:r>
        <w:rPr>
          <w:rFonts w:ascii="Times New Roman;Times;serif" w:hAnsi="Times New Roman;Times;serif"/>
          <w:b/>
          <w:sz w:val="20"/>
        </w:rPr>
        <w:t>Generac Holdings Inc.</w:t>
        <w:br/>
        <w:t>Notes to Consolidated Financial Statements</w:t>
      </w:r>
    </w:p>
    <w:p>
      <w:pPr>
        <w:pStyle w:val="TextBody"/>
        <w:bidi w:val="0"/>
        <w:spacing w:before="0" w:after="0"/>
        <w:ind w:left="144" w:right="0" w:hanging="0"/>
        <w:jc w:val="center"/>
        <w:rPr>
          <w:rFonts w:ascii="Times New Roman;Times;serif" w:hAnsi="Times New Roman;Times;serif"/>
          <w:b/>
          <w:sz w:val="20"/>
        </w:rPr>
      </w:pPr>
      <w:r>
        <w:rPr>
          <w:rFonts w:ascii="Times New Roman;Times;serif" w:hAnsi="Times New Roman;Times;serif"/>
          <w:b/>
          <w:sz w:val="20"/>
        </w:rPr>
        <w:t>Years Ended December 31, 2025, 2024 and 2023</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p>
      <w:pPr>
        <w:pStyle w:val="TextBody"/>
        <w:bidi w:val="0"/>
        <w:spacing w:before="0" w:after="0"/>
        <w:ind w:left="0" w:right="0" w:hanging="0"/>
        <w:jc w:val="center"/>
        <w:rPr/>
      </w:pPr>
      <w:r>
        <w:rPr/>
        <w:t> </w:t>
      </w:r>
    </w:p>
    <w:p>
      <w:pPr>
        <w:pStyle w:val="TextBody"/>
        <w:bidi w:val="0"/>
        <w:spacing w:before="0" w:after="0"/>
        <w:jc w:val="left"/>
        <w:rPr/>
      </w:pPr>
      <w:r>
        <w:rPr/>
        <w:t xml:space="preserve">  </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19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Founded in </w:t>
      </w:r>
      <w:r>
        <w:rPr>
          <w:rStyle w:val="Emphasis"/>
          <w:rFonts w:ascii="Times New Roman;Times;serif" w:hAnsi="Times New Roman;Times;serif"/>
          <w:sz w:val="20"/>
        </w:rPr>
        <w:t>1959,</w:t>
      </w:r>
      <w:r>
        <w:rPr>
          <w:rFonts w:ascii="Times New Roman;Times;serif" w:hAnsi="Times New Roman;Times;serif"/>
          <w:sz w:val="20"/>
        </w:rPr>
        <w:t xml:space="preserve"> Generac Holdings Inc. (the Company) is a leading global designer, manufacturer, and provider of a wide range of energy technology solutions. The Company provides power generation equipment, energy storage systems, energy management devices &amp; solutions, and other power products and services to the residential, commercial, data center, telecom, rental, and industrial markets. Generac’s power products and solutions are available globally through a broad network of independent dealers, distributors, retailers, e-commerce partners, wholesalers, and equipment rental companies, as well as sold direct to certain end user customers.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Over the years, the Company has executed a number of acquisitions that support its strategic plan (refer to Item </w:t>
      </w:r>
      <w:r>
        <w:rPr>
          <w:rStyle w:val="Emphasis"/>
          <w:rFonts w:ascii="Times New Roman;Times;serif" w:hAnsi="Times New Roman;Times;serif"/>
          <w:sz w:val="20"/>
        </w:rPr>
        <w:t>1</w:t>
      </w:r>
      <w:r>
        <w:rPr>
          <w:rFonts w:ascii="Times New Roman;Times;serif" w:hAnsi="Times New Roman;Times;serif"/>
          <w:sz w:val="20"/>
        </w:rPr>
        <w:t xml:space="preserve"> in this Annual Report on Form </w:t>
      </w:r>
      <w:r>
        <w:rPr>
          <w:rStyle w:val="Emphasis"/>
          <w:rFonts w:ascii="Times New Roman;Times;serif" w:hAnsi="Times New Roman;Times;serif"/>
          <w:sz w:val="20"/>
        </w:rPr>
        <w:t>10</w:t>
      </w:r>
      <w:r>
        <w:rPr>
          <w:rFonts w:ascii="Times New Roman;Times;serif" w:hAnsi="Times New Roman;Times;serif"/>
          <w:sz w:val="20"/>
        </w:rPr>
        <w:t>-K for discussion of the Company's “Powering a Smarter World” strategic plan). A summary of acquisitions affecting the reporting periods presented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60"/>
        <w:gridCol w:w="99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 xml:space="preserve">November 2024, </w:t>
            </w:r>
            <w:r>
              <w:rPr/>
              <w:t>the Company acquired Wolverine Power Systems (Wolverine), headquartered in Zeeland, Michigan. Wolverine is an industrial and residential generator distributor as well as a provider of maintenance and repair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 xml:space="preserve">August 2024, </w:t>
            </w:r>
            <w:r>
              <w:rPr/>
              <w:t>the Company acquired the assets and liabilities of Ageto, LLC (Ageto). Ageto designs and integrates microgrid control solutions and is headquartered in Fort Collins, Colorado.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0"/>
              <w:jc w:val="both"/>
              <w:rPr/>
            </w:pPr>
            <w:r>
              <w:rPr>
                <w:rFonts w:ascii="Times New Roman;serif" w:hAnsi="Times New Roman;serif"/>
                <w:color w:val="000000"/>
                <w:sz w:val="20"/>
              </w:rPr>
              <w:t xml:space="preserve">In </w:t>
            </w:r>
            <w:r>
              <w:rPr>
                <w:rStyle w:val="Emphasis"/>
                <w:rFonts w:ascii="Times New Roman;serif" w:hAnsi="Times New Roman;serif"/>
                <w:color w:val="000000"/>
                <w:sz w:val="20"/>
              </w:rPr>
              <w:t xml:space="preserve">June 2024, </w:t>
            </w:r>
            <w:r>
              <w:rPr>
                <w:rFonts w:ascii="Times New Roman;serif" w:hAnsi="Times New Roman;serif"/>
                <w:color w:val="000000"/>
                <w:sz w:val="20"/>
              </w:rPr>
              <w:t xml:space="preserve">the Company closed on the acquisition of the Commercial &amp; Industrial Battery Energy Storage System (C&amp;I BESS) product offering from SunGrid Solutions Inc. located in Cambridge, Canada.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April 2024, </w:t>
            </w:r>
            <w:r>
              <w:rPr/>
              <w:t>the Company acquired Huntington Power Equipment, Inc. (Huntington), headquartered in Shelton, Connecticut. Huntington is an industrial and residential generator distributor as well as a provider of maintenance and repair services.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February 2023, </w:t>
            </w:r>
            <w:r>
              <w:rPr/>
              <w:t>the Company acquired REFUstor, headquartered in Pfullingen, Germany. REFUstor is a developer and supplier of battery storage hardware products, advanced software, and platform services for the commercial and industrial energy storage market, primarily in Europe.</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2.</w:t>
            </w:r>
          </w:p>
        </w:tc>
        <w:tc>
          <w:tcPr>
            <w:tcW w:w="28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Summary of</w:t>
            </w:r>
            <w:r>
              <w:rPr>
                <w:rFonts w:ascii="Times New Roman;Times;serif" w:hAnsi="Times New Roman;Times;serif"/>
                <w:sz w:val="20"/>
              </w:rPr>
              <w:t xml:space="preserve"> </w:t>
            </w:r>
            <w:r>
              <w:rPr>
                <w:rFonts w:ascii="Times New Roman;Times;serif" w:hAnsi="Times New Roman;Times;serif"/>
                <w:b/>
                <w:sz w:val="20"/>
              </w:rPr>
              <w:t xml:space="preserve">Accounting Policies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The consolidated financial statements include the accounts of the Company and its subsidiaries that are consolidated in conformity with U.S. generally accepted accounting principles (U.S. GAAP). </w:t>
      </w:r>
      <w:r>
        <w:rPr>
          <w:rFonts w:ascii="Times New Roman;Times;serif" w:hAnsi="Times New Roman;Times;serif"/>
          <w:sz w:val="20"/>
        </w:rPr>
        <w:t>All intercompany amounts and transactions have been eliminated in consolidation.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considers all highly liquid investments purchased with an original maturity of </w:t>
      </w:r>
      <w:r>
        <w:rPr>
          <w:rStyle w:val="Emphasis"/>
          <w:rFonts w:ascii="Times New Roman;Times;serif" w:hAnsi="Times New Roman;Times;serif"/>
          <w:sz w:val="20"/>
        </w:rPr>
        <w:t>three</w:t>
      </w:r>
      <w:r>
        <w:rPr>
          <w:rFonts w:ascii="Times New Roman;Times;serif" w:hAnsi="Times New Roman;Times;serif"/>
          <w:sz w:val="20"/>
        </w:rPr>
        <w:t xml:space="preserve"> months or less to be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Company maintains the majority of its domestic cash in a few commercial banks in multiple operating and investment accounts. Balances on deposit are insured by the Federal Deposit Insurance Corporation (FDIC) up to specified limits. Balances in excess of FDIC limits are uninsured. One customer accounted for approximately 9% and 10% of accounts receivable 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 No </w:t>
      </w:r>
      <w:r>
        <w:rPr>
          <w:rStyle w:val="Emphasis"/>
          <w:rFonts w:ascii="Times New Roman;Times;serif" w:hAnsi="Times New Roman;Times;serif"/>
          <w:sz w:val="20"/>
        </w:rPr>
        <w:t>one</w:t>
      </w:r>
      <w:r>
        <w:rPr>
          <w:rFonts w:ascii="Times New Roman;Times;serif" w:hAnsi="Times New Roman;Times;serif"/>
          <w:sz w:val="20"/>
        </w:rPr>
        <w:t xml:space="preserve"> customer accounted for greater than 4%, 5%, and 4%, of net sales during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b/>
          <w:sz w:val="20"/>
        </w:rPr>
        <w:t>Accounts Receivable and Allowance for Credit Losses</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jc w:val="both"/>
        <w:rPr/>
      </w:pPr>
      <w:r>
        <w:rPr>
          <w:rFonts w:ascii="Times New Roman;Times;serif" w:hAnsi="Times New Roman;Times;serif"/>
          <w:sz w:val="20"/>
        </w:rPr>
        <w:t xml:space="preserve">The Company's trade and other receivables primarily arise from the sale of its products and services to independent residential dealers, industrial distributors and dealers, national and regional retailers, electrical/HVAC/solar wholesalers, e-commerce partners, equipment rental companies, equipment distributors, EPC companies, telecommunications and data center customers, and certain end users with payment terms generally ranging from </w:t>
      </w:r>
      <w:r>
        <w:rPr>
          <w:rStyle w:val="Emphasis"/>
          <w:rFonts w:ascii="Times New Roman;Times;serif" w:hAnsi="Times New Roman;Times;serif"/>
          <w:sz w:val="20"/>
        </w:rPr>
        <w:t>30</w:t>
      </w:r>
      <w:r>
        <w:rPr>
          <w:rFonts w:ascii="Times New Roman;Times;serif" w:hAnsi="Times New Roman;Times;serif"/>
          <w:sz w:val="20"/>
        </w:rPr>
        <w:t xml:space="preserve"> to </w:t>
      </w:r>
      <w:r>
        <w:rPr>
          <w:rStyle w:val="Emphasis"/>
          <w:rFonts w:ascii="Times New Roman;Times;serif" w:hAnsi="Times New Roman;Times;serif"/>
          <w:sz w:val="20"/>
        </w:rPr>
        <w:t>90</w:t>
      </w:r>
      <w:r>
        <w:rPr>
          <w:rFonts w:ascii="Times New Roman;Times;serif" w:hAnsi="Times New Roman;Times;serif"/>
          <w:sz w:val="20"/>
        </w:rPr>
        <w:t xml:space="preserve"> days. The Company evaluates the credit risk of a customer when extending credit based on a combination of various financial and qualitative factors that </w:t>
      </w:r>
      <w:r>
        <w:rPr>
          <w:rStyle w:val="Emphasis"/>
          <w:rFonts w:ascii="Times New Roman;Times;serif" w:hAnsi="Times New Roman;Times;serif"/>
          <w:sz w:val="20"/>
        </w:rPr>
        <w:t xml:space="preserve">may </w:t>
      </w:r>
      <w:r>
        <w:rPr>
          <w:rFonts w:ascii="Times New Roman;Times;serif" w:hAnsi="Times New Roman;Times;serif"/>
          <w:sz w:val="20"/>
        </w:rPr>
        <w:t xml:space="preserve">affect the customers' ability to pay. These factors include the customer's financial condition, past payment experience, credit bureau information, and regional considerations. </w:t>
      </w:r>
    </w:p>
    <w:p>
      <w:pPr>
        <w:pStyle w:val="TextBody"/>
        <w:bidi w:val="0"/>
        <w:spacing w:before="0" w:after="0"/>
        <w:ind w:left="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Receivables are recorded at their face value amount less an allowance for credit losses. The Company maintains an allowance for credit losses, which represents an estimate of expected losses over the remaining contractual life of its receivables considering current market conditions and estimates for supportable forecasts when appropriate. The Company measures expected credit losses on its trade receivables on an entity-by-entity basis. The estimate of expected credit losses considers a historical loss experience rate that is adjusted for delinquency trends, collection experience, and/or economic risk where appropriate based on current market conditions. Additionally, management develops a specific allowance for trade receivables known to have a high risk of expected future credit loss.  </w:t>
      </w:r>
    </w:p>
    <w:p>
      <w:pPr>
        <w:pStyle w:val="TextBody"/>
        <w:bidi w:val="0"/>
        <w:spacing w:before="0" w:after="0"/>
        <w:ind w:left="0" w:right="0" w:hanging="0"/>
        <w:jc w:val="both"/>
        <w:rPr/>
      </w:pPr>
      <w:r>
        <w:rPr/>
        <w:t> </w:t>
      </w:r>
    </w:p>
    <w:p>
      <w:pPr>
        <w:pStyle w:val="TextBody"/>
        <w:bidi w:val="0"/>
        <w:jc w:val="both"/>
        <w:rPr/>
      </w:pPr>
      <w:r>
        <w:rPr>
          <w:rFonts w:ascii="Times New Roman;Times;serif" w:hAnsi="Times New Roman;Times;serif"/>
          <w:sz w:val="20"/>
        </w:rPr>
        <w:t xml:space="preserve">The Company holds various credit insurance plans that cover the risk of loss up to specified amounts on certain trade receivables.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the Company had gross receivables of $637,243 and an allowance for credit losses of $34,504. </w:t>
      </w:r>
    </w:p>
    <w:p>
      <w:pPr>
        <w:pStyle w:val="TextBody"/>
        <w:bidi w:val="0"/>
        <w:spacing w:before="0" w:after="0"/>
        <w:ind w:left="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b/>
          <w:sz w:val="20"/>
        </w:rPr>
        <w:t>Inventories</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jc w:val="both"/>
        <w:rPr/>
      </w:pPr>
      <w:r>
        <w:rPr>
          <w:rFonts w:ascii="Times New Roman;Times;serif" w:hAnsi="Times New Roman;Times;serif"/>
          <w:sz w:val="20"/>
        </w:rPr>
        <w:t xml:space="preserve">Inventories are stated at the lower of cost or market, with cost determined using the </w:t>
      </w:r>
      <w:r>
        <w:rPr>
          <w:rStyle w:val="Emphasis"/>
          <w:rFonts w:ascii="Times New Roman;Times;serif" w:hAnsi="Times New Roman;Times;serif"/>
          <w:sz w:val="20"/>
        </w:rPr>
        <w:t>first</w:t>
      </w:r>
      <w:r>
        <w:rPr>
          <w:rFonts w:ascii="Times New Roman;Times;serif" w:hAnsi="Times New Roman;Times;serif"/>
          <w:sz w:val="20"/>
        </w:rPr>
        <w:t xml:space="preserve">-in, </w:t>
      </w:r>
      <w:r>
        <w:rPr>
          <w:rStyle w:val="Emphasis"/>
          <w:rFonts w:ascii="Times New Roman;Times;serif" w:hAnsi="Times New Roman;Times;serif"/>
          <w:sz w:val="20"/>
        </w:rPr>
        <w:t>first</w:t>
      </w:r>
      <w:r>
        <w:rPr>
          <w:rFonts w:ascii="Times New Roman;Times;serif" w:hAnsi="Times New Roman;Times;serif"/>
          <w:sz w:val="20"/>
        </w:rPr>
        <w:t xml:space="preserve">-out method.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Property and Equipment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Property and equipment, including internal use software, is recorded at cost and depreciated using the straight-line method over the estimated useful lives of the assets, which are summarized below (in years). Costs of leasehold improvements are amortized over the lesser of the term of the lease (including renewal option periods) or the estimated useful lives of the improvements. The Company capitalizes internal use software and significant enhancements when the Company obtains a software license or develops the software internally. The Company capitalizes cloud computing software arrangements that qualify as service contracts if the Company has the contractual right to take possession of the software at any time during the contract period, without significant penalty and if it is feasible for the Company to either operate the software internally or contract with a </w:t>
      </w:r>
      <w:r>
        <w:rPr>
          <w:rStyle w:val="Emphasis"/>
          <w:rFonts w:ascii="Times New Roman;Times;serif" w:hAnsi="Times New Roman;Times;serif"/>
          <w:sz w:val="20"/>
        </w:rPr>
        <w:t>third</w:t>
      </w:r>
      <w:r>
        <w:rPr>
          <w:rFonts w:ascii="Times New Roman;Times;serif" w:hAnsi="Times New Roman;Times;serif"/>
          <w:sz w:val="20"/>
        </w:rPr>
        <w:t xml:space="preserve"> party to host the software on our behalf. Implementation costs incurred in cloud computing arrangements that are service contracts are recorded in prepaid expenses and other assets and operating lease and other assets in the Consolidated Balance Sheets and are amortized over the expected service period of the cloud computing arrangements. Finance lease right of use assets are included in property and equipment. </w:t>
      </w:r>
    </w:p>
    <w:p>
      <w:pPr>
        <w:pStyle w:val="TextBody"/>
        <w:bidi w:val="0"/>
        <w:spacing w:before="0" w:after="0"/>
        <w:ind w:left="0" w:right="0" w:hanging="0"/>
        <w:jc w:val="both"/>
        <w:rPr/>
      </w:pPr>
      <w:r>
        <w:rPr/>
        <w:t> </w:t>
      </w:r>
    </w:p>
    <w:tbl>
      <w:tblPr>
        <w:tblW w:w="6380" w:type="dxa"/>
        <w:jc w:val="left"/>
        <w:tblInd w:w="0" w:type="dxa"/>
        <w:tblLayout w:type="fixed"/>
        <w:tblCellMar>
          <w:top w:w="0" w:type="dxa"/>
          <w:left w:w="0" w:type="dxa"/>
          <w:bottom w:w="0" w:type="dxa"/>
          <w:right w:w="0" w:type="dxa"/>
        </w:tblCellMar>
      </w:tblPr>
      <w:tblGrid>
        <w:gridCol w:w="5660"/>
        <w:gridCol w:w="60"/>
        <w:gridCol w:w="230"/>
        <w:gridCol w:w="140"/>
        <w:gridCol w:w="230"/>
        <w:gridCol w:w="60"/>
      </w:tblGrid>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40" w:type="dxa"/>
            <w:tcBorders/>
            <w:shd w:fill="FFFFFF" w:val="clear"/>
            <w:vAlign w:val="center"/>
          </w:tcPr>
          <w:p>
            <w:pPr>
              <w:pStyle w:val="TableContents"/>
              <w:bidi w:val="0"/>
              <w:spacing w:before="0" w:after="283"/>
              <w:ind w:left="0" w:right="0" w:hanging="0"/>
              <w:jc w:val="center"/>
              <w:rPr/>
            </w:pPr>
            <w:r>
              <w:rPr/>
              <w:t>–</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Dies and tools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FFFFFF" w:val="clear"/>
            <w:vAlign w:val="center"/>
          </w:tcPr>
          <w:p>
            <w:pPr>
              <w:pStyle w:val="TableContents"/>
              <w:bidi w:val="0"/>
              <w:spacing w:before="0" w:after="283"/>
              <w:ind w:left="0" w:right="0" w:hanging="0"/>
              <w:jc w:val="center"/>
              <w:rPr/>
            </w:pPr>
            <w:r>
              <w:rPr/>
              <w:t>–</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&amp; information technology equipment and internal use software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FFFFFF" w:val="clear"/>
            <w:vAlign w:val="center"/>
          </w:tcPr>
          <w:p>
            <w:pPr>
              <w:pStyle w:val="TableContents"/>
              <w:bidi w:val="0"/>
              <w:spacing w:before="0" w:after="283"/>
              <w:ind w:left="0" w:right="0" w:hanging="0"/>
              <w:jc w:val="center"/>
              <w:rPr/>
            </w:pPr>
            <w:r>
              <w:rPr/>
              <w:t>–</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Total depreciation and finance lease amortization expense was </w:t>
      </w:r>
      <w:r>
        <w:rPr>
          <w:rFonts w:ascii="Times New Roman;Times;serif" w:hAnsi="Times New Roman;Times;serif"/>
          <w:color w:val="000000"/>
          <w:sz w:val="20"/>
          <w:shd w:fill="FFFFFF" w:val="clear"/>
        </w:rPr>
        <w:t>$93,328,</w:t>
      </w:r>
      <w:r>
        <w:rPr>
          <w:rFonts w:ascii="Times New Roman;Times;serif" w:hAnsi="Times New Roman;Times;serif"/>
          <w:color w:val="000000"/>
          <w:sz w:val="20"/>
        </w:rPr>
        <w:t xml:space="preserve"> $74,025</w:t>
      </w:r>
      <w:r>
        <w:rPr>
          <w:rFonts w:ascii="Times New Roman;Times;serif" w:hAnsi="Times New Roman;Times;serif"/>
          <w:sz w:val="20"/>
        </w:rPr>
        <w:t xml:space="preserve">, and $62,408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and Other Indefinite-Lived Intangible Assets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Goodwill represents the excess of the purchase price over fair value of identifiable net assets acquired from business acquisitions. Goodwill is </w:t>
      </w:r>
      <w:r>
        <w:rPr>
          <w:rStyle w:val="Emphasis"/>
          <w:rFonts w:ascii="Times New Roman;Times;serif" w:hAnsi="Times New Roman;Times;serif"/>
          <w:sz w:val="20"/>
        </w:rPr>
        <w:t>not</w:t>
      </w:r>
      <w:r>
        <w:rPr>
          <w:rFonts w:ascii="Times New Roman;Times;serif" w:hAnsi="Times New Roman;Times;serif"/>
          <w:sz w:val="20"/>
        </w:rPr>
        <w:t xml:space="preserve"> amortized, but is reviewed for impairment on an annual basis and between annual tests if indicators of impairment are present. The Company evaluates goodwill for impairment annually as of </w:t>
      </w:r>
      <w:r>
        <w:rPr>
          <w:rStyle w:val="Emphasis"/>
          <w:rFonts w:ascii="Times New Roman;Times;serif" w:hAnsi="Times New Roman;Times;serif"/>
          <w:sz w:val="20"/>
        </w:rPr>
        <w:t xml:space="preserve">October 31 </w:t>
      </w:r>
      <w:r>
        <w:rPr>
          <w:rFonts w:ascii="Times New Roman;Times;serif" w:hAnsi="Times New Roman;Times;serif"/>
          <w:sz w:val="20"/>
        </w:rPr>
        <w:t xml:space="preserve">or more frequently when an event occurs or circumstances change that indicates the carrying value </w:t>
      </w:r>
      <w:r>
        <w:rPr>
          <w:rStyle w:val="Emphasis"/>
          <w:rFonts w:ascii="Times New Roman;Times;serif" w:hAnsi="Times New Roman;Times;serif"/>
          <w:sz w:val="20"/>
        </w:rPr>
        <w:t>may not</w:t>
      </w:r>
      <w:r>
        <w:rPr>
          <w:rFonts w:ascii="Times New Roman;Times;serif" w:hAnsi="Times New Roman;Times;serif"/>
          <w:sz w:val="20"/>
        </w:rPr>
        <w:t xml:space="preserve"> be recoverable. The Company has the option to assess goodwill for impairment by performing either a qualitative assessment or quantitative test. The qualitative assessment determines whether it is more likely than </w:t>
      </w:r>
      <w:r>
        <w:rPr>
          <w:rStyle w:val="Emphasis"/>
          <w:rFonts w:ascii="Times New Roman;Times;serif" w:hAnsi="Times New Roman;Times;serif"/>
          <w:sz w:val="20"/>
        </w:rPr>
        <w:t>not</w:t>
      </w:r>
      <w:r>
        <w:rPr>
          <w:rFonts w:ascii="Times New Roman;Times;serif" w:hAnsi="Times New Roman;Times;serif"/>
          <w:sz w:val="20"/>
        </w:rPr>
        <w:t xml:space="preserve"> that the fair value of a reporting unit is less than its carrying amount. If the Company determines that it is </w:t>
      </w:r>
      <w:r>
        <w:rPr>
          <w:rStyle w:val="Emphasis"/>
          <w:rFonts w:ascii="Times New Roman;Times;serif" w:hAnsi="Times New Roman;Times;serif"/>
          <w:sz w:val="20"/>
        </w:rPr>
        <w:t>not</w:t>
      </w:r>
      <w:r>
        <w:rPr>
          <w:rFonts w:ascii="Times New Roman;Times;serif" w:hAnsi="Times New Roman;Times;serif"/>
          <w:sz w:val="20"/>
        </w:rPr>
        <w:t xml:space="preserve"> more likely than </w:t>
      </w:r>
      <w:r>
        <w:rPr>
          <w:rStyle w:val="Emphasis"/>
          <w:rFonts w:ascii="Times New Roman;Times;serif" w:hAnsi="Times New Roman;Times;serif"/>
          <w:sz w:val="20"/>
        </w:rPr>
        <w:t>not</w:t>
      </w:r>
      <w:r>
        <w:rPr>
          <w:rFonts w:ascii="Times New Roman;Times;serif" w:hAnsi="Times New Roman;Times;serif"/>
          <w:sz w:val="20"/>
        </w:rPr>
        <w:t xml:space="preserve"> that the fair value of a reporting unit is less than its carrying amount, then the quantitative test is </w:t>
      </w:r>
      <w:r>
        <w:rPr>
          <w:rStyle w:val="Emphasis"/>
          <w:rFonts w:ascii="Times New Roman;Times;serif" w:hAnsi="Times New Roman;Times;serif"/>
          <w:sz w:val="20"/>
        </w:rPr>
        <w:t>not</w:t>
      </w:r>
      <w:r>
        <w:rPr>
          <w:rFonts w:ascii="Times New Roman;Times;serif" w:hAnsi="Times New Roman;Times;serif"/>
          <w:sz w:val="20"/>
        </w:rPr>
        <w:t xml:space="preserve"> required to be performed. If the Company determines that it is more likely than </w:t>
      </w:r>
      <w:r>
        <w:rPr>
          <w:rStyle w:val="Emphasis"/>
          <w:rFonts w:ascii="Times New Roman;Times;serif" w:hAnsi="Times New Roman;Times;serif"/>
          <w:sz w:val="20"/>
        </w:rPr>
        <w:t>not</w:t>
      </w:r>
      <w:r>
        <w:rPr>
          <w:rFonts w:ascii="Times New Roman;Times;serif" w:hAnsi="Times New Roman;Times;serif"/>
          <w:sz w:val="20"/>
        </w:rPr>
        <w:t xml:space="preserve"> that the fair value of a reporting unit is less than its carrying amount, the Company is required to perform the quantitative test. In the quantitative test, the calculated fair value of the reporting unit is compared to its book value including goodwill. If the fair value of the reporting unit is in excess of its book value, the related goodwill is </w:t>
      </w:r>
      <w:r>
        <w:rPr>
          <w:rStyle w:val="Emphasis"/>
          <w:rFonts w:ascii="Times New Roman;Times;serif" w:hAnsi="Times New Roman;Times;serif"/>
          <w:sz w:val="20"/>
        </w:rPr>
        <w:t>not</w:t>
      </w:r>
      <w:r>
        <w:rPr>
          <w:rFonts w:ascii="Times New Roman;Times;serif" w:hAnsi="Times New Roman;Times;serif"/>
          <w:sz w:val="20"/>
        </w:rPr>
        <w:t xml:space="preserve"> impaired. If the fair value of the reporting unit is less than its book value, an impairment loss is recognized in an amount equal to that excess, limited to the total amount of goodwill allocated to that reporting unit.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Other indefinite-lived intangible assets consist of certain tradenames. The Company tests the carrying value of these tradenames annually as of </w:t>
      </w:r>
      <w:r>
        <w:rPr>
          <w:rStyle w:val="Emphasis"/>
          <w:rFonts w:ascii="Times New Roman;Times;serif" w:hAnsi="Times New Roman;Times;serif"/>
          <w:sz w:val="20"/>
        </w:rPr>
        <w:t xml:space="preserve">October 31, </w:t>
      </w:r>
      <w:r>
        <w:rPr>
          <w:rFonts w:ascii="Times New Roman;Times;serif" w:hAnsi="Times New Roman;Times;serif"/>
          <w:sz w:val="20"/>
        </w:rPr>
        <w:t xml:space="preserve">or more frequently when an event occurs or circumstances change that indicates the carrying value </w:t>
      </w:r>
      <w:r>
        <w:rPr>
          <w:rStyle w:val="Emphasis"/>
          <w:rFonts w:ascii="Times New Roman;Times;serif" w:hAnsi="Times New Roman;Times;serif"/>
          <w:sz w:val="20"/>
        </w:rPr>
        <w:t>may not</w:t>
      </w:r>
      <w:r>
        <w:rPr>
          <w:rFonts w:ascii="Times New Roman;Times;serif" w:hAnsi="Times New Roman;Times;serif"/>
          <w:sz w:val="20"/>
        </w:rPr>
        <w:t xml:space="preserve"> be recoverable, by comparing the assets’ fair value to its carrying value. Fair value is measured using a relief-from-royalty approach, which assumes the fair value of the tradename is the discounted cash flows of the amount that would be paid had the Company </w:t>
      </w:r>
      <w:r>
        <w:rPr>
          <w:rStyle w:val="Emphasis"/>
          <w:rFonts w:ascii="Times New Roman;Times;serif" w:hAnsi="Times New Roman;Times;serif"/>
          <w:sz w:val="20"/>
        </w:rPr>
        <w:t>not</w:t>
      </w:r>
      <w:r>
        <w:rPr>
          <w:rFonts w:ascii="Times New Roman;Times;serif" w:hAnsi="Times New Roman;Times;serif"/>
          <w:sz w:val="20"/>
        </w:rPr>
        <w:t xml:space="preserve"> owned the tradename and instead licensed the tradename from another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performed the required annual impairment tests for goodwill and other indefinite-lived intangible assets for the fiscal years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and found no impairment.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Impairment of Long-Lived Assets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periodically evaluates the carrying value of long-lived assets (excluding goodwill and indefinite-lived tradenames). Long-lived assets are reviewed for impairment whenever events or changes in circumstances indicate that the carrying amount </w:t>
      </w:r>
      <w:r>
        <w:rPr>
          <w:rStyle w:val="Emphasis"/>
          <w:rFonts w:ascii="Times New Roman;Times;serif" w:hAnsi="Times New Roman;Times;serif"/>
          <w:sz w:val="20"/>
        </w:rPr>
        <w:t>may not</w:t>
      </w:r>
      <w:r>
        <w:rPr>
          <w:rFonts w:ascii="Times New Roman;Times;serif" w:hAnsi="Times New Roman;Times;serif"/>
          <w:sz w:val="20"/>
        </w:rPr>
        <w:t xml:space="preserve"> be recoverable. If the sum of the expected future undiscounted cash flows is less than the carrying amount of an asset, a loss is recognized for the difference between the fair value and carrying value of the asset.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Debt Issuance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Debt discounts and direct costs incurred in connection with the issuance or amendment of long-term debt are deferred and recorded as a reduction of outstanding debt or included in operating lease and other assets in the consolidated balance sheets. Deferred financing costs and original issue discount are amortized to interest expense using the effective interest method over the terms of the related credit agreements. $2,380, $3,242, and $3,885 of deferred financing costs and original issue discount were amortized to interest expense during fiscal years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Excluding the impact of any future long-term debt issuances or prepayments, estimated amortization to interest expense for the next </w:t>
      </w:r>
      <w:r>
        <w:rPr>
          <w:rStyle w:val="Emphasis"/>
          <w:rFonts w:ascii="Times New Roman;Times;serif" w:hAnsi="Times New Roman;Times;serif"/>
          <w:sz w:val="20"/>
        </w:rPr>
        <w:t>five</w:t>
      </w:r>
      <w:r>
        <w:rPr>
          <w:rFonts w:ascii="Times New Roman;Times;serif" w:hAnsi="Times New Roman;Times;serif"/>
          <w:sz w:val="20"/>
        </w:rPr>
        <w:t xml:space="preserve"> years is as follows: </w:t>
      </w:r>
      <w:r>
        <w:rPr>
          <w:rStyle w:val="Emphasis"/>
          <w:rFonts w:ascii="Times New Roman;Times;serif" w:hAnsi="Times New Roman;Times;serif"/>
          <w:sz w:val="20"/>
        </w:rPr>
        <w:t>2026</w:t>
      </w:r>
      <w:r>
        <w:rPr>
          <w:rFonts w:ascii="Times New Roman;Times;serif" w:hAnsi="Times New Roman;Times;serif"/>
          <w:sz w:val="20"/>
        </w:rPr>
        <w:t xml:space="preserve"> - $2,195; </w:t>
      </w:r>
      <w:r>
        <w:rPr>
          <w:rStyle w:val="Emphasis"/>
          <w:rFonts w:ascii="Times New Roman;Times;serif" w:hAnsi="Times New Roman;Times;serif"/>
          <w:sz w:val="20"/>
        </w:rPr>
        <w:t>2027</w:t>
      </w:r>
      <w:r>
        <w:rPr>
          <w:rFonts w:ascii="Times New Roman;Times;serif" w:hAnsi="Times New Roman;Times;serif"/>
          <w:sz w:val="20"/>
        </w:rPr>
        <w:t xml:space="preserve"> - $2,242; </w:t>
      </w:r>
      <w:r>
        <w:rPr>
          <w:rStyle w:val="Emphasis"/>
          <w:rFonts w:ascii="Times New Roman;Times;serif" w:hAnsi="Times New Roman;Times;serif"/>
          <w:sz w:val="20"/>
        </w:rPr>
        <w:t>2028</w:t>
      </w:r>
      <w:r>
        <w:rPr>
          <w:rFonts w:ascii="Times New Roman;Times;serif" w:hAnsi="Times New Roman;Times;serif"/>
          <w:sz w:val="20"/>
        </w:rPr>
        <w:t xml:space="preserve"> - $2,280; </w:t>
      </w:r>
      <w:r>
        <w:rPr>
          <w:rStyle w:val="Emphasis"/>
          <w:rFonts w:ascii="Times New Roman;Times;serif" w:hAnsi="Times New Roman;Times;serif"/>
          <w:sz w:val="20"/>
        </w:rPr>
        <w:t>2029</w:t>
      </w:r>
      <w:r>
        <w:rPr>
          <w:rFonts w:ascii="Times New Roman;Times;serif" w:hAnsi="Times New Roman;Times;serif"/>
          <w:sz w:val="20"/>
        </w:rPr>
        <w:t xml:space="preserve"> - $2,295; </w:t>
      </w:r>
      <w:r>
        <w:rPr>
          <w:rStyle w:val="Emphasis"/>
          <w:rFonts w:ascii="Times New Roman;Times;serif" w:hAnsi="Times New Roman;Times;serif"/>
          <w:sz w:val="20"/>
        </w:rPr>
        <w:t>2030</w:t>
      </w:r>
      <w:r>
        <w:rPr>
          <w:rFonts w:ascii="Times New Roman;Times;serif" w:hAnsi="Times New Roman;Times;serif"/>
          <w:sz w:val="20"/>
        </w:rPr>
        <w:t xml:space="preserve"> - $1,385.</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a C Corporation and therefore accounts for income taxes pursuant to the liability method. Accordingly, the current or deferred tax consequences of a transaction are measured by applying the provision of enacted tax laws to determine the amount of taxes payable currently or in future years. Deferred income taxes are provided for temporary differences between the income tax basis of assets and liabilities and their carrying amounts for financial reporting purposes. In assessing the realizability of deferred tax assets, the Company considers whether it is more likely than </w:t>
      </w:r>
      <w:r>
        <w:rPr>
          <w:rStyle w:val="Emphasis"/>
          <w:rFonts w:ascii="Times New Roman;Times;serif" w:hAnsi="Times New Roman;Times;serif"/>
          <w:sz w:val="20"/>
        </w:rPr>
        <w:t>not</w:t>
      </w:r>
      <w:r>
        <w:rPr>
          <w:rFonts w:ascii="Times New Roman;Times;serif" w:hAnsi="Times New Roman;Times;serif"/>
          <w:sz w:val="20"/>
        </w:rPr>
        <w:t xml:space="preserve"> that some portion or all of the deferred tax assets will </w:t>
      </w:r>
      <w:r>
        <w:rPr>
          <w:rStyle w:val="Emphasis"/>
          <w:rFonts w:ascii="Times New Roman;Times;serif" w:hAnsi="Times New Roman;Times;serif"/>
          <w:sz w:val="20"/>
        </w:rPr>
        <w:t>not</w:t>
      </w:r>
      <w:r>
        <w:rPr>
          <w:rFonts w:ascii="Times New Roman;Times;serif" w:hAnsi="Times New Roman;Times;serif"/>
          <w:sz w:val="20"/>
        </w:rPr>
        <w:t xml:space="preserve"> be realized. The ultimate realization of deferred tax assets is dependent upon the generation of future taxable income during the years in which those temporary differences become deductible. The Company considers taxable income in prior carryback years, the scheduled reversal of deferred tax liabilities, projected future taxable income and tax planning strategies, as appropriate, in making this assessment.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revenue as products are transferred to, or services are performed for, customers in an amount reflecting the consideration which we expect to receive in return for those products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primarily consist of product sales including residential and commercial &amp; industrial generators, energy storage systems, smart thermostats and home monitoring products, and other power products including light towers and a broad line of outdoor power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offers various services and solutions, including extended warranties, remote monitoring offered through SaaS arrangements, installation, maintenance, data center and telecom design and build, and customer support and software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executed sales agreements and purchase orders to determine the existence of a customer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For each customer contract, we determine if the products and services promised to the customer are distinct performance obligations.  A product or service is distinct if both the following criteria are met at contract inception: (</w:t>
      </w:r>
      <w:r>
        <w:rPr>
          <w:rStyle w:val="Emphasis"/>
          <w:rFonts w:ascii="Times New Roman" w:hAnsi="Times New Roman"/>
          <w:caps w:val="false"/>
          <w:smallCaps w:val="false"/>
          <w:sz w:val="20"/>
        </w:rPr>
        <w:t>1</w:t>
      </w:r>
      <w:r>
        <w:rPr>
          <w:rFonts w:ascii="Times New Roman" w:hAnsi="Times New Roman"/>
          <w:caps w:val="false"/>
          <w:smallCaps w:val="false"/>
          <w:sz w:val="20"/>
        </w:rPr>
        <w:t>) The customer can benefit from the product or service on its own or with other readily available resources, and (</w:t>
      </w:r>
      <w:r>
        <w:rPr>
          <w:rStyle w:val="Emphasis"/>
          <w:rFonts w:ascii="Times New Roman" w:hAnsi="Times New Roman"/>
          <w:caps w:val="false"/>
          <w:smallCaps w:val="false"/>
          <w:sz w:val="20"/>
        </w:rPr>
        <w:t>2</w:t>
      </w:r>
      <w:r>
        <w:rPr>
          <w:rFonts w:ascii="Times New Roman" w:hAnsi="Times New Roman"/>
          <w:caps w:val="false"/>
          <w:smallCaps w:val="false"/>
          <w:sz w:val="20"/>
        </w:rPr>
        <w:t>) our promise to transfer the product or perform the service is separately identifiable from other promises in the contract.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each performance obligation in a contract, we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determine whether the performance obligation is satisfied over time.  A performance obligation is satisfied over time if it meets any of the following criteria:</w:t>
      </w:r>
    </w:p>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60"/>
        <w:gridCol w:w="170"/>
        <w:gridCol w:w="89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customer simultaneously receives and consumes the benefits provided by our performance as we perform;</w:t>
            </w:r>
          </w:p>
        </w:tc>
      </w:tr>
    </w:tbl>
    <w:tbl>
      <w:tblPr>
        <w:tblW w:w="8875" w:type="dxa"/>
        <w:jc w:val="left"/>
        <w:tblInd w:w="0" w:type="dxa"/>
        <w:tblLayout w:type="fixed"/>
        <w:tblCellMar>
          <w:top w:w="0" w:type="dxa"/>
          <w:left w:w="0" w:type="dxa"/>
          <w:bottom w:w="0" w:type="dxa"/>
          <w:right w:w="0" w:type="dxa"/>
        </w:tblCellMar>
      </w:tblPr>
      <w:tblGrid>
        <w:gridCol w:w="60"/>
        <w:gridCol w:w="170"/>
        <w:gridCol w:w="86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performance creates or enhances an asset that the customer controls as the asset is created or enhanced;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performance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create an asset for which we have an alternative use and we have an enforceable right to payment for performance completed to date.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these criteria are met, then we recognize revenue over time using a method that reflects performance under the contract.  If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these criteria are met, then we recognize revenue at a point in time, when control transfers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majority of our product sales, the Company considers the commitment to transfer products, each of which is distinct, to be the identified performance obligations. Revenue generally reflects the price stated in the contract specific for each item sold, adjusted for the value of expected returns, discounts, rebates, or other promotional incentives or allowances offered to our customers. Expected returns for damaged or defective product are estimated using the expected value method based on historical product return experience. Discounts and rebates offered to customers are typically defined in the master sales agreements with customers and, therefore, are recorded using the most likely amount method based on the terms of the contract. Promotional incentives are defined programs offered for short, specific periods of time and are estimated using the expected value method based on historical experience.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transaction price for revenue recognized will be subject to a significant revenue reversal. As the Company’s product sale contracts and standard payment terms predominantly have a duration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it uses the practical expedient applicable to such contracts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the time value of money. Sales, use, value add, and other similar taxes assessed by governmental authorities and collected concurrent with revenue-producing activities are excluded from revenue. The Company has elected to recognize the cost for freight activities when control of the product has transferred to the customer as an expense within cost of goods sold in the consolidated statements of comprehensive income. Product revenues are typically recognized upon shipment or delivery to the customer. To determine when control has transferred, the Company considers if there is a present right to payment and if legal title, physical possession, and the significant risks and rewards of ownership of the asset has transferred to the customer.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offers standard warranty coverage on substantially all products that it sells and accounts for this standard warranty coverage as an assurance warranty. As such,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transaction price is allocated to the standard warranty, and the Company records a liability for product warranty obligations at the time of sale to a customer based on historical warranty experience.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“Product Warranty Obligations,” to the consolidated financial statements in Item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further information regarding the Company’s standard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services and solutions, the Company recognizes revenue at a point in time or over the period the related services are performed.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services relate mainly to extended warranty coverage for certain products, which are accounted for as service warranties. In most cases, the extended warranty is sold as a separate contract. As such, extended warranty sales are considered a separate performance obligation, and the extended warranty transaction is separate and distinct from the product. The extended warranty transaction price is initially recorded as deferred revenue in the consolidated balance sheets and amortized on a straight-line basis to net sales in the consolidated statements of comprehensive income over the life of the contracts following the standard warranty period. For extended warranty contracts that the Company sells under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marketing agreement, it is required to pay fees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service provider and classifies these fees as costs to obtain a contract. The contract costs are deferred and recorded as prepaid expenses and other assets when cost will be recognized in less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and operating lease and other asset</w:t>
      </w:r>
      <w:r>
        <w:rPr>
          <w:rFonts w:ascii="Times New Roman" w:hAnsi="Times New Roman"/>
          <w:caps w:val="false"/>
          <w:smallCaps w:val="false"/>
          <w:color w:val="000000"/>
          <w:sz w:val="20"/>
        </w:rPr>
        <w:t xml:space="preserve">s when cost will be recognized in more than </w:t>
      </w:r>
      <w:r>
        <w:rPr>
          <w:rStyle w:val="Emphasis"/>
          <w:rFonts w:ascii="Times New Roman" w:hAnsi="Times New Roman"/>
          <w:caps w:val="false"/>
          <w:smallCaps w:val="false"/>
          <w:color w:val="000000"/>
          <w:sz w:val="20"/>
        </w:rPr>
        <w:t>twelve</w:t>
      </w:r>
      <w:r>
        <w:rPr>
          <w:rFonts w:ascii="Times New Roman" w:hAnsi="Times New Roman"/>
          <w:caps w:val="false"/>
          <w:smallCaps w:val="false"/>
          <w:color w:val="000000"/>
          <w:sz w:val="20"/>
        </w:rPr>
        <w:t xml:space="preserve"> months, in the consolidated balance sheets. Th</w:t>
      </w:r>
      <w:r>
        <w:rPr>
          <w:rFonts w:ascii="Times New Roman" w:hAnsi="Times New Roman"/>
          <w:caps w:val="false"/>
          <w:smallCaps w:val="false"/>
          <w:sz w:val="20"/>
        </w:rPr>
        <w:t xml:space="preserve">e deferred contract costs are amortized to cost of goods sold in the consolidated statements of comprehensive income over the same period that the underlying deferred revenue is recognized.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“Product Warranty Obligations,” to the consolidated financial statements in Item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further information regarding the Company’s extended warranties.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the Company’s SaaS arrangements, such as remote monitoring services which allow our customers to use hosted software over a contract period without taking possession of the software, are recognized over time during the period the customer is provided access to the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Lifetime customer support and software maintenance (support and maintenance) are provided primarily in conjunction with the Company’s sale of its smart thermostats.  The company allocates revenue to support and maintenance based on estimated stand-alone selling prices and recognizes the revenue over the estimated life of the thermostat.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provides back-up power solutions for data centers, including the product, enclosure packaging, project management and oversight of product delivery, installation, commissioning, and training. Revenue for the products sold under these contracts are typically recognized when the control of the underlying goods and services is transferred to the customer. In making this evaluation, the Company considers contractual terms and whether there is an alternative use for the good or service. Through this process, the Company has concluded that substantially all of the performance obligations under these contracts transfer control to the customer over time as a result of enforceable payment rights and the customized nature of its goods and services, which create assets without an alternative use. Revenue is recognized on performance obligations that are satisfied overtime by measuring progress using the cost-to-cost method of percentage-of-completion because it best depicts the transfer of control to the customer. Under this method, the Company measures progress based on the ratio of costs incurred to date to total estimated costs for the performance obligations. Each contract is evaluated at contract inception to identify risks and estimate revenue and costs. If a loss is expected on a contract, the complete estimated loss is recorded in the period in which the loss is identified. The Company recognizes changes in estimated sales or costs and the resulting profit or loss on a cumulative basis in the period when the estimate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Total service revenues accounted for approximately</w:t>
      </w:r>
      <w:r>
        <w:rPr>
          <w:rFonts w:ascii="Times New Roman" w:hAnsi="Times New Roman"/>
          <w:caps w:val="false"/>
          <w:smallCaps w:val="false"/>
          <w:color w:val="000000"/>
          <w:sz w:val="20"/>
        </w:rPr>
        <w:t> </w:t>
      </w:r>
      <w:r>
        <w:rPr>
          <w:rStyle w:val="Emphasis"/>
          <w:rFonts w:ascii="Times New Roman" w:hAnsi="Times New Roman"/>
          <w:caps w:val="false"/>
          <w:smallCaps w:val="false"/>
          <w:color w:val="000000"/>
          <w:sz w:val="20"/>
        </w:rPr>
        <w:t>4%</w:t>
      </w:r>
      <w:r>
        <w:rPr>
          <w:rFonts w:ascii="Times New Roman" w:hAnsi="Times New Roman"/>
          <w:caps w:val="false"/>
          <w:smallCaps w:val="false"/>
          <w:color w:val="000000"/>
          <w:sz w:val="20"/>
        </w:rPr>
        <w:t xml:space="preserve"> of net </w:t>
      </w:r>
      <w:r>
        <w:rPr>
          <w:rFonts w:ascii="Times New Roman" w:hAnsi="Times New Roman"/>
          <w:caps w:val="false"/>
          <w:smallCaps w:val="false"/>
          <w:sz w:val="20"/>
        </w:rPr>
        <w:t xml:space="preserve">sales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Contract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While the Company’s standard payment terms are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the specific payment terms and conditions in its customer contracts vary. In some cases, customers prepay for their goods or services; in other cases, after appropriate credit evaluation, an open credit line is granted and payment is due in arrears after shipment of the product to the customer or performance of the service. Contracts with payment in arrears are recognized in the consolidated balance sheets as accounts receivable upon revenue recognition, while contracts where customers pay in advance of performance are recognized as deferred revenue and recorded in other accrued liabilities (for the portion expected to be recognized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deferred revenue (for the portion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recognized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in the consolidated balance sheets, until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Below is a summary of our short-term and long-term contract liabilities balance, excluding the extended warranty deferred revenue balance disclosed in Note </w:t>
      </w:r>
      <w:r>
        <w:rPr>
          <w:rStyle w:val="Emphasis"/>
          <w:rFonts w:ascii="Times New Roman" w:hAnsi="Times New Roman"/>
          <w:caps w:val="false"/>
          <w:smallCaps w:val="false"/>
          <w:sz w:val="20"/>
        </w:rPr>
        <w:t>11:</w:t>
      </w:r>
    </w:p>
    <w:p>
      <w:pPr>
        <w:pStyle w:val="TextBody"/>
        <w:bidi w:val="0"/>
        <w:spacing w:before="0" w:after="0"/>
        <w:ind w:left="0" w:right="0" w:hanging="0"/>
        <w:jc w:val="both"/>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3020"/>
        <w:gridCol w:w="1895"/>
        <w:gridCol w:w="1895"/>
      </w:tblGrid>
      <w:tr>
        <w:trPr/>
        <w:tc>
          <w:tcPr>
            <w:tcW w:w="30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u w:val="single"/>
              </w:rPr>
            </w:pPr>
            <w:r>
              <w:rPr>
                <w:u w:val="single"/>
              </w:rPr>
              <w:t>December 31, 2025</w:t>
            </w:r>
          </w:p>
        </w:tc>
        <w:tc>
          <w:tcPr>
            <w:tcW w:w="1895" w:type="dxa"/>
            <w:tcBorders/>
            <w:vAlign w:val="center"/>
          </w:tcPr>
          <w:p>
            <w:pPr>
              <w:pStyle w:val="TableContents"/>
              <w:bidi w:val="0"/>
              <w:spacing w:before="0" w:after="283"/>
              <w:jc w:val="center"/>
              <w:rPr>
                <w:u w:val="single"/>
              </w:rPr>
            </w:pPr>
            <w:r>
              <w:rPr>
                <w:u w:val="single"/>
              </w:rPr>
              <w:t>December 31, 2024</w:t>
            </w:r>
          </w:p>
        </w:tc>
      </w:tr>
      <w:tr>
        <w:trPr/>
        <w:tc>
          <w:tcPr>
            <w:tcW w:w="3020" w:type="dxa"/>
            <w:tcBorders/>
            <w:vAlign w:val="center"/>
          </w:tcPr>
          <w:p>
            <w:pPr>
              <w:pStyle w:val="TableContents"/>
              <w:bidi w:val="0"/>
              <w:spacing w:before="0" w:after="283"/>
              <w:jc w:val="left"/>
              <w:rPr/>
            </w:pPr>
            <w:r>
              <w:rPr/>
              <w:t>Balance as of beginning of year</w:t>
            </w:r>
          </w:p>
        </w:tc>
        <w:tc>
          <w:tcPr>
            <w:tcW w:w="1895" w:type="dxa"/>
            <w:tcBorders/>
            <w:vAlign w:val="center"/>
          </w:tcPr>
          <w:p>
            <w:pPr>
              <w:pStyle w:val="TableContents"/>
              <w:bidi w:val="0"/>
              <w:spacing w:before="0" w:after="283"/>
              <w:jc w:val="center"/>
              <w:rPr/>
            </w:pPr>
            <w:r>
              <w:rPr/>
              <w:t>$97,821</w:t>
            </w:r>
          </w:p>
        </w:tc>
        <w:tc>
          <w:tcPr>
            <w:tcW w:w="1895" w:type="dxa"/>
            <w:tcBorders/>
            <w:vAlign w:val="center"/>
          </w:tcPr>
          <w:p>
            <w:pPr>
              <w:pStyle w:val="TableContents"/>
              <w:bidi w:val="0"/>
              <w:spacing w:before="0" w:after="283"/>
              <w:jc w:val="center"/>
              <w:rPr/>
            </w:pPr>
            <w:r>
              <w:rPr/>
              <w:t>$19,173</w:t>
            </w:r>
          </w:p>
        </w:tc>
      </w:tr>
      <w:tr>
        <w:trPr/>
        <w:tc>
          <w:tcPr>
            <w:tcW w:w="3020" w:type="dxa"/>
            <w:tcBorders/>
            <w:vAlign w:val="center"/>
          </w:tcPr>
          <w:p>
            <w:pPr>
              <w:pStyle w:val="TableContents"/>
              <w:bidi w:val="0"/>
              <w:spacing w:before="0" w:after="283"/>
              <w:jc w:val="left"/>
              <w:rPr/>
            </w:pPr>
            <w:r>
              <w:rPr/>
              <w:t>Balance as of end of period</w:t>
            </w:r>
          </w:p>
        </w:tc>
        <w:tc>
          <w:tcPr>
            <w:tcW w:w="1895" w:type="dxa"/>
            <w:tcBorders/>
            <w:vAlign w:val="center"/>
          </w:tcPr>
          <w:p>
            <w:pPr>
              <w:pStyle w:val="TableContents"/>
              <w:bidi w:val="0"/>
              <w:spacing w:before="0" w:after="283"/>
              <w:jc w:val="center"/>
              <w:rPr/>
            </w:pPr>
            <w:r>
              <w:rPr/>
              <w:t>$151,257</w:t>
            </w:r>
          </w:p>
        </w:tc>
        <w:tc>
          <w:tcPr>
            <w:tcW w:w="1895" w:type="dxa"/>
            <w:tcBorders/>
            <w:vAlign w:val="center"/>
          </w:tcPr>
          <w:p>
            <w:pPr>
              <w:pStyle w:val="TableContents"/>
              <w:bidi w:val="0"/>
              <w:spacing w:before="0" w:after="283"/>
              <w:jc w:val="center"/>
              <w:rPr/>
            </w:pPr>
            <w:r>
              <w:rPr/>
              <w:t>$26,858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recognized revenue of $61,299 related to amounts included in the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deferred revenue balance.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recognized revenue of $19,173 related to amounts included in the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 xml:space="preserve">deferred revenue balance.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aggregate amount of revenue that the Company expects to recognize on remaining performance obligations (excluding extended warranty) was $378,782, of which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is expected to be recognized as revenue over the next two years.  We have applied the practical expedient to exclude the value of remaining performance obligations for contracts with an original term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Refer to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“Segment Reporting,” to the consolidated financial statements in Item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Company’s disaggregated revenue disclosure. The information discussed above is applicable to each of the Company’s product classes.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Advertising and Co-Op Advertising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Expenditures for advertising, included in selling and service expenses in the consolidated statements of comprehensive income, are expensed as incurred. Expenditures for advertising production costs are expensed when the related advertisement is </w:t>
      </w:r>
      <w:r>
        <w:rPr>
          <w:rStyle w:val="Emphasis"/>
          <w:rFonts w:ascii="Times New Roman;Times;serif" w:hAnsi="Times New Roman;Times;serif"/>
          <w:sz w:val="20"/>
        </w:rPr>
        <w:t>first</w:t>
      </w:r>
      <w:r>
        <w:rPr>
          <w:rFonts w:ascii="Times New Roman;Times;serif" w:hAnsi="Times New Roman;Times;serif"/>
          <w:sz w:val="20"/>
        </w:rPr>
        <w:t xml:space="preserve"> run. Expenditures for Co-Op advertising are expensed when claimed by the customer. Total expenditures for advertising w</w:t>
      </w:r>
      <w:r>
        <w:rPr>
          <w:rFonts w:ascii="Times New Roman;Times;serif" w:hAnsi="Times New Roman;Times;serif"/>
          <w:color w:val="000000"/>
          <w:sz w:val="20"/>
        </w:rPr>
        <w:t>ere $123,202, $116,550</w:t>
      </w:r>
      <w:r>
        <w:rPr>
          <w:rFonts w:ascii="Times New Roman;Times;serif" w:hAnsi="Times New Roman;Times;serif"/>
          <w:sz w:val="20"/>
        </w:rPr>
        <w:t xml:space="preserve">, and $118,303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expenses research and development costs as incurred. Total expenditures incurred for research and development were $243,470, $219,600, and $173,443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Translation and Transactions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sheet amounts for non-U.S. Dollar functional currency subsidiaries are translated into U.S. Dollars at the rates of exchange in effect at the end of the fiscal year. Income and expenses incurred in a foreign currency are translated at the average rates of exchange in effect during the year. The related balance sheet translation adjustments are made directly to accumulated other comprehensive income (loss), a component of stockholders’ equity, in the consolidated balance sheets. Gains and losses from foreign currency transactions are recognized as incurred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w:t>
      </w:r>
      <w:r>
        <w:rPr>
          <w:rFonts w:ascii="Times New Roman;Times;serif" w:hAnsi="Times New Roman;Times;serif"/>
          <w:i/>
          <w:sz w:val="20"/>
        </w:rPr>
        <w:t>Fair Value Measurement,</w:t>
      </w:r>
      <w:r>
        <w:rPr>
          <w:rFonts w:ascii="Times New Roman;Times;serif" w:hAnsi="Times New Roman;Times;serif"/>
          <w:sz w:val="20"/>
        </w:rPr>
        <w:t xml:space="preserve"> defines fair value, establishes a consistent framework for measuring fair value, and expands disclosure for each major asset and liability category measured at fair value on either a recurring basis or nonrecurring basis. 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w:t>
      </w:r>
      <w:r>
        <w:rPr>
          <w:rStyle w:val="Emphasis"/>
          <w:rFonts w:ascii="Times New Roman;Times;serif" w:hAnsi="Times New Roman;Times;serif"/>
          <w:sz w:val="20"/>
        </w:rPr>
        <w:t>three</w:t>
      </w:r>
      <w:r>
        <w:rPr>
          <w:rFonts w:ascii="Times New Roman;Times;serif" w:hAnsi="Times New Roman;Times;serif"/>
          <w:sz w:val="20"/>
        </w:rPr>
        <w:t xml:space="preserve">-tier fair value hierarchy, which prioritizes the inputs used in measuring fair value as follows: (Level </w:t>
      </w:r>
      <w:r>
        <w:rPr>
          <w:rStyle w:val="Emphasis"/>
          <w:rFonts w:ascii="Times New Roman;Times;serif" w:hAnsi="Times New Roman;Times;serif"/>
          <w:sz w:val="20"/>
        </w:rPr>
        <w:t>1</w:t>
      </w:r>
      <w:r>
        <w:rPr>
          <w:rFonts w:ascii="Times New Roman;Times;serif" w:hAnsi="Times New Roman;Times;serif"/>
          <w:sz w:val="20"/>
        </w:rPr>
        <w:t xml:space="preserve">) observable inputs such as quoted prices in active markets; (Level </w:t>
      </w:r>
      <w:r>
        <w:rPr>
          <w:rStyle w:val="Emphasis"/>
          <w:rFonts w:ascii="Times New Roman;Times;serif" w:hAnsi="Times New Roman;Times;serif"/>
          <w:sz w:val="20"/>
        </w:rPr>
        <w:t>2</w:t>
      </w:r>
      <w:r>
        <w:rPr>
          <w:rFonts w:ascii="Times New Roman;Times;serif" w:hAnsi="Times New Roman;Times;serif"/>
          <w:sz w:val="20"/>
        </w:rPr>
        <w:t xml:space="preserve">) inputs, other than the quoted prices in active markets, that are observable either directly or indirectly; and (Level </w:t>
      </w:r>
      <w:r>
        <w:rPr>
          <w:rStyle w:val="Emphasis"/>
          <w:rFonts w:ascii="Times New Roman;Times;serif" w:hAnsi="Times New Roman;Times;serif"/>
          <w:sz w:val="20"/>
        </w:rPr>
        <w:t>3</w:t>
      </w:r>
      <w:r>
        <w:rPr>
          <w:rFonts w:ascii="Times New Roman;Times;serif" w:hAnsi="Times New Roman;Times;serif"/>
          <w:sz w:val="20"/>
        </w:rPr>
        <w:t xml:space="preserve">) unobservable inputs in which there is little or </w:t>
      </w:r>
      <w:r>
        <w:rPr>
          <w:rStyle w:val="Emphasis"/>
          <w:rFonts w:ascii="Times New Roman;Times;serif" w:hAnsi="Times New Roman;Times;serif"/>
          <w:sz w:val="20"/>
        </w:rPr>
        <w:t>no</w:t>
      </w:r>
      <w:r>
        <w:rPr>
          <w:rFonts w:ascii="Times New Roman;Times;serif" w:hAnsi="Times New Roman;Times;serif"/>
          <w:sz w:val="20"/>
        </w:rPr>
        <w:t xml:space="preserve"> market data, which require the reporting entity to develop its own assumptions.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believes the carrying amount of its financial instruments (cash and cash equivalents, accounts receivable, accounts payable, accrued liabilities, short-term borrowings, and revolving facility borrowings), excluding Term Loan borrowings, approximates the fair value of these instruments based on their short-term nature. The fair value of the Tranche A Term Loan Facility borrowing, which has a net carrying value of $696,780, was approximately $693,000 (Level </w:t>
      </w:r>
      <w:r>
        <w:rPr>
          <w:rStyle w:val="Emphasis"/>
          <w:rFonts w:ascii="Times New Roman;Times;serif" w:hAnsi="Times New Roman;Times;serif"/>
          <w:sz w:val="20"/>
        </w:rPr>
        <w:t>2</w:t>
      </w:r>
      <w:r>
        <w:rPr>
          <w:rFonts w:ascii="Times New Roman;Times;serif" w:hAnsi="Times New Roman;Times;serif"/>
          <w:sz w:val="20"/>
        </w:rPr>
        <w:t>) 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The fair value of the Tranche B Term Loan Facility borrowing, which has a net carrying value of $491,297, was approximately $494,984 (Level </w:t>
      </w:r>
      <w:r>
        <w:rPr>
          <w:rStyle w:val="Emphasis"/>
          <w:rFonts w:ascii="Times New Roman;Times;serif" w:hAnsi="Times New Roman;Times;serif"/>
          <w:sz w:val="20"/>
        </w:rPr>
        <w:t>2</w:t>
      </w:r>
      <w:r>
        <w:rPr>
          <w:rFonts w:ascii="Times New Roman;Times;serif" w:hAnsi="Times New Roman;Times;serif"/>
          <w:sz w:val="20"/>
        </w:rPr>
        <w:t>) as of </w:t>
      </w:r>
      <w:r>
        <w:rPr>
          <w:rStyle w:val="Emphasis"/>
          <w:rFonts w:ascii="Times New Roman;Times;serif" w:hAnsi="Times New Roman;Times;serif"/>
          <w:sz w:val="20"/>
        </w:rPr>
        <w:t xml:space="preserve"> December 31, 2025. </w:t>
      </w:r>
      <w:r>
        <w:rPr>
          <w:rFonts w:ascii="Times New Roman;Times;serif" w:hAnsi="Times New Roman;Times;serif"/>
          <w:sz w:val="20"/>
        </w:rPr>
        <w:t>These Term Loan fair values were calculated based on independent valuations which contain inputs and significant value drivers that are observable.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For the fair value of the assets and liabilities measured on a recurring basis, excluding the contingent consideration discussed below, refer to the fair value table in Note </w:t>
      </w:r>
      <w:r>
        <w:rPr>
          <w:rStyle w:val="Emphasis"/>
          <w:rFonts w:ascii="Times New Roman;Times;serif" w:hAnsi="Times New Roman;Times;serif"/>
          <w:sz w:val="20"/>
        </w:rPr>
        <w:t>5,</w:t>
      </w:r>
      <w:r>
        <w:rPr>
          <w:rFonts w:ascii="Times New Roman;Times;serif" w:hAnsi="Times New Roman;Times;serif"/>
          <w:sz w:val="20"/>
        </w:rPr>
        <w:t xml:space="preserve"> “Derivative Instruments and Hedging Activities,” to the consolidated financial statements of this Annual Report on Form </w:t>
      </w:r>
      <w:r>
        <w:rPr>
          <w:rStyle w:val="Emphasis"/>
          <w:rFonts w:ascii="Times New Roman;Times;serif" w:hAnsi="Times New Roman;Times;serif"/>
          <w:sz w:val="20"/>
        </w:rPr>
        <w:t>10</w:t>
      </w:r>
      <w:r>
        <w:rPr>
          <w:rFonts w:ascii="Times New Roman;Times;serif" w:hAnsi="Times New Roman;Times;serif"/>
          <w:sz w:val="20"/>
        </w:rPr>
        <w:t xml:space="preserve">-K. The fair value of the Company's interest rate swaps and commodity and foreign currency derivative contracts are classified as Level </w:t>
      </w:r>
      <w:r>
        <w:rPr>
          <w:rStyle w:val="Emphasis"/>
          <w:rFonts w:ascii="Times New Roman;Times;serif" w:hAnsi="Times New Roman;Times;serif"/>
          <w:sz w:val="20"/>
        </w:rPr>
        <w:t>2.</w:t>
      </w:r>
      <w:r>
        <w:rPr>
          <w:rFonts w:ascii="Times New Roman;Times;serif" w:hAnsi="Times New Roman;Times;serif"/>
          <w:sz w:val="20"/>
        </w:rPr>
        <w:t xml:space="preserve"> The valuation techniques used to measure the fair value of these derivative contracts, all of which have counterparties with high credit ratings, were based on quoted market prices or model driven valuations using significant inputs derived from or corroborated by observable market data. The fair value of the derivative contracts discussed above considers the Company’s credit risk in accordance with 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fair value of the Wallbox stock warrants is classified as Level </w:t>
      </w:r>
      <w:r>
        <w:rPr>
          <w:rStyle w:val="Emphasis"/>
          <w:rFonts w:ascii="Times New Roman;Times;serif" w:hAnsi="Times New Roman;Times;serif"/>
          <w:sz w:val="20"/>
        </w:rPr>
        <w:t>3.</w:t>
      </w:r>
      <w:r>
        <w:rPr>
          <w:rFonts w:ascii="Times New Roman;Times;serif" w:hAnsi="Times New Roman;Times;serif"/>
          <w:sz w:val="20"/>
        </w:rPr>
        <w:t xml:space="preserve"> The fair value of these warrants is measured using a Black Scholes option pricing model, with significant inputs derived from or corroborated by observable market data as well as internal estimates, specifically the time period until exercise. The warrants received in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expire at the earlier of when the price per share equals or exceeds $120.00 or in </w:t>
      </w:r>
      <w:r>
        <w:rPr>
          <w:rStyle w:val="Emphasis"/>
          <w:rFonts w:ascii="Times New Roman;Times;serif" w:hAnsi="Times New Roman;Times;serif"/>
          <w:sz w:val="20"/>
        </w:rPr>
        <w:t>2028,</w:t>
      </w:r>
      <w:r>
        <w:rPr>
          <w:rFonts w:ascii="Times New Roman;Times;serif" w:hAnsi="Times New Roman;Times;serif"/>
          <w:sz w:val="20"/>
        </w:rPr>
        <w:t xml:space="preserve"> </w:t>
      </w:r>
      <w:r>
        <w:rPr>
          <w:rStyle w:val="Emphasis"/>
          <w:rFonts w:ascii="Times New Roman;Times;serif" w:hAnsi="Times New Roman;Times;serif"/>
          <w:sz w:val="20"/>
        </w:rPr>
        <w:t>2028,</w:t>
      </w:r>
      <w:r>
        <w:rPr>
          <w:rFonts w:ascii="Times New Roman;Times;serif" w:hAnsi="Times New Roman;Times;serif"/>
          <w:sz w:val="20"/>
        </w:rPr>
        <w:t xml:space="preserve"> and </w:t>
      </w:r>
      <w:r>
        <w:rPr>
          <w:rStyle w:val="Emphasis"/>
          <w:rFonts w:ascii="Times New Roman;Times;serif" w:hAnsi="Times New Roman;Times;serif"/>
          <w:sz w:val="20"/>
        </w:rPr>
        <w:t>2029,</w:t>
      </w:r>
      <w:r>
        <w:rPr>
          <w:rFonts w:ascii="Times New Roman;Times;serif" w:hAnsi="Times New Roman;Times;serif"/>
          <w:sz w:val="20"/>
        </w:rPr>
        <w:t xml:space="preserve"> respectively. The time period until exercise assumption has a significant impact on the fair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Equity securities consist of shares of Wallbox N.V's (Wallbox) Class A common stock (Wallbox Shares). The Wallbox Shares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the fair value hierarchy and are recognized at fair value using the closing price of Wallbox common stock quoted on the New York Stock Exchange (NYSE) on the last trading day of the quarter. The investment in Wallbox Shares is included in operating lease and other assets in the consolidated balance sheets. The fair value of the investment in Wallbox Shares was $4,457 and $19,075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Gains and losses attributable to the Wallbox Shares change in fair value are recognized in other expense, net in the consolidated statements of comprehensive income. The loss recognized on the investment in Wallbox Shares was $14,617 and $30,679 for the years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For additional information regarding the Company's investment in Wallbox, 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“Derivative Instruments and Hedging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of the Company's business combinations involve potential payment of future consideration that is contingent upon the achievement of certain milestones. As part of purchase accounting, a liability is recorded for the estimated fair value of the contingent consideration on the acquisition date. The fair value of the contingent consideration is remeasured at each reporting period, and the change in fair value is recognized within general and administrative expenses in the Company's consolidated statements of comprehensive income. The fair value measurement of contingent consideration is typically categorized as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liability, as the measurement amount is based primarily on significant inputs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combined fair value of contingent consideration for the Chilicon Power LLC (Chilicon) and Ageto acquisitions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for the Chilicon, Ageto, and PR Industrial S.r.l. (Pramac) acquisitions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was $32,872 and $34,114, respectively. The contingent consideration period for Pramac ended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The contingent consideration period for Chilicon extends through </w:t>
      </w:r>
      <w:r>
        <w:rPr>
          <w:rStyle w:val="Emphasis"/>
          <w:rFonts w:ascii="Times New Roman" w:hAnsi="Times New Roman"/>
          <w:caps w:val="false"/>
          <w:smallCaps w:val="false"/>
          <w:sz w:val="20"/>
        </w:rPr>
        <w:t xml:space="preserve">December 31, 2028 </w:t>
      </w:r>
      <w:r>
        <w:rPr>
          <w:rFonts w:ascii="Times New Roman" w:hAnsi="Times New Roman"/>
          <w:caps w:val="false"/>
          <w:smallCaps w:val="false"/>
          <w:sz w:val="20"/>
        </w:rPr>
        <w:t xml:space="preserve">and is paid annually based on incremental earnings and upon achievement of certain milestones. The contingent consideration for Ageto is paid in equal increments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of the contingent consideration earned as of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 xml:space="preserve">and the remaining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increments capable of being earned on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1, 2027. </w:t>
      </w:r>
      <w:r>
        <w:rPr>
          <w:rFonts w:ascii="Times New Roman" w:hAnsi="Times New Roman"/>
          <w:caps w:val="false"/>
          <w:smallCaps w:val="false"/>
          <w:sz w:val="20"/>
        </w:rPr>
        <w:t>The current portion of contingent consideration totals $11,175 and is reported in other accrued liabilities, and the non-current portion totals $21,697 and is reported in operating lease and other long-term liabilities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the activity for contingent consideration: </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3290"/>
        <w:gridCol w:w="60"/>
        <w:gridCol w:w="125"/>
        <w:gridCol w:w="590"/>
        <w:gridCol w:w="80"/>
      </w:tblGrid>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34,114</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contingent consideration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(2,700</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Present value interest accretion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80" w:type="dxa"/>
            <w:tcBorders/>
            <w:shd w:fill="CCEEFF" w:val="clear"/>
            <w:vAlign w:val="center"/>
          </w:tcPr>
          <w:p>
            <w:pPr>
              <w:pStyle w:val="TableContents"/>
              <w:bidi w:val="0"/>
              <w:spacing w:before="0" w:after="0"/>
              <w:jc w:val="left"/>
              <w:rPr/>
            </w:pPr>
            <w:r>
              <w:rPr/>
              <w:t> </w:t>
            </w:r>
          </w:p>
        </w:tc>
      </w:tr>
      <w:tr>
        <w:trPr/>
        <w:tc>
          <w:tcPr>
            <w:tcW w:w="329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Ending balance,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32,872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Represents payments of $2,700 in cash for the Ageto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and Hedging Activities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records all derivatives in accordance with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xml:space="preserve"> which requires derivative instruments to be reported in the consolidated balance sheets at fair value and establishes criteria for designation and effectiveness of hedging relationships. The Company is exposed to market risk such as changes in commodity prices, foreign currencies and interest rates. The Company does </w:t>
      </w:r>
      <w:r>
        <w:rPr>
          <w:rStyle w:val="Emphasis"/>
          <w:rFonts w:ascii="Times New Roman;Times;serif" w:hAnsi="Times New Roman;Times;serif"/>
          <w:sz w:val="20"/>
        </w:rPr>
        <w:t>not</w:t>
      </w:r>
      <w:r>
        <w:rPr>
          <w:rFonts w:ascii="Times New Roman;Times;serif" w:hAnsi="Times New Roman;Times;serif"/>
          <w:sz w:val="20"/>
        </w:rPr>
        <w:t xml:space="preserve"> hold or trade derivative financial instruments for trading purposes.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Share-based compensation expense, including stock options and restricted stock awards, is generally recognized on a straight-line basis over the vesting period based on the fair value of awards which are expected to vest. The fair value of all share-based awards is estimated on the date of grant. Refer to Note </w:t>
      </w:r>
      <w:r>
        <w:rPr>
          <w:rStyle w:val="Emphasis"/>
          <w:rFonts w:ascii="Times New Roman;Times;serif" w:hAnsi="Times New Roman;Times;serif"/>
          <w:sz w:val="20"/>
        </w:rPr>
        <w:t>17,</w:t>
      </w:r>
      <w:r>
        <w:rPr>
          <w:rFonts w:ascii="Times New Roman;Times;serif" w:hAnsi="Times New Roman;Times;serif"/>
          <w:sz w:val="20"/>
        </w:rPr>
        <w:t xml:space="preserve"> “Share Plans,” to the consolidated financial statements of this Annual Report on Form </w:t>
      </w:r>
      <w:r>
        <w:rPr>
          <w:rStyle w:val="Emphasis"/>
          <w:rFonts w:ascii="Times New Roman;Times;serif" w:hAnsi="Times New Roman;Times;serif"/>
          <w:sz w:val="20"/>
        </w:rPr>
        <w:t>10</w:t>
      </w:r>
      <w:r>
        <w:rPr>
          <w:rFonts w:ascii="Times New Roman;Times;serif" w:hAnsi="Times New Roman;Times;serif"/>
          <w:sz w:val="20"/>
        </w:rPr>
        <w:t>-K for further information on the Company’s share-based compensation plans and accounting.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U.S. GAAP are established by the Financial Accounting Standards Board (FASB) in the form of accounting standard updates (ASUs) to the FASB Accounting Standards Codification.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2025</w:t>
      </w:r>
      <w:r>
        <w:rPr>
          <w:rFonts w:ascii="Times New Roman" w:hAnsi="Times New Roman"/>
          <w:i/>
          <w:caps w:val="false"/>
          <w:smallCaps w:val="false"/>
          <w:sz w:val="20"/>
        </w:rPr>
        <w:t>-</w:t>
      </w:r>
      <w:r>
        <w:rPr>
          <w:rStyle w:val="Emphasis"/>
          <w:rFonts w:ascii="Times New Roman" w:hAnsi="Times New Roman"/>
          <w:i/>
          <w:caps w:val="false"/>
          <w:smallCaps w:val="false"/>
          <w:sz w:val="20"/>
        </w:rPr>
        <w:t>06</w:t>
      </w:r>
      <w:r>
        <w:rPr>
          <w:rFonts w:ascii="Times New Roman" w:hAnsi="Times New Roman"/>
          <w:i/>
          <w:caps w:val="false"/>
          <w:smallCaps w:val="false"/>
          <w:sz w:val="20"/>
        </w:rPr>
        <w:t xml:space="preserve"> Intangibles</w:t>
      </w:r>
      <w:r>
        <w:rPr>
          <w:rFonts w:ascii="Times New Roman" w:hAnsi="Times New Roman"/>
          <w:caps w:val="false"/>
          <w:smallCaps w:val="false"/>
          <w:sz w:val="20"/>
        </w:rPr>
        <w:t xml:space="preserve"> – </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 – </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w:t>
      </w:r>
      <w:r>
        <w:rPr>
          <w:rFonts w:ascii="Times New Roman" w:hAnsi="Times New Roman"/>
          <w:caps w:val="false"/>
          <w:smallCaps w:val="false"/>
          <w:sz w:val="20"/>
        </w:rPr>
        <w:t xml:space="preserve">. The update is intended to better align internal use software guidance with modern development methods, which have evolved to commonly include incremental and iterative development approaches. The ASU requires an entity to start capitalizing software costs when management has authorized and committed to funding a software project and when it is probable the project will be completed and used to perform the intended function. The ASU amendments also supersede previous guidance on website development costs. The update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adopted prospectively, retrospectively or with a modified transition approach. Early adoption is permitted. The Company is currently assessing the impact and timing of adopting the updated standard.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FASB issued </w:t>
      </w:r>
      <w:r>
        <w:rPr>
          <w:rFonts w:ascii="Times New Roman;Times;serif" w:hAnsi="Times New Roman;Times;serif"/>
          <w:i/>
          <w:sz w:val="20"/>
        </w:rPr>
        <w:t xml:space="preserve">ASU </w:t>
      </w:r>
      <w:r>
        <w:rPr>
          <w:rStyle w:val="Emphasis"/>
          <w:rFonts w:ascii="Times New Roman;Times;serif" w:hAnsi="Times New Roman;Times;serif"/>
          <w:i/>
          <w:sz w:val="20"/>
        </w:rPr>
        <w:t>2024</w:t>
      </w:r>
      <w:r>
        <w:rPr>
          <w:rFonts w:ascii="Times New Roman;Times;serif" w:hAnsi="Times New Roman;Times;serif"/>
          <w:i/>
          <w:sz w:val="20"/>
        </w:rPr>
        <w:t>-</w:t>
      </w:r>
      <w:r>
        <w:rPr>
          <w:rStyle w:val="Emphasis"/>
          <w:rFonts w:ascii="Times New Roman;Times;serif" w:hAnsi="Times New Roman;Times;serif"/>
          <w:i/>
          <w:sz w:val="20"/>
        </w:rPr>
        <w:t>03</w:t>
      </w:r>
      <w:r>
        <w:rPr>
          <w:rFonts w:ascii="Times New Roman;Times;serif" w:hAnsi="Times New Roman;Times;serif"/>
          <w:i/>
          <w:sz w:val="20"/>
        </w:rPr>
        <w:t xml:space="preserve"> Income Statement - Reporting Comprehensive Income - Expense Disaggregation Disclosures (Subtopic </w:t>
      </w:r>
      <w:r>
        <w:rPr>
          <w:rStyle w:val="Emphasis"/>
          <w:rFonts w:ascii="Times New Roman;Times;serif" w:hAnsi="Times New Roman;Times;serif"/>
          <w:i/>
          <w:sz w:val="20"/>
        </w:rPr>
        <w:t>220</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 Disaggregation of Income Statement Expenses</w:t>
      </w:r>
      <w:r>
        <w:rPr>
          <w:rFonts w:ascii="Times New Roman;Times;serif" w:hAnsi="Times New Roman;Times;serif"/>
          <w:sz w:val="20"/>
        </w:rPr>
        <w:t xml:space="preserve">. The new guidance is intended to provide investors more detailed disclosures around specific types of expenses. The new disclosures require additional quantitative and qualitative information for certain expenses contained within the Consolidated Statements of Comprehensive Income to be presented in the notes to the financial statements. The update is effective for fiscal years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and interim periods within fiscal years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with early adoption permitted. The disclosure updates are required to be applied prospectively with the option for retrospective application. The Company is currently assessing the impact and timing of adopting the updated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w:t>
      </w:r>
      <w:r>
        <w:rPr>
          <w:rFonts w:ascii="Times New Roman" w:hAnsi="Times New Roman"/>
          <w:i/>
          <w:caps w:val="false"/>
          <w:smallCaps w:val="false"/>
          <w:sz w:val="20"/>
        </w:rPr>
        <w:t xml:space="preserve">ASU </w:t>
      </w:r>
      <w:r>
        <w:rPr>
          <w:rStyle w:val="Emphasis"/>
          <w:rFonts w:ascii="Times New Roman" w:hAnsi="Times New Roman"/>
          <w:i/>
          <w:caps w:val="false"/>
          <w:smallCaps w:val="false"/>
          <w:sz w:val="20"/>
        </w:rPr>
        <w:t>2023</w:t>
      </w:r>
      <w:r>
        <w:rPr>
          <w:rFonts w:ascii="Times New Roman" w:hAnsi="Times New Roman"/>
          <w:i/>
          <w:caps w:val="false"/>
          <w:smallCaps w:val="false"/>
          <w:sz w:val="20"/>
        </w:rPr>
        <w:t>-</w:t>
      </w:r>
      <w:r>
        <w:rPr>
          <w:rStyle w:val="Emphasis"/>
          <w:rFonts w:ascii="Times New Roman" w:hAnsi="Times New Roman"/>
          <w:i/>
          <w:caps w:val="false"/>
          <w:smallCaps w:val="false"/>
          <w:sz w:val="20"/>
        </w:rPr>
        <w:t>09</w:t>
      </w:r>
      <w:r>
        <w:rPr>
          <w:rFonts w:ascii="Times New Roman" w:hAnsi="Times New Roman"/>
          <w:i/>
          <w:caps w:val="false"/>
          <w:smallCaps w:val="false"/>
          <w:sz w:val="20"/>
        </w:rPr>
        <w:t xml:space="preserve"> Improvements to Income Tax Disclosures</w:t>
      </w:r>
      <w:r>
        <w:rPr>
          <w:rFonts w:ascii="Times New Roman" w:hAnsi="Times New Roman"/>
          <w:caps w:val="false"/>
          <w:smallCaps w:val="false"/>
          <w:sz w:val="20"/>
        </w:rPr>
        <w:t xml:space="preserve">. The ASU establishes new income tax disclosure requirements in addition to modifying and eliminating certain existing requirements. Under the new guidance, the Company must consistently categorize and provide greater disaggregation of information in the rate reconciliation. It must also further disaggregate income taxes paid. The update is effective for fiscal years beginning after </w:t>
      </w:r>
      <w:r>
        <w:rPr>
          <w:rStyle w:val="Emphasis"/>
          <w:rFonts w:ascii="Times New Roman" w:hAnsi="Times New Roman"/>
          <w:caps w:val="false"/>
          <w:smallCaps w:val="false"/>
          <w:sz w:val="20"/>
        </w:rPr>
        <w:t>December 15, 2024. </w:t>
      </w:r>
      <w:r>
        <w:rPr>
          <w:rFonts w:ascii="Times New Roman" w:hAnsi="Times New Roman"/>
          <w:caps w:val="false"/>
          <w:smallCaps w:val="false"/>
          <w:sz w:val="20"/>
        </w:rPr>
        <w:t xml:space="preserve">The Company adopted this ASU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on a retrospective basis, which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Refer to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“Income Taxes” for the additional disclosures required by the adoption of this ASU.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recent accounting pronouncements, changes in accounting pronouncements, or recently adopted accounting guidance during </w:t>
      </w:r>
      <w:r>
        <w:rPr>
          <w:rStyle w:val="Emphasis"/>
          <w:rFonts w:ascii="Times New Roman" w:hAnsi="Times New Roman"/>
          <w:caps w:val="false"/>
          <w:smallCaps w:val="false"/>
          <w:sz w:val="20"/>
        </w:rPr>
        <w:t>2025</w:t>
      </w:r>
      <w:r>
        <w:rPr>
          <w:rFonts w:ascii="Times New Roman" w:hAnsi="Times New Roman"/>
          <w:caps w:val="false"/>
          <w:smallCaps w:val="false"/>
          <w:sz w:val="20"/>
        </w:rPr>
        <w:t> that are of significance or potential significance to the Company's consolidated financial statements or disclosures.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270" w:type="dxa"/>
        <w:jc w:val="left"/>
        <w:tblInd w:w="0" w:type="dxa"/>
        <w:tblLayout w:type="fixed"/>
        <w:tblCellMar>
          <w:top w:w="0" w:type="dxa"/>
          <w:left w:w="0" w:type="dxa"/>
          <w:bottom w:w="0" w:type="dxa"/>
          <w:right w:w="0" w:type="dxa"/>
        </w:tblCellMar>
      </w:tblPr>
      <w:tblGrid>
        <w:gridCol w:w="170"/>
        <w:gridCol w:w="110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3.</w:t>
            </w:r>
          </w:p>
        </w:tc>
        <w:tc>
          <w:tcPr>
            <w:tcW w:w="11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Acquisitions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b/>
          <w:i/>
          <w:sz w:val="20"/>
        </w:rPr>
        <w:t xml:space="preserve">Fiscal </w:t>
      </w:r>
      <w:r>
        <w:rPr>
          <w:rStyle w:val="Emphasis"/>
          <w:rFonts w:ascii="Times New Roman" w:hAnsi="Times New Roman"/>
          <w:b/>
          <w:i/>
          <w:sz w:val="20"/>
        </w:rPr>
        <w:t>2024</w:t>
      </w:r>
      <w:r>
        <w:rPr>
          <w:rFonts w:ascii="Times New Roman" w:hAnsi="Times New Roman"/>
          <w:b/>
          <w:i/>
          <w:sz w:val="20"/>
        </w:rPr>
        <w:t> Acquisitions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November 1, 2024, </w:t>
      </w:r>
      <w:r>
        <w:rPr>
          <w:rFonts w:ascii="Times New Roman;Times;serif" w:hAnsi="Times New Roman;Times;serif"/>
          <w:sz w:val="20"/>
        </w:rPr>
        <w:t>the Company acquired Wolverine, headquartered in Zeeland, Michigan. Wolverine is an industrial and residential generator distributor as well as a provider of maintenance and repair services.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August 1, 2024, </w:t>
      </w:r>
      <w:r>
        <w:rPr>
          <w:rFonts w:ascii="Times New Roman;Times;serif" w:hAnsi="Times New Roman;Times;serif"/>
          <w:sz w:val="20"/>
        </w:rPr>
        <w:t>the Company acquired the assets and liabilities of Ageto. Ageto designs and integrates microgrid control solutions and is headquartered in Fort Collins, Colorado.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26, 2024, </w:t>
      </w:r>
      <w:r>
        <w:rPr>
          <w:rFonts w:ascii="Times New Roman" w:hAnsi="Times New Roman"/>
          <w:caps w:val="false"/>
          <w:smallCaps w:val="false"/>
          <w:sz w:val="20"/>
        </w:rPr>
        <w:t>the Company closed on the acquisition of the C&amp;I BESS product offering from SunGrid Solutions Inc. located in Cambridge,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the Company acquired Huntington, headquartered in Shelton, Connecticut. Huntington is an industrial and residential generator distributor as well as a provider of maintenance and repair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recorded its preliminary purchase price allocation for C&amp;I BESS and Huntington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the Company recorded its preliminary purchase price allocation for Ageto and Wolverine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based on its estimates of the fair value of the acquired assets and assumed liabilities. Purchase accounting for C&amp;I BESS and Huntington was finalized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while purchase accounting for Ageto and Wolverine was finalized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adjustments to the Company's preliminary estimates for Wolverine, Ageto, C&amp;I BESS, or Huntington. The final combined purchase price for Wolverine, Ageto, C&amp;I BESS, and Huntington was $45,765. The accompanying consolidated financial statements include the results of the acquired businesses since their dates of acquisition.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i/>
          <w:sz w:val="20"/>
        </w:rPr>
        <w:t xml:space="preserve">Fiscal </w:t>
      </w:r>
      <w:r>
        <w:rPr>
          <w:rStyle w:val="Emphasis"/>
          <w:rFonts w:ascii="Times New Roman" w:hAnsi="Times New Roman"/>
          <w:b/>
          <w:i/>
          <w:sz w:val="20"/>
        </w:rPr>
        <w:t>2023</w:t>
      </w:r>
      <w:r>
        <w:rPr>
          <w:rFonts w:ascii="Times New Roman" w:hAnsi="Times New Roman"/>
          <w:b/>
          <w:i/>
          <w:sz w:val="20"/>
        </w:rPr>
        <w:t> Acquisitions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February 1, 2023, </w:t>
      </w:r>
      <w:r>
        <w:rPr>
          <w:rFonts w:ascii="Times New Roman;Times;serif" w:hAnsi="Times New Roman;Times;serif"/>
          <w:sz w:val="20"/>
        </w:rPr>
        <w:t>the Company acquired REFUstor, headquartered in Pfullingen, Germany. REFUstor is a developer and supplier of battery storage hardware products, advanced software, and platform services for the commercial &amp; industrial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recorded its preliminary purchase price allocation for REFUstor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based on its estimates of the fair value of the acquired assets and assumed liabilities. Purchase accounting for REFUstor was finalized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material adjustments to the Company's preliminary estimates. The final purchase price was $16,127. The accompanying consolidated financial statements include the results of REFUstor since the date of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Summary Purchase Price Allocations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fair values assigned to certain assets acquired and liabilities assumed for all acquisitions completed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are shown below.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acquisitions were completed in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tbl>
      <w:tblPr>
        <w:tblW w:w="8983" w:type="dxa"/>
        <w:jc w:val="left"/>
        <w:tblInd w:w="0" w:type="dxa"/>
        <w:tblLayout w:type="fixed"/>
        <w:tblCellMar>
          <w:top w:w="0" w:type="dxa"/>
          <w:left w:w="0" w:type="dxa"/>
          <w:bottom w:w="0" w:type="dxa"/>
          <w:right w:w="0" w:type="dxa"/>
        </w:tblCellMar>
      </w:tblPr>
      <w:tblGrid>
        <w:gridCol w:w="5705"/>
        <w:gridCol w:w="60"/>
        <w:gridCol w:w="265"/>
        <w:gridCol w:w="1254"/>
        <w:gridCol w:w="60"/>
        <w:gridCol w:w="60"/>
        <w:gridCol w:w="265"/>
        <w:gridCol w:w="1254"/>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 Acquisitions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 Acquisitions</w:t>
            </w:r>
          </w:p>
        </w:tc>
        <w:tc>
          <w:tcPr>
            <w:tcW w:w="6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6,174</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19,969</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wages and employee benefits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borrowings and finance lease obligations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Pro forma and other financial information are </w:t>
      </w:r>
      <w:r>
        <w:rPr>
          <w:rStyle w:val="Emphasis"/>
          <w:rFonts w:ascii="Times New Roman;Times;serif" w:hAnsi="Times New Roman;Times;serif"/>
          <w:sz w:val="20"/>
        </w:rPr>
        <w:t>not</w:t>
      </w:r>
      <w:r>
        <w:rPr>
          <w:rFonts w:ascii="Times New Roman;Times;serif" w:hAnsi="Times New Roman;Times;serif"/>
          <w:sz w:val="20"/>
        </w:rPr>
        <w:t xml:space="preserve"> presented as the effects of the Company's acquisitions since </w:t>
      </w:r>
      <w:r>
        <w:rPr>
          <w:rStyle w:val="Emphasis"/>
          <w:rFonts w:ascii="Times New Roman;Times;serif" w:hAnsi="Times New Roman;Times;serif"/>
          <w:sz w:val="20"/>
        </w:rPr>
        <w:t>2023</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material to the Company's results of operations or financial position.</w:t>
      </w:r>
    </w:p>
    <w:p>
      <w:pPr>
        <w:pStyle w:val="TextBody"/>
        <w:bidi w:val="0"/>
        <w:spacing w:before="0" w:after="0"/>
        <w:jc w:val="left"/>
        <w:rPr/>
      </w:pPr>
      <w:r>
        <w:rPr/>
        <w:t xml:space="preserve">  </w:t>
      </w:r>
    </w:p>
    <w:tbl>
      <w:tblPr>
        <w:tblW w:w="3250" w:type="dxa"/>
        <w:jc w:val="left"/>
        <w:tblInd w:w="0" w:type="dxa"/>
        <w:tblLayout w:type="fixed"/>
        <w:tblCellMar>
          <w:top w:w="0" w:type="dxa"/>
          <w:left w:w="0" w:type="dxa"/>
          <w:bottom w:w="0" w:type="dxa"/>
          <w:right w:w="0" w:type="dxa"/>
        </w:tblCellMar>
      </w:tblPr>
      <w:tblGrid>
        <w:gridCol w:w="170"/>
        <w:gridCol w:w="308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4.</w:t>
            </w:r>
          </w:p>
        </w:tc>
        <w:tc>
          <w:tcPr>
            <w:tcW w:w="30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Redeemable Noncontrolling Interest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entered into a joint venture with E.A. Juffali &amp; Brothers ("Juffali") on </w:t>
      </w:r>
      <w:r>
        <w:rPr>
          <w:rStyle w:val="Emphasis"/>
          <w:rFonts w:ascii="Times New Roman" w:hAnsi="Times New Roman"/>
          <w:caps w:val="false"/>
          <w:smallCaps w:val="false"/>
          <w:sz w:val="20"/>
        </w:rPr>
        <w:t xml:space="preserve">August 7, 2025, </w:t>
      </w:r>
      <w:r>
        <w:rPr>
          <w:rFonts w:ascii="Times New Roman" w:hAnsi="Times New Roman"/>
          <w:caps w:val="false"/>
          <w:smallCaps w:val="false"/>
          <w:sz w:val="20"/>
        </w:rPr>
        <w:t xml:space="preserve">based in Bahrain, aiming to expand its footprint in the Middle East region. The joint venture, operating under the name Generac Juffali Generators WLL, will function as a distinct legal entity with ownership interests divided between the Company and Juffali at 51% and 49%, respectively. As the Company holds a controlling financial interest in the joint venture's operating entity, it will consolidate the entity.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Juffali funded 49% of the total capital contributed to the new legal entity. The issuance date fair value of the 49% noncontrolling interest was $979 and was recorded in the consolidated balance sheets as a redeemable noncontrolling interest. This classification is based on Juffali’s right to require redemption of its interest in Generac Juffali Generators under specific triggering circumstances outlined in the joint venture agreement. The redeemable noncontrolling interest is initially recognized at its issuance date fair value and is adjusted each reporting period to reflect the noncontrolling interests’ share of comprehensive income. If the redeemable noncontrolling interest becomes currently redeemable or is probable of becoming currently redeemable, it is then adjusted to the greater of the redemption value or the carrying value, with any redemption value adjustments being recorded directly to retained earnings in the consolidated balance sheets.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March 1, 2016, </w:t>
      </w:r>
      <w:r>
        <w:rPr>
          <w:rFonts w:ascii="Times New Roman;Times;serif" w:hAnsi="Times New Roman;Times;serif"/>
          <w:sz w:val="20"/>
        </w:rPr>
        <w:t xml:space="preserve">the Company acquired a 65% ownership interest in PR Industrial S.r.l. and its subsidiaries (Pramac). The 35% noncontrolling interest in Pramac had an acquisition date fair value of $34,253 and was recorded as a redeemable noncontrolling interest in the consolidated balance sheets, as the noncontrolling interest holder had within its control the right to require the Company to redeem its interest in Pramac. In </w:t>
      </w:r>
      <w:r>
        <w:rPr>
          <w:rStyle w:val="Emphasis"/>
          <w:rFonts w:ascii="Times New Roman;Times;serif" w:hAnsi="Times New Roman;Times;serif"/>
          <w:sz w:val="20"/>
        </w:rPr>
        <w:t xml:space="preserve">May 2021, </w:t>
      </w:r>
      <w:r>
        <w:rPr>
          <w:rFonts w:ascii="Times New Roman;Times;serif" w:hAnsi="Times New Roman;Times;serif"/>
          <w:sz w:val="20"/>
        </w:rPr>
        <w:t xml:space="preserve">the Company exercised its call option rights and paid a purchase price of $27,164 to purchase an additional 15% ownership interest in Pramac, bringing the Company's total ownership interest in Pramac to 80%. On </w:t>
      </w:r>
      <w:r>
        <w:rPr>
          <w:rStyle w:val="Emphasis"/>
          <w:rFonts w:ascii="Times New Roman;Times;serif" w:hAnsi="Times New Roman;Times;serif"/>
          <w:sz w:val="20"/>
        </w:rPr>
        <w:t>March 8, 2023, </w:t>
      </w:r>
      <w:r>
        <w:rPr>
          <w:rFonts w:ascii="Times New Roman;Times;serif" w:hAnsi="Times New Roman;Times;serif"/>
          <w:sz w:val="20"/>
        </w:rPr>
        <w:t xml:space="preserve">the Company and the noncontrolling interest holder entered into an agreement whereby the Company acquired the remaining 20% ownership interest in Pramac for a purchase price of $116,754, which brought the Company's total ownership interest in Pramac to 100%. The purchase price for the remaining 20% ownership interest included $105,264 of initial consideration, which included a cash payment of $104,844 and a $420 gain on a foreign currency settlement in the </w:t>
      </w:r>
      <w:r>
        <w:rPr>
          <w:rStyle w:val="Emphasis"/>
          <w:rFonts w:ascii="Times New Roman;Times;serif" w:hAnsi="Times New Roman;Times;serif"/>
          <w:sz w:val="20"/>
        </w:rPr>
        <w:t>first</w:t>
      </w:r>
      <w:r>
        <w:rPr>
          <w:rFonts w:ascii="Times New Roman;Times;serif" w:hAnsi="Times New Roman;Times;serif"/>
          <w:sz w:val="20"/>
        </w:rPr>
        <w:t xml:space="preserve"> quarter of </w:t>
      </w:r>
      <w:r>
        <w:rPr>
          <w:rStyle w:val="Emphasis"/>
          <w:rFonts w:ascii="Times New Roman;Times;serif" w:hAnsi="Times New Roman;Times;serif"/>
          <w:sz w:val="20"/>
        </w:rPr>
        <w:t>2023,</w:t>
      </w:r>
      <w:r>
        <w:rPr>
          <w:rFonts w:ascii="Times New Roman;Times;serif" w:hAnsi="Times New Roman;Times;serif"/>
          <w:sz w:val="20"/>
        </w:rPr>
        <w:t xml:space="preserve"> and $11,490 of contingent deferred consideration of up to 135,205 restricted shares that were issued based on the </w:t>
      </w:r>
      <w:r>
        <w:rPr>
          <w:rStyle w:val="Emphasis"/>
          <w:rFonts w:ascii="Times New Roman;Times;serif" w:hAnsi="Times New Roman;Times;serif"/>
          <w:sz w:val="20"/>
        </w:rPr>
        <w:t>twenty</w:t>
      </w:r>
      <w:r>
        <w:rPr>
          <w:rFonts w:ascii="Times New Roman;Times;serif" w:hAnsi="Times New Roman;Times;serif"/>
          <w:sz w:val="20"/>
        </w:rPr>
        <w:t xml:space="preserve"> day volume weighted average price of the Company’s stock ending on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Accordingly, there was </w:t>
      </w:r>
      <w:r>
        <w:rPr>
          <w:rStyle w:val="Emphasis"/>
          <w:rFonts w:ascii="Times New Roman;Times;serif" w:hAnsi="Times New Roman;Times;serif"/>
          <w:sz w:val="20"/>
        </w:rPr>
        <w:t>no</w:t>
      </w:r>
      <w:r>
        <w:rPr>
          <w:rFonts w:ascii="Times New Roman;Times;serif" w:hAnsi="Times New Roman;Times;serif"/>
          <w:sz w:val="20"/>
        </w:rPr>
        <w:t xml:space="preserve"> redeemable noncontrolling interest related to Pramac as of </w:t>
      </w:r>
      <w:r>
        <w:rPr>
          <w:rStyle w:val="Emphasis"/>
          <w:rFonts w:ascii="Times New Roman;Times;serif" w:hAnsi="Times New Roman;Times;serif"/>
          <w:sz w:val="20"/>
        </w:rPr>
        <w:t>December 31, 2023. </w:t>
      </w:r>
      <w:r>
        <w:rPr>
          <w:rFonts w:ascii="Times New Roman;Times;serif" w:hAnsi="Times New Roman;Times;serif"/>
          <w:sz w:val="20"/>
        </w:rPr>
        <w:t xml:space="preserve">This contingent deferred consideration was reduced to </w:t>
      </w:r>
      <w:r>
        <w:rPr>
          <w:rStyle w:val="Emphasis"/>
          <w:rFonts w:ascii="Times New Roman;Times;serif" w:hAnsi="Times New Roman;Times;serif"/>
          <w:sz w:val="20"/>
        </w:rPr>
        <w:t>zero</w:t>
      </w:r>
      <w:r>
        <w:rPr>
          <w:rFonts w:ascii="Times New Roman;Times;serif" w:hAnsi="Times New Roman;Times;serif"/>
          <w:sz w:val="20"/>
        </w:rPr>
        <w:t xml:space="preserve"> in the </w:t>
      </w:r>
      <w:r>
        <w:rPr>
          <w:rStyle w:val="Emphasis"/>
          <w:rFonts w:ascii="Times New Roman;Times;serif" w:hAnsi="Times New Roman;Times;serif"/>
          <w:sz w:val="20"/>
        </w:rPr>
        <w:t>fourth</w:t>
      </w:r>
      <w:r>
        <w:rPr>
          <w:rFonts w:ascii="Times New Roman;Times;serif" w:hAnsi="Times New Roman;Times;serif"/>
          <w:sz w:val="20"/>
        </w:rPr>
        <w:t xml:space="preserve"> quarter of </w:t>
      </w:r>
      <w:r>
        <w:rPr>
          <w:rStyle w:val="Emphasis"/>
          <w:rFonts w:ascii="Times New Roman;Times;serif" w:hAnsi="Times New Roman;Times;serif"/>
          <w:sz w:val="20"/>
        </w:rPr>
        <w:t>2024</w:t>
      </w:r>
      <w:r>
        <w:rPr>
          <w:rFonts w:ascii="Times New Roman;Times;serif" w:hAnsi="Times New Roman;Times;serif"/>
          <w:sz w:val="20"/>
        </w:rPr>
        <w:t xml:space="preserve"> and there was </w:t>
      </w:r>
      <w:r>
        <w:rPr>
          <w:rStyle w:val="Emphasis"/>
          <w:rFonts w:ascii="Times New Roman;Times;serif" w:hAnsi="Times New Roman;Times;serif"/>
          <w:sz w:val="20"/>
        </w:rPr>
        <w:t>no</w:t>
      </w:r>
      <w:r>
        <w:rPr>
          <w:rFonts w:ascii="Times New Roman;Times;serif" w:hAnsi="Times New Roman;Times;serif"/>
          <w:sz w:val="20"/>
        </w:rPr>
        <w:t xml:space="preserve"> additional change through the contingent consideration period which ended </w:t>
      </w:r>
      <w:r>
        <w:rPr>
          <w:rStyle w:val="Emphasis"/>
          <w:rFonts w:ascii="Times New Roman;Times;serif" w:hAnsi="Times New Roman;Times;serif"/>
          <w:sz w:val="20"/>
        </w:rPr>
        <w:t>December 31, 2025. </w:t>
      </w:r>
      <w:r>
        <w:rPr>
          <w:rFonts w:ascii="Times New Roman;Times;serif" w:hAnsi="Times New Roman;Times;serif"/>
          <w:sz w:val="20"/>
        </w:rPr>
        <w:t xml:space="preserve">Refer to Note </w:t>
      </w:r>
      <w:r>
        <w:rPr>
          <w:rStyle w:val="Emphasis"/>
          <w:rFonts w:ascii="Times New Roman;Times;serif" w:hAnsi="Times New Roman;Times;serif"/>
          <w:sz w:val="20"/>
        </w:rPr>
        <w:t>2,</w:t>
      </w:r>
      <w:r>
        <w:rPr>
          <w:rFonts w:ascii="Times New Roman;Times;serif" w:hAnsi="Times New Roman;Times;serif"/>
          <w:sz w:val="20"/>
        </w:rPr>
        <w:t xml:space="preserve"> "Summary of Accounting Policies", to the consolidated financial statements of this Annual Report on Form </w:t>
      </w:r>
      <w:r>
        <w:rPr>
          <w:rStyle w:val="Emphasis"/>
          <w:rFonts w:ascii="Times New Roman;Times;serif" w:hAnsi="Times New Roman;Times;serif"/>
          <w:sz w:val="20"/>
        </w:rPr>
        <w:t>10</w:t>
      </w:r>
      <w:r>
        <w:rPr>
          <w:rFonts w:ascii="Times New Roman;Times;serif" w:hAnsi="Times New Roman;Times;serif"/>
          <w:sz w:val="20"/>
        </w:rPr>
        <w:t>-K for further information regarding the contingent deferred consideration.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February 1, 2019, </w:t>
      </w:r>
      <w:r>
        <w:rPr>
          <w:rFonts w:ascii="Times New Roman;Times;serif" w:hAnsi="Times New Roman;Times;serif"/>
          <w:sz w:val="20"/>
        </w:rPr>
        <w:t xml:space="preserve">the Company acquired a 51% ownership interest in Captiva Energy Solutions Private Limited (Captiva). The 49% noncontrolling interest in Captiva had an acquisition date fair value of $3,165 and was recorded as a redeemable noncontrolling interest in the consolidated balance sheets, as the noncontrolling interest holder had within its control the right to require the Company to redeem its interest in Captiva. The noncontrolling interest holder had a put option to sell his interest to the Company any time after five years from the date of acquisition, or earlier upon the occurrence of certain circumstances. Further, the Company had a call option that </w:t>
      </w:r>
      <w:r>
        <w:rPr>
          <w:rStyle w:val="Emphasis"/>
          <w:rFonts w:ascii="Times New Roman;Times;serif" w:hAnsi="Times New Roman;Times;serif"/>
          <w:sz w:val="20"/>
        </w:rPr>
        <w:t xml:space="preserve">may </w:t>
      </w:r>
      <w:r>
        <w:rPr>
          <w:rFonts w:ascii="Times New Roman;Times;serif" w:hAnsi="Times New Roman;Times;serif"/>
          <w:sz w:val="20"/>
        </w:rPr>
        <w:t xml:space="preserve">be redeemed any time after five years from the date of acquisition, or earlier upon the occurrence of certain circumstances. The put and call option price was based on a multiple of earnings, subject to the terms of the acquisition agreement. In </w:t>
      </w:r>
      <w:r>
        <w:rPr>
          <w:rStyle w:val="Emphasis"/>
          <w:rFonts w:ascii="Times New Roman;Times;serif" w:hAnsi="Times New Roman;Times;serif"/>
          <w:sz w:val="20"/>
        </w:rPr>
        <w:t xml:space="preserve">May 2022, </w:t>
      </w:r>
      <w:r>
        <w:rPr>
          <w:rFonts w:ascii="Times New Roman;Times;serif" w:hAnsi="Times New Roman;Times;serif"/>
          <w:sz w:val="20"/>
        </w:rPr>
        <w:t xml:space="preserve">the Company purchased an additional 15% ownership interest in Captiva for $375, which was paid with cash on hand, bringing the Company's total ownership interest in Captiva to 66%. On </w:t>
      </w:r>
      <w:r>
        <w:rPr>
          <w:rStyle w:val="Emphasis"/>
          <w:rFonts w:ascii="Times New Roman;Times;serif" w:hAnsi="Times New Roman;Times;serif"/>
          <w:sz w:val="20"/>
        </w:rPr>
        <w:t xml:space="preserve">April 5, 2024, </w:t>
      </w:r>
      <w:r>
        <w:rPr>
          <w:rFonts w:ascii="Times New Roman;Times;serif" w:hAnsi="Times New Roman;Times;serif"/>
          <w:sz w:val="20"/>
        </w:rPr>
        <w:t>the Company acquired the remaining 34% ownership interest in Captiva for $9,117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Pramac and Captiva redeemable noncontrolling interests were recorded at the greater of the initial fair value, increased or decreased for the noncontrolling interests’ share of comprehensive income (loss), or the estimated redemption value, with any adjustments to the redemption value impacting retained earnings,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net income. However, the redemption value adjustments are reflected in the earnings per share calculation, as detailed in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“Earnings Per Share,” to the consolidated financial statements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The following table presents the changes in the redeemable noncontrolling interest for Juffali, Captiva, and Pramac for the years presented:</w:t>
      </w:r>
    </w:p>
    <w:p>
      <w:pPr>
        <w:pStyle w:val="TextBody"/>
        <w:bidi w:val="0"/>
        <w:spacing w:before="0" w:after="0"/>
        <w:ind w:left="0" w:right="0" w:hanging="0"/>
        <w:jc w:val="both"/>
        <w:rPr/>
      </w:pPr>
      <w:r>
        <w:rPr/>
        <w:t> </w:t>
      </w:r>
    </w:p>
    <w:tbl>
      <w:tblPr>
        <w:tblW w:w="7220" w:type="dxa"/>
        <w:jc w:val="left"/>
        <w:tblInd w:w="0" w:type="dxa"/>
        <w:tblLayout w:type="fixed"/>
        <w:tblCellMar>
          <w:top w:w="0" w:type="dxa"/>
          <w:left w:w="0" w:type="dxa"/>
          <w:bottom w:w="0" w:type="dxa"/>
          <w:right w:w="0" w:type="dxa"/>
        </w:tblCellMar>
      </w:tblPr>
      <w:tblGrid>
        <w:gridCol w:w="4730"/>
        <w:gridCol w:w="60"/>
        <w:gridCol w:w="125"/>
        <w:gridCol w:w="395"/>
        <w:gridCol w:w="80"/>
        <w:gridCol w:w="60"/>
        <w:gridCol w:w="125"/>
        <w:gridCol w:w="545"/>
        <w:gridCol w:w="80"/>
        <w:gridCol w:w="60"/>
        <w:gridCol w:w="125"/>
        <w:gridCol w:w="755"/>
        <w:gridCol w:w="80"/>
      </w:tblGrid>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110,471</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Contribution received from noncontrolling interest holder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 of 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1,864</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rate change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of additional ownership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(116,754</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7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value adjustment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11,517</w:t>
            </w:r>
          </w:p>
        </w:tc>
        <w:tc>
          <w:tcPr>
            <w:tcW w:w="80" w:type="dxa"/>
            <w:tcBorders/>
            <w:shd w:fill="FFFFFF" w:val="clear"/>
            <w:vAlign w:val="center"/>
          </w:tcPr>
          <w:p>
            <w:pPr>
              <w:pStyle w:val="TableContents"/>
              <w:bidi w:val="0"/>
              <w:spacing w:before="0" w:after="0"/>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pPr>
      <w:r>
        <w:rPr/>
        <w:t xml:space="preserve">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Derivative Instruments and Hedging Activities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periodically utilizes commodity derivatives and foreign currency forward purchase and sales contracts in the normal course of business. Because these contracts do not qualify for hedge accounting, the related gains and losses are recorded in the Company’s consolidated statements of comprehensive income. The commodity and foreign currency forward contract gains and losses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Company’s consolidated financial statements for the periods presented.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maintains interest rate swap agreements and owns stock warrants described in more detail below.</w:t>
      </w:r>
    </w:p>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Rate Swaps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2020, </w:t>
      </w:r>
      <w:r>
        <w:rPr>
          <w:rFonts w:ascii="Times New Roman;Times;serif" w:hAnsi="Times New Roman;Times;serif"/>
          <w:sz w:val="20"/>
        </w:rPr>
        <w:t xml:space="preserve">the Company entered into three interest rate swap agreements, which were still outstanding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In </w:t>
      </w:r>
      <w:r>
        <w:rPr>
          <w:rStyle w:val="Emphasis"/>
          <w:rFonts w:ascii="Times New Roman;Times;serif" w:hAnsi="Times New Roman;Times;serif"/>
          <w:sz w:val="20"/>
        </w:rPr>
        <w:t xml:space="preserve">July 2025, </w:t>
      </w:r>
      <w:r>
        <w:rPr>
          <w:rFonts w:ascii="Times New Roman;Times;serif" w:hAnsi="Times New Roman;Times;serif"/>
          <w:sz w:val="20"/>
        </w:rPr>
        <w:t xml:space="preserve">in conjunction with the amendments to the Company’s credit agreements discussed further in Note </w:t>
      </w:r>
      <w:r>
        <w:rPr>
          <w:rStyle w:val="Emphasis"/>
          <w:rFonts w:ascii="Times New Roman;Times;serif" w:hAnsi="Times New Roman;Times;serif"/>
          <w:sz w:val="20"/>
        </w:rPr>
        <w:t>12,</w:t>
      </w:r>
      <w:r>
        <w:rPr>
          <w:rFonts w:ascii="Times New Roman;Times;serif" w:hAnsi="Times New Roman;Times;serif"/>
          <w:sz w:val="20"/>
        </w:rPr>
        <w:t xml:space="preserve"> “Credit Agreements,” to the consolidated financial statements of this Annual Report on Form </w:t>
      </w:r>
      <w:r>
        <w:rPr>
          <w:rStyle w:val="Emphasis"/>
          <w:rFonts w:ascii="Times New Roman;Times;serif" w:hAnsi="Times New Roman;Times;serif"/>
          <w:sz w:val="20"/>
        </w:rPr>
        <w:t>10</w:t>
      </w:r>
      <w:r>
        <w:rPr>
          <w:rFonts w:ascii="Times New Roman;Times;serif" w:hAnsi="Times New Roman;Times;serif"/>
          <w:sz w:val="20"/>
        </w:rPr>
        <w:t>-K, the Company modified its interest rate swaps to match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income (loss) in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amount of after-tax unrealized losses recognized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we</w:t>
      </w:r>
      <w:r>
        <w:rPr>
          <w:rFonts w:ascii="Times New Roman;Times;serif" w:hAnsi="Times New Roman;Times;serif"/>
          <w:color w:val="444444"/>
          <w:sz w:val="20"/>
        </w:rPr>
        <w:t xml:space="preserve">re </w:t>
      </w:r>
      <w:r>
        <w:rPr>
          <w:rFonts w:ascii="Times New Roman;Times;serif" w:hAnsi="Times New Roman;Times;serif"/>
          <w:color w:val="000000"/>
          <w:sz w:val="20"/>
        </w:rPr>
        <w:t>$12,863, $7,672,</w:t>
      </w:r>
      <w:r>
        <w:rPr>
          <w:rFonts w:ascii="Times New Roman;Times;serif" w:hAnsi="Times New Roman;Times;serif"/>
          <w:sz w:val="20"/>
        </w:rPr>
        <w:t> and $8,004, respectively. The cash flows of the swaps are recognized as adjustments to interest expense each period. The ineffective portions of the derivatives’ changes in fair value, if any, are immediately recognized in earnings.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See Item </w:t>
      </w:r>
      <w:r>
        <w:rPr>
          <w:rStyle w:val="Emphasis"/>
          <w:rFonts w:ascii="Times New Roman;Times;serif" w:hAnsi="Times New Roman;Times;serif"/>
          <w:sz w:val="20"/>
        </w:rPr>
        <w:t>7A</w:t>
      </w:r>
      <w:r>
        <w:rPr>
          <w:rFonts w:ascii="Times New Roman;Times;serif" w:hAnsi="Times New Roman;Times;serif"/>
          <w:sz w:val="20"/>
        </w:rPr>
        <w:t xml:space="preserve"> “Quantitative and Qualitative Disclosures About Market Risk” of this Annual Report on Form </w:t>
      </w:r>
      <w:r>
        <w:rPr>
          <w:rStyle w:val="Emphasis"/>
          <w:rFonts w:ascii="Times New Roman;Times;serif" w:hAnsi="Times New Roman;Times;serif"/>
          <w:sz w:val="20"/>
        </w:rPr>
        <w:t>10</w:t>
      </w:r>
      <w:r>
        <w:rPr>
          <w:rFonts w:ascii="Times New Roman;Times;serif" w:hAnsi="Times New Roman;Times;serif"/>
          <w:sz w:val="20"/>
        </w:rPr>
        <w:t>-K for additional information on these interest rate swaps.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entered into a $30,000 agreement with Wallbox to purchase 5% of its Class A common stock and acquire stock warrants, the latter of which provide the right to acquire incremental Class A common stock outstanding of Wallbox upon exercise at a fixed price with anti-dilution protections for a period of time.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the first, second,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received additional warrants under the anti-dilution protection rights in connection with additional rounds of funding performed by Wallbox. In accordance with U.S. GAAP, the Company is required to adjust the carrying value of these warrants to market value on a quarterly basis. Gains and losses attributable to the stock warrants are recognized in other expense, net in the consolidated statements of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loss attributable to the stock warrants was $5,839 and $7,327 for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fair value of the Company’s derivatives:</w:t>
      </w:r>
    </w:p>
    <w:p>
      <w:pPr>
        <w:pStyle w:val="TextBody"/>
        <w:bidi w:val="0"/>
        <w:spacing w:before="0" w:after="0"/>
        <w:ind w:left="0" w:right="0" w:hanging="0"/>
        <w:jc w:val="both"/>
        <w:rPr/>
      </w:pPr>
      <w:r>
        <w:rPr/>
        <w:t> </w:t>
      </w:r>
    </w:p>
    <w:tbl>
      <w:tblPr>
        <w:tblW w:w="3160" w:type="dxa"/>
        <w:jc w:val="left"/>
        <w:tblInd w:w="0" w:type="dxa"/>
        <w:tblLayout w:type="fixed"/>
        <w:tblCellMar>
          <w:top w:w="0" w:type="dxa"/>
          <w:left w:w="0" w:type="dxa"/>
          <w:bottom w:w="0" w:type="dxa"/>
          <w:right w:w="0" w:type="dxa"/>
        </w:tblCellMar>
      </w:tblPr>
      <w:tblGrid>
        <w:gridCol w:w="1490"/>
        <w:gridCol w:w="60"/>
        <w:gridCol w:w="125"/>
        <w:gridCol w:w="590"/>
        <w:gridCol w:w="60"/>
        <w:gridCol w:w="60"/>
        <w:gridCol w:w="125"/>
        <w:gridCol w:w="590"/>
        <w:gridCol w:w="6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28,367</w:t>
            </w:r>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interest rate swaps is included in prepaid expenses and other assets in the consolidated balance sheet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fair value of stock warrants is included in operating lease and other assets in the consolidated balance sheet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fair values of the interest rate swaps and stock warrants are included in operating lease and other assets in the consolidated balance sheet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Excluding the impact of credit risk, the fair value of the interest rate swaps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is an asset of $11,604 and $29,254, respectively, which represents the net amount the Company would receive to exit all of the agreements on that date. </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4435" w:type="dxa"/>
        <w:jc w:val="left"/>
        <w:tblInd w:w="0" w:type="dxa"/>
        <w:tblLayout w:type="fixed"/>
        <w:tblCellMar>
          <w:top w:w="0" w:type="dxa"/>
          <w:left w:w="0" w:type="dxa"/>
          <w:bottom w:w="0" w:type="dxa"/>
          <w:right w:w="0" w:type="dxa"/>
        </w:tblCellMar>
      </w:tblPr>
      <w:tblGrid>
        <w:gridCol w:w="170"/>
        <w:gridCol w:w="426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6.</w:t>
            </w:r>
          </w:p>
        </w:tc>
        <w:tc>
          <w:tcPr>
            <w:tcW w:w="42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presents a tabular disclosure of changes in accumulated other comprehensive income (loss) during the years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net of tax:</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007"/>
        <w:gridCol w:w="60"/>
        <w:gridCol w:w="386"/>
        <w:gridCol w:w="2349"/>
        <w:gridCol w:w="80"/>
        <w:gridCol w:w="224"/>
        <w:gridCol w:w="60"/>
        <w:gridCol w:w="452"/>
        <w:gridCol w:w="2363"/>
        <w:gridCol w:w="80"/>
        <w:gridCol w:w="224"/>
        <w:gridCol w:w="60"/>
        <w:gridCol w:w="125"/>
        <w:gridCol w:w="650"/>
        <w:gridCol w:w="85"/>
      </w:tblGrid>
      <w:tr>
        <w:trPr/>
        <w:tc>
          <w:tcPr>
            <w:tcW w:w="3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shd w:fill="FFFFFF" w:val="clear"/>
            <w:vAlign w:val="center"/>
          </w:tcPr>
          <w:p>
            <w:pPr>
              <w:pStyle w:val="TableContents"/>
              <w:bidi w:val="0"/>
              <w:spacing w:before="0" w:after="283"/>
              <w:jc w:val="left"/>
              <w:rPr/>
            </w:pPr>
            <w:r>
              <w:rPr/>
              <w:t> </w:t>
            </w:r>
          </w:p>
        </w:tc>
      </w:tr>
      <w:tr>
        <w:trPr/>
        <w:tc>
          <w:tcPr>
            <w:tcW w:w="30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20,767</w:t>
            </w:r>
          </w:p>
        </w:tc>
        <w:tc>
          <w:tcPr>
            <w:tcW w:w="8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(85,399</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7"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Current-period comprehensive income (loss)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99,136</w:t>
            </w:r>
          </w:p>
        </w:tc>
        <w:tc>
          <w:tcPr>
            <w:tcW w:w="8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(1)</w:t>
            </w:r>
          </w:p>
        </w:tc>
        <w:tc>
          <w:tcPr>
            <w:tcW w:w="60" w:type="dxa"/>
            <w:tcBorders/>
            <w:shd w:fill="FFFFFF" w:val="clear"/>
            <w:vAlign w:val="center"/>
          </w:tcPr>
          <w:p>
            <w:pPr>
              <w:pStyle w:val="TableContents"/>
              <w:bidi w:val="0"/>
              <w:spacing w:before="0" w:after="283"/>
              <w:jc w:val="left"/>
              <w:rPr/>
            </w:pPr>
            <w:r>
              <w:rPr/>
              <w:t> </w:t>
            </w:r>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(12,863</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4"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86,273</w:t>
            </w:r>
          </w:p>
        </w:tc>
        <w:tc>
          <w:tcPr>
            <w:tcW w:w="85" w:type="dxa"/>
            <w:tcBorders/>
            <w:shd w:fill="FFFFFF" w:val="clear"/>
            <w:vAlign w:val="center"/>
          </w:tcPr>
          <w:p>
            <w:pPr>
              <w:pStyle w:val="TableContents"/>
              <w:bidi w:val="0"/>
              <w:spacing w:before="0" w:after="283"/>
              <w:jc w:val="left"/>
              <w:rPr/>
            </w:pPr>
            <w:r>
              <w:rPr/>
              <w:t> </w:t>
            </w:r>
          </w:p>
        </w:tc>
      </w:tr>
      <w:tr>
        <w:trPr/>
        <w:tc>
          <w:tcPr>
            <w:tcW w:w="30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7,904</w:t>
            </w:r>
          </w:p>
        </w:tc>
        <w:tc>
          <w:tcPr>
            <w:tcW w:w="8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646"/>
        <w:gridCol w:w="60"/>
        <w:gridCol w:w="410"/>
        <w:gridCol w:w="2492"/>
        <w:gridCol w:w="80"/>
        <w:gridCol w:w="228"/>
        <w:gridCol w:w="60"/>
        <w:gridCol w:w="521"/>
        <w:gridCol w:w="2480"/>
        <w:gridCol w:w="80"/>
        <w:gridCol w:w="228"/>
        <w:gridCol w:w="60"/>
        <w:gridCol w:w="125"/>
        <w:gridCol w:w="650"/>
        <w:gridCol w:w="85"/>
      </w:tblGrid>
      <w:tr>
        <w:trPr/>
        <w:tc>
          <w:tcPr>
            <w:tcW w:w="2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shd w:fill="FFFFFF" w:val="clear"/>
            <w:vAlign w:val="center"/>
          </w:tcPr>
          <w:p>
            <w:pPr>
              <w:pStyle w:val="TableContents"/>
              <w:bidi w:val="0"/>
              <w:spacing w:before="0" w:after="283"/>
              <w:jc w:val="left"/>
              <w:rPr/>
            </w:pPr>
            <w:r>
              <w:rPr/>
              <w:t> </w:t>
            </w:r>
          </w:p>
        </w:tc>
      </w:tr>
      <w:tr>
        <w:trPr/>
        <w:tc>
          <w:tcPr>
            <w:tcW w:w="26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(43,582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28,439</w:t>
            </w:r>
          </w:p>
        </w:tc>
        <w:tc>
          <w:tcPr>
            <w:tcW w:w="8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(15,143</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6"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Current-period comprehensive loss</w:t>
            </w:r>
          </w:p>
        </w:tc>
        <w:tc>
          <w:tcPr>
            <w:tcW w:w="60" w:type="dxa"/>
            <w:tcBorders/>
            <w:shd w:fill="FFFFFF" w:val="clear"/>
            <w:vAlign w:val="center"/>
          </w:tcPr>
          <w:p>
            <w:pPr>
              <w:pStyle w:val="TableContents"/>
              <w:bidi w:val="0"/>
              <w:spacing w:before="0" w:after="283"/>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(62,584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(70,256</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(106,166</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4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20,767</w:t>
            </w:r>
          </w:p>
        </w:tc>
        <w:tc>
          <w:tcPr>
            <w:tcW w:w="8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(85,399</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r>
              <w:rPr>
                <w:rStyle w:val="Emphasis"/>
              </w:rPr>
              <w:t>1</w:t>
            </w:r>
            <w:r>
              <w:rPr/>
              <w:t>)</w:t>
            </w:r>
          </w:p>
        </w:tc>
        <w:tc>
          <w:tcPr>
            <w:tcW w:w="9931" w:type="dxa"/>
            <w:tcBorders/>
            <w:vAlign w:val="center"/>
          </w:tcPr>
          <w:p>
            <w:pPr>
              <w:pStyle w:val="TableContents"/>
              <w:bidi w:val="0"/>
              <w:spacing w:before="0" w:after="283"/>
              <w:jc w:val="both"/>
              <w:rPr/>
            </w:pPr>
            <w:r>
              <w:rPr/>
              <w:t xml:space="preserve">Represents favorable impact from the weakening of the U.S. dollar against foreign currencies during the year ended </w:t>
            </w:r>
            <w:r>
              <w:rPr>
                <w:rStyle w:val="Emphasis"/>
              </w:rPr>
              <w:t xml:space="preserve">December 31, 2025, </w:t>
            </w:r>
            <w:r>
              <w:rPr/>
              <w:t>particularly the Euro, British Pound, and Mexican Peso.</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9931" w:type="dxa"/>
            <w:tcBorders/>
            <w:vAlign w:val="center"/>
          </w:tcPr>
          <w:p>
            <w:pPr>
              <w:pStyle w:val="TableContents"/>
              <w:bidi w:val="0"/>
              <w:spacing w:before="0" w:after="283"/>
              <w:jc w:val="both"/>
              <w:rPr/>
            </w:pPr>
            <w:r>
              <w:rPr/>
              <w:t xml:space="preserve">Represents unrealized losses of $(17,095) on the interest rate swaps, net of tax effect of $4,232 for the year ended </w:t>
            </w:r>
            <w:r>
              <w:rPr>
                <w:rStyle w:val="Emphasis"/>
              </w:rPr>
              <w:t>December 31, 2025</w:t>
            </w:r>
            <w:r>
              <w:rPr/>
              <w:t>.</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r>
              <w:rPr>
                <w:rStyle w:val="Emphasis"/>
              </w:rPr>
              <w:t>3</w:t>
            </w:r>
            <w:r>
              <w:rPr/>
              <w:t>)</w:t>
            </w:r>
          </w:p>
        </w:tc>
        <w:tc>
          <w:tcPr>
            <w:tcW w:w="9931" w:type="dxa"/>
            <w:tcBorders/>
            <w:vAlign w:val="center"/>
          </w:tcPr>
          <w:p>
            <w:pPr>
              <w:pStyle w:val="TableContents"/>
              <w:bidi w:val="0"/>
              <w:spacing w:before="0" w:after="283"/>
              <w:jc w:val="both"/>
              <w:rPr/>
            </w:pPr>
            <w:r>
              <w:rPr/>
              <w:t xml:space="preserve">Represents unfavorable impact from the strengthening of the U.S. dollar against foreign currencies during the year ended </w:t>
            </w:r>
            <w:r>
              <w:rPr>
                <w:rStyle w:val="Emphasis"/>
              </w:rPr>
              <w:t xml:space="preserve">December 31, 2024, </w:t>
            </w:r>
            <w:r>
              <w:rPr/>
              <w:t>particularly the Euro, British Pound, and Mexican Peso.</w:t>
            </w:r>
          </w:p>
        </w:tc>
      </w:tr>
    </w:tbl>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w:t>
            </w:r>
          </w:p>
        </w:tc>
        <w:tc>
          <w:tcPr>
            <w:tcW w:w="9929" w:type="dxa"/>
            <w:tcBorders/>
            <w:vAlign w:val="center"/>
          </w:tcPr>
          <w:p>
            <w:pPr>
              <w:pStyle w:val="TableContents"/>
              <w:bidi w:val="0"/>
              <w:spacing w:before="0" w:after="283"/>
              <w:jc w:val="left"/>
              <w:rPr/>
            </w:pPr>
            <w:r>
              <w:rPr/>
              <w:t xml:space="preserve">Represents unrealized losses of $(10,235) on the interest rate swaps, net of tax effect of $2,563 for the year ended </w:t>
            </w:r>
            <w:r>
              <w:rPr>
                <w:rStyle w:val="Emphasis"/>
              </w:rPr>
              <w:t>December 31, 2024.</w:t>
            </w:r>
          </w:p>
        </w:tc>
      </w:tr>
    </w:tbl>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7.</w:t>
            </w:r>
          </w:p>
        </w:tc>
        <w:tc>
          <w:tcPr>
            <w:tcW w:w="1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Segment Reporting</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two reportable segments for financial reporting purposes – domestic and international. The domestic segment includes the legacy Generac business and all historical acquisitions based in the U.S. and Canada, all of which have revenues substantially derived from the U.S. and Canada. The international segment includes all historical acquisitions </w:t>
      </w:r>
      <w:r>
        <w:rPr>
          <w:rStyle w:val="Emphasis"/>
          <w:rFonts w:ascii="Times New Roman;Times;serif" w:hAnsi="Times New Roman;Times;serif"/>
          <w:sz w:val="20"/>
        </w:rPr>
        <w:t>not</w:t>
      </w:r>
      <w:r>
        <w:rPr>
          <w:rFonts w:ascii="Times New Roman;Times;serif" w:hAnsi="Times New Roman;Times;serif"/>
          <w:sz w:val="20"/>
        </w:rPr>
        <w:t xml:space="preserve"> based in the U.S and Canada, all of which have revenues substantially derived from outside the U.S and Canada. Both reportable segments design and manufacture a wide range of energy technology solutions and other power products. The Company has multiple operating segments, which it aggregates into the </w:t>
      </w:r>
      <w:r>
        <w:rPr>
          <w:rStyle w:val="Emphasis"/>
          <w:rFonts w:ascii="Times New Roman;Times;serif" w:hAnsi="Times New Roman;Times;serif"/>
          <w:sz w:val="20"/>
        </w:rPr>
        <w:t>two</w:t>
      </w:r>
      <w:r>
        <w:rPr>
          <w:rFonts w:ascii="Times New Roman;Times;serif" w:hAnsi="Times New Roman;Times;serif"/>
          <w:sz w:val="20"/>
        </w:rPr>
        <w:t xml:space="preserve"> reportable segments, based on materially similar economic characteristics, products, production processes, classes of customers, distribution methods, organizational structure, and regional considerations. Intersegment sales are at an appropriate transfer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product offerings consist primarily of power generation equipment, energy storage systems, energy management devices &amp; solutions, and other power products geared for varying end customer uses. While Residential products and Commercial &amp; Industrial (C&amp;I) products include similar products, they differ based on power output and end customer. The composition of net sales between residential, C&amp;I, and other products &amp; services by reportable segment is as follows:</w:t>
      </w:r>
    </w:p>
    <w:p>
      <w:pPr>
        <w:pStyle w:val="TextBody"/>
        <w:bidi w:val="0"/>
        <w:spacing w:before="0" w:after="0"/>
        <w:ind w:left="0" w:right="0" w:hanging="0"/>
        <w:jc w:val="both"/>
        <w:rPr/>
      </w:pPr>
      <w:r>
        <w:rPr/>
        <w:t> </w:t>
      </w:r>
    </w:p>
    <w:tbl>
      <w:tblPr>
        <w:tblW w:w="621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2"/>
        <w:gridCol w:w="958"/>
        <w:gridCol w:w="60"/>
        <w:gridCol w:w="60"/>
        <w:gridCol w:w="125"/>
        <w:gridCol w:w="845"/>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Net Sales by Segment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2025</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Classes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2,182,105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2,266,912</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863,762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593,623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1,457,385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484,850</w:t>
            </w:r>
          </w:p>
        </w:tc>
        <w:tc>
          <w:tcPr>
            <w:tcW w:w="60" w:type="dxa"/>
            <w:tcBorders/>
            <w:shd w:fill="CCEEFF" w:val="clear"/>
            <w:vAlign w:val="center"/>
          </w:tcPr>
          <w:p>
            <w:pPr>
              <w:pStyle w:val="TableContents"/>
              <w:bidi w:val="0"/>
              <w:spacing w:before="0" w:after="0"/>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4,209,147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1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2"/>
        <w:gridCol w:w="958"/>
        <w:gridCol w:w="60"/>
        <w:gridCol w:w="60"/>
        <w:gridCol w:w="125"/>
        <w:gridCol w:w="845"/>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2024</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Classes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2,433,474</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1,389,469</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472,891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4,295,834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1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2"/>
        <w:gridCol w:w="958"/>
        <w:gridCol w:w="60"/>
        <w:gridCol w:w="60"/>
        <w:gridCol w:w="125"/>
        <w:gridCol w:w="845"/>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2023</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Classes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2,062,929</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1,494,799</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464,939</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4,022,667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Residential products consist primarily of automatic home standby generators ranging in output from </w:t>
      </w:r>
      <w:r>
        <w:rPr>
          <w:rStyle w:val="Emphasis"/>
          <w:rFonts w:ascii="Times New Roman;Times;serif" w:hAnsi="Times New Roman;Times;serif"/>
          <w:sz w:val="20"/>
        </w:rPr>
        <w:t>7.5kW</w:t>
      </w:r>
      <w:r>
        <w:rPr>
          <w:rFonts w:ascii="Times New Roman;Times;serif" w:hAnsi="Times New Roman;Times;serif"/>
          <w:sz w:val="20"/>
        </w:rPr>
        <w:t xml:space="preserve"> to </w:t>
      </w:r>
      <w:r>
        <w:rPr>
          <w:rStyle w:val="Emphasis"/>
          <w:rFonts w:ascii="Times New Roman;Times;serif" w:hAnsi="Times New Roman;Times;serif"/>
          <w:sz w:val="20"/>
        </w:rPr>
        <w:t>150kW,</w:t>
      </w:r>
      <w:r>
        <w:rPr>
          <w:rFonts w:ascii="Times New Roman;Times;serif" w:hAnsi="Times New Roman;Times;serif"/>
          <w:sz w:val="20"/>
        </w:rPr>
        <w:t xml:space="preserve"> portable generators, residential energy storage systems, energy management devices &amp; solutions, and other outdoor power equipment. These products are predominantly sold through independent residential dealers, national and regional retailers, e-commerce merchants, electrical/HVAC/solar wholesalers, solar installers, and outdoor power equipment dealers. The residential products revenue consists of the sale of the product to the Company's distribution partners, who in turn sell the product to the end consumer, including installation and maintenance services. In some cases, residential products are sold directly to the end consumer. Substantially all of the residential products' revenues are transferred to the customer at a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C&amp;I products consist of larger output stationary generators used in C&amp;I applications, with power outputs up to </w:t>
      </w:r>
      <w:r>
        <w:rPr>
          <w:rStyle w:val="Emphasis"/>
          <w:rFonts w:ascii="Times New Roman" w:hAnsi="Times New Roman"/>
          <w:caps w:val="false"/>
          <w:smallCaps w:val="false"/>
          <w:sz w:val="20"/>
        </w:rPr>
        <w:t>3,250kW.</w:t>
      </w:r>
      <w:r>
        <w:rPr>
          <w:rFonts w:ascii="Times New Roman" w:hAnsi="Times New Roman"/>
          <w:caps w:val="false"/>
          <w:smallCaps w:val="false"/>
          <w:sz w:val="20"/>
        </w:rPr>
        <w:t xml:space="preserve"> Also included in C&amp;I products are mobile generators, light towers, C&amp;I battery energy storage systems, mobile heaters, mobile pumps, and related controls for power generation equipment. These products are sold globally through industrial distributors and dealers, Engineering, Procurement, and Construction (EPC) companies, equipment rental companies, and equipment distributors. The C&amp;I products revenue consists of the sale of the product to the Company's distribution partners, who in turn sell or rent the product to the end customer, including installation and maintenance services. In some cases, C&amp;I products are sold directly to the end customer.  C&amp;I also provides back-up power solutions for data centers including delivery of large backup power generators, project management, installation commissioning and training. The majority of C&amp;I products' revenues are transferred to the customer at a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consists primarily of aftermarket service parts and product accessories sold to the Company's distribution partners, the amortization of extended warranty deferred revenue, remote monitoring and grid services subscription revenue, as well as certain design, build, installation, and maintenance service revenue. The aftermarket service parts and product accessories are generally transferred to the customer at a point in time, while the extended warranty and subscription revenue are recognized over the life of the contract. Other service revenue is recognized when the service is performed.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both"/>
        <w:rPr/>
      </w:pPr>
      <w:r>
        <w:rPr>
          <w:sz w:val="20"/>
        </w:rPr>
        <w:t xml:space="preserve">The Company views Adjusted EBITDA as a key measure of the Company's performance. The computation of Adjusted EBITDA is based primarily on the definition that is contained in the Company’s credit agreements. The Company presents Adjusted EBITDA </w:t>
      </w:r>
      <w:r>
        <w:rPr>
          <w:rStyle w:val="Emphasis"/>
          <w:sz w:val="20"/>
        </w:rPr>
        <w:t>not</w:t>
      </w:r>
      <w:r>
        <w:rPr>
          <w:sz w:val="20"/>
        </w:rPr>
        <w:t xml:space="preserve"> only due to its importance for purposes of the Company's credit agreements, but also because it assists the Company in comparing performance across reporting periods on a consistent basis as it excludes items the Company's management does </w:t>
      </w:r>
      <w:r>
        <w:rPr>
          <w:rStyle w:val="Emphasis"/>
          <w:sz w:val="20"/>
        </w:rPr>
        <w:t>not</w:t>
      </w:r>
      <w:r>
        <w:rPr>
          <w:sz w:val="20"/>
        </w:rPr>
        <w:t xml:space="preserve"> believe are indicative of the Company's core operating performance. The Company's Chief Operating Decision Maker (CODM) is Aaron Jagdfeld, President and Chief Executive Officer (CEO). He uses Adjusted EBITDA, along with the Company's management: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planning purposes, including the preparation of the Company's annual operating budget and developing and refining internal projections for future periods;</w:t>
            </w:r>
          </w:p>
        </w:tc>
      </w:tr>
    </w:tbl>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allocate resources to enhance the financial performance of the Company's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target for the determination of the bonus component of compensation for the Company's senior executives under the Company's management incentive plan, as described further in the Company's Proxy Statement;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evaluate the effectiveness of the Company's business strategies and as a supplemental tool in evaluating the Company's performance against the Company's budget for each period; and</w:t>
            </w:r>
          </w:p>
        </w:tc>
      </w:tr>
    </w:tbl>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communications with the Company's Board and investors concerning the Company's financial performance.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See "Non-GAAP measures - Adjusted EBITDA" in Item </w:t>
      </w:r>
      <w:r>
        <w:rPr>
          <w:rStyle w:val="Emphasis"/>
          <w:rFonts w:ascii="Times New Roman;Times;serif" w:hAnsi="Times New Roman;Times;serif"/>
          <w:sz w:val="20"/>
        </w:rPr>
        <w:t>7</w:t>
      </w:r>
      <w:r>
        <w:rPr>
          <w:rFonts w:ascii="Times New Roman;Times;serif" w:hAnsi="Times New Roman;Times;serif"/>
          <w:sz w:val="20"/>
        </w:rPr>
        <w:t xml:space="preserve"> of this Annual Report on Form </w:t>
      </w:r>
      <w:r>
        <w:rPr>
          <w:rStyle w:val="Emphasis"/>
          <w:rFonts w:ascii="Times New Roman;Times;serif" w:hAnsi="Times New Roman;Times;serif"/>
          <w:sz w:val="20"/>
        </w:rPr>
        <w:t>10</w:t>
      </w:r>
      <w:r>
        <w:rPr>
          <w:rFonts w:ascii="Times New Roman;Times;serif" w:hAnsi="Times New Roman;Times;serif"/>
          <w:sz w:val="20"/>
        </w:rPr>
        <w:t>-K for more information on the Company's use of Adjusted EBITDA. The table below presents total sales (external and intersegment), significant segment expenses, and Adjusted EBITDA by reportable segment, reconciled to consolidated income before provision for income taxes. </w:t>
      </w:r>
    </w:p>
    <w:p>
      <w:pPr>
        <w:pStyle w:val="TextBody"/>
        <w:bidi w:val="0"/>
        <w:spacing w:before="0" w:after="0"/>
        <w:ind w:left="0" w:right="0" w:hanging="0"/>
        <w:jc w:val="both"/>
        <w:rPr/>
      </w:pPr>
      <w:r>
        <w:rPr/>
        <w:t> </w:t>
      </w:r>
    </w:p>
    <w:tbl>
      <w:tblPr>
        <w:tblW w:w="12079" w:type="dxa"/>
        <w:jc w:val="left"/>
        <w:tblInd w:w="0" w:type="dxa"/>
        <w:tblLayout w:type="fixed"/>
        <w:tblCellMar>
          <w:top w:w="28" w:type="dxa"/>
          <w:left w:w="28" w:type="dxa"/>
          <w:bottom w:w="28" w:type="dxa"/>
          <w:right w:w="28" w:type="dxa"/>
        </w:tblCellMar>
      </w:tblPr>
      <w:tblGrid>
        <w:gridCol w:w="1051"/>
        <w:gridCol w:w="116"/>
        <w:gridCol w:w="166"/>
        <w:gridCol w:w="796"/>
        <w:gridCol w:w="136"/>
        <w:gridCol w:w="116"/>
        <w:gridCol w:w="198"/>
        <w:gridCol w:w="793"/>
        <w:gridCol w:w="136"/>
        <w:gridCol w:w="116"/>
        <w:gridCol w:w="166"/>
        <w:gridCol w:w="796"/>
        <w:gridCol w:w="136"/>
        <w:gridCol w:w="116"/>
        <w:gridCol w:w="166"/>
        <w:gridCol w:w="796"/>
        <w:gridCol w:w="136"/>
        <w:gridCol w:w="116"/>
        <w:gridCol w:w="198"/>
        <w:gridCol w:w="793"/>
        <w:gridCol w:w="136"/>
        <w:gridCol w:w="116"/>
        <w:gridCol w:w="166"/>
        <w:gridCol w:w="796"/>
        <w:gridCol w:w="136"/>
        <w:gridCol w:w="116"/>
        <w:gridCol w:w="166"/>
        <w:gridCol w:w="796"/>
        <w:gridCol w:w="136"/>
        <w:gridCol w:w="116"/>
        <w:gridCol w:w="198"/>
        <w:gridCol w:w="793"/>
        <w:gridCol w:w="136"/>
        <w:gridCol w:w="116"/>
        <w:gridCol w:w="166"/>
        <w:gridCol w:w="796"/>
        <w:gridCol w:w="151"/>
      </w:tblGrid>
      <w:tr>
        <w:trPr/>
        <w:tc>
          <w:tcPr>
            <w:tcW w:w="1051" w:type="dxa"/>
            <w:tcBorders/>
            <w:shd w:fill="FFFFFF" w:val="cle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419" w:type="dxa"/>
            <w:gridSpan w:val="10"/>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Year Ended December 31, 2025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419" w:type="dxa"/>
            <w:gridSpan w:val="10"/>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Year Ended December 31, 2024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419" w:type="dxa"/>
            <w:gridSpan w:val="10"/>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Year Ended December 31, 2023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Domestic</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International</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Domestic</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International</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Domestic</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International</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962"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External net sales</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3,470,966</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738,181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4,209,147</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3,599,149</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696,685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4,295,834</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3,276,324</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746,343</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4,022,667</w:t>
            </w:r>
          </w:p>
        </w:tc>
        <w:tc>
          <w:tcPr>
            <w:tcW w:w="151" w:type="dxa"/>
            <w:tcBorders/>
            <w:shd w:fill="CCEEFF" w:val="clear"/>
            <w:vAlign w:val="center"/>
          </w:tcPr>
          <w:p>
            <w:pPr>
              <w:pStyle w:val="TableContents"/>
              <w:bidi w:val="0"/>
              <w:spacing w:before="0" w:after="283"/>
              <w:ind w:left="0" w:right="0" w:hanging="0"/>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Intersegment sales</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23,205</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39,250</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62,455</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35,932</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28,700</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64,632</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43,937</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91,552</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135,489</w:t>
            </w:r>
          </w:p>
        </w:tc>
        <w:tc>
          <w:tcPr>
            <w:tcW w:w="151" w:type="dxa"/>
            <w:tcBorders/>
            <w:shd w:fill="FFFFFF" w:val="clear"/>
            <w:tcMar>
              <w:top w:w="0" w:type="dxa"/>
              <w:left w:w="0" w:type="dxa"/>
              <w:bottom w:w="0" w:type="dxa"/>
              <w:right w:w="0" w:type="dxa"/>
            </w:tcMar>
            <w:vAlign w:val="center"/>
          </w:tcPr>
          <w:p>
            <w:pPr>
              <w:pStyle w:val="TableContents"/>
              <w:bidi w:val="0"/>
              <w:spacing w:before="0" w:after="0"/>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sales</w:t>
            </w:r>
          </w:p>
        </w:tc>
        <w:tc>
          <w:tcPr>
            <w:tcW w:w="116"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3,494,171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777,431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4,271,602</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3,635,081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725,385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4,360,466</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3,320,261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837,895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4,158,156</w:t>
            </w:r>
          </w:p>
        </w:tc>
        <w:tc>
          <w:tcPr>
            <w:tcW w:w="151" w:type="dxa"/>
            <w:tcBorders/>
            <w:shd w:fill="CCEE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Elimination of intersegment sales</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(62,455</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(64,632</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(135,489</w:t>
            </w:r>
          </w:p>
        </w:tc>
        <w:tc>
          <w:tcPr>
            <w:tcW w:w="15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Costs of goods sold</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2,095,406</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564,459</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2,659,865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2,155,269</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539,571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2,694,840</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2,168,210</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624,515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2,792,725</w:t>
            </w:r>
          </w:p>
        </w:tc>
        <w:tc>
          <w:tcPr>
            <w:tcW w:w="151" w:type="dxa"/>
            <w:tcBorders/>
            <w:shd w:fill="CCEE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Elimination of intersegment cost of goods sold</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(62,455</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(64,632</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(135,489</w:t>
            </w:r>
          </w:p>
        </w:tc>
        <w:tc>
          <w:tcPr>
            <w:tcW w:w="15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1,175,856</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146,690</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1,322,546</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991,042</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137,842</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1,128,884</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839,827</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139,405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979,232</w:t>
            </w:r>
          </w:p>
        </w:tc>
        <w:tc>
          <w:tcPr>
            <w:tcW w:w="151" w:type="dxa"/>
            <w:tcBorders/>
            <w:shd w:fill="CCEEFF" w:val="clear"/>
            <w:vAlign w:val="center"/>
          </w:tcPr>
          <w:p>
            <w:pPr>
              <w:pStyle w:val="TableContents"/>
              <w:bidi w:val="0"/>
              <w:spacing w:before="0" w:after="283"/>
              <w:ind w:left="0" w:right="0" w:hanging="0"/>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segment items (1)</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(375,006</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(51,345</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(426,351</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(204,433</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(47,926</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(252,359</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(211,113</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(40,547</w:t>
            </w:r>
          </w:p>
        </w:tc>
        <w:tc>
          <w:tcPr>
            <w:tcW w:w="13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(251,660</w:t>
            </w:r>
          </w:p>
        </w:tc>
        <w:tc>
          <w:tcPr>
            <w:tcW w:w="151" w:type="dxa"/>
            <w:tcBorders/>
            <w:shd w:fill="FFFFFF" w:val="clear"/>
            <w:tcMar>
              <w:top w:w="0" w:type="dxa"/>
              <w:left w:w="0" w:type="dxa"/>
              <w:bottom w:w="0" w:type="dxa"/>
              <w:right w:w="0"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Adjusted EBITDA by reportable segment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597,915</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117,627</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715,542</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693,203</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95,898</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789,101</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523,337</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114,522</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637,859</w:t>
            </w:r>
          </w:p>
        </w:tc>
        <w:tc>
          <w:tcPr>
            <w:tcW w:w="151" w:type="dxa"/>
            <w:tcBorders/>
            <w:shd w:fill="CCEE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(70,697</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(89,713</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(97,627</w:t>
            </w:r>
          </w:p>
        </w:tc>
        <w:tc>
          <w:tcPr>
            <w:tcW w:w="15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(194,835</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(171,768</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(166,602</w:t>
            </w:r>
          </w:p>
        </w:tc>
        <w:tc>
          <w:tcPr>
            <w:tcW w:w="15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write-down and other adjustments (2)</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(6,636</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(4,757</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5,953</w:t>
            </w:r>
          </w:p>
        </w:tc>
        <w:tc>
          <w:tcPr>
            <w:tcW w:w="151" w:type="dxa"/>
            <w:tcBorders/>
            <w:shd w:fill="FFFFFF" w:val="clear"/>
            <w:vAlign w:val="center"/>
          </w:tcPr>
          <w:p>
            <w:pPr>
              <w:pStyle w:val="TableContents"/>
              <w:bidi w:val="0"/>
              <w:spacing w:before="0" w:after="283"/>
              <w:jc w:val="left"/>
              <w:rPr/>
            </w:pPr>
            <w:r>
              <w:rPr/>
              <w:t> </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share-based compensation expense (3)</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(49,947</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(49,248</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(35,492</w:t>
            </w:r>
          </w:p>
        </w:tc>
        <w:tc>
          <w:tcPr>
            <w:tcW w:w="15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 and credit facility fees (4)</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(3,976</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(5,097</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(4,054</w:t>
            </w:r>
          </w:p>
        </w:tc>
        <w:tc>
          <w:tcPr>
            <w:tcW w:w="15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optimization and other charges (5)</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(7,301</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(4,752</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(10,551</w:t>
            </w:r>
          </w:p>
        </w:tc>
        <w:tc>
          <w:tcPr>
            <w:tcW w:w="15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legal, regulatory, and other costs (6)</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(157,981</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(10,931</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(38,490</w:t>
            </w:r>
          </w:p>
        </w:tc>
        <w:tc>
          <w:tcPr>
            <w:tcW w:w="15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investments (7)</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(20,610</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(38,006</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rStyle w:val="Emphasis"/>
              </w:rPr>
              <w:t> </w:t>
            </w:r>
          </w:p>
        </w:tc>
        <w:tc>
          <w:tcPr>
            <w:tcW w:w="13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51" w:type="dxa"/>
            <w:tcBorders/>
            <w:shd w:fill="CCEE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refinancing of debt (8)</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(1,225</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(4,861</w:t>
            </w:r>
          </w:p>
        </w:tc>
        <w:tc>
          <w:tcPr>
            <w:tcW w:w="13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151" w:type="dxa"/>
            <w:tcBorders/>
            <w:shd w:fill="FFFFFF" w:val="clear"/>
            <w:vAlign w:val="center"/>
          </w:tcPr>
          <w:p>
            <w:pPr>
              <w:pStyle w:val="TableContents"/>
              <w:bidi w:val="0"/>
              <w:spacing w:before="0" w:after="283"/>
              <w:ind w:left="0" w:right="0" w:hanging="0"/>
              <w:jc w:val="left"/>
              <w:rPr/>
            </w:pPr>
            <w:r>
              <w:rPr/>
              <w:t> </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0"/>
              <w:ind w:left="0" w:right="0" w:hanging="0"/>
              <w:jc w:val="right"/>
              <w:rPr/>
            </w:pPr>
            <w:r>
              <w:rPr>
                <w:rStyle w:val="Emphasis"/>
              </w:rPr>
              <w:t> </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0"/>
              <w:ind w:left="0" w:right="0" w:hanging="0"/>
              <w:jc w:val="right"/>
              <w:rPr/>
            </w:pPr>
            <w:r>
              <w:rPr>
                <w:rStyle w:val="Emphasis"/>
              </w:rPr>
              <w:t> </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(3,274</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0"/>
              <w:ind w:left="0" w:right="0" w:hanging="0"/>
              <w:jc w:val="right"/>
              <w:rPr/>
            </w:pPr>
            <w:r>
              <w:rPr>
                <w:rStyle w:val="Emphasis"/>
              </w:rPr>
              <w:t> </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0"/>
              <w:ind w:left="0" w:right="0" w:hanging="0"/>
              <w:jc w:val="right"/>
              <w:rPr/>
            </w:pPr>
            <w:r>
              <w:rPr>
                <w:rStyle w:val="Emphasis"/>
              </w:rPr>
              <w:t> </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0"/>
              <w:ind w:left="0" w:right="0" w:hanging="0"/>
              <w:jc w:val="right"/>
              <w:rPr/>
            </w:pPr>
            <w:r>
              <w:rPr>
                <w:rStyle w:val="Emphasis"/>
              </w:rPr>
              <w:t> </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93" w:type="dxa"/>
            <w:tcBorders/>
            <w:shd w:fill="CCEEFF" w:val="clear"/>
            <w:tcMar>
              <w:top w:w="0" w:type="dxa"/>
              <w:left w:w="0" w:type="dxa"/>
              <w:bottom w:w="0" w:type="dxa"/>
              <w:right w:w="0" w:type="dxa"/>
            </w:tcMar>
            <w:vAlign w:val="center"/>
          </w:tcPr>
          <w:p>
            <w:pPr>
              <w:pStyle w:val="TableContents"/>
              <w:bidi w:val="0"/>
              <w:spacing w:before="0" w:after="0"/>
              <w:ind w:left="0" w:right="0" w:hanging="0"/>
              <w:jc w:val="right"/>
              <w:rPr/>
            </w:pPr>
            <w:r>
              <w:rPr>
                <w:rStyle w:val="Emphasis"/>
              </w:rPr>
              <w:t> </w:t>
            </w:r>
          </w:p>
        </w:tc>
        <w:tc>
          <w:tcPr>
            <w:tcW w:w="13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16"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6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w:t>
            </w:r>
          </w:p>
        </w:tc>
        <w:tc>
          <w:tcPr>
            <w:tcW w:w="151" w:type="dxa"/>
            <w:tcBorders/>
            <w:shd w:fill="CCEEFF" w:val="clear"/>
            <w:tcMar>
              <w:top w:w="0" w:type="dxa"/>
              <w:left w:w="0" w:type="dxa"/>
              <w:bottom w:w="0" w:type="dxa"/>
              <w:right w:w="0"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Income before provision for income taxes</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199,060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409,438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rStyle w:val="Emphasis"/>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ind w:left="0" w:right="0" w:hanging="0"/>
              <w:jc w:val="left"/>
              <w:rPr/>
            </w:pPr>
            <w:r>
              <w:rPr/>
              <w:t>(</w:t>
            </w:r>
            <w:r>
              <w:rPr>
                <w:rStyle w:val="Emphasis"/>
              </w:rPr>
              <w:t>1</w:t>
            </w:r>
            <w:r>
              <w:rPr/>
              <w:t>)</w:t>
            </w:r>
          </w:p>
        </w:tc>
        <w:tc>
          <w:tcPr>
            <w:tcW w:w="9965" w:type="dxa"/>
            <w:tcBorders/>
            <w:vAlign w:val="center"/>
          </w:tcPr>
          <w:p>
            <w:pPr>
              <w:pStyle w:val="TableContents"/>
              <w:bidi w:val="0"/>
              <w:spacing w:before="0" w:after="0"/>
              <w:jc w:val="both"/>
              <w:rPr/>
            </w:pPr>
            <w:r>
              <w:rPr/>
              <w:t>Other segment items primarily represent adjustments for depreciation and amortization and the following items defined below: Non-cash write-down and other adjustments; Non-cash shared-based compensation expense; Transaction costs and credit facility fees; Business optimization and other charges; Provision for legal, regulatory, and other costs. </w:t>
            </w:r>
          </w:p>
        </w:tc>
      </w:tr>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99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w:t>
            </w:r>
          </w:p>
        </w:tc>
      </w:tr>
    </w:tbl>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9942" w:type="dxa"/>
            <w:tcBorders/>
            <w:vAlign w:val="center"/>
          </w:tcPr>
          <w:p>
            <w:pPr>
              <w:pStyle w:val="TableContents"/>
              <w:bidi w:val="0"/>
              <w:spacing w:before="0" w:after="283"/>
              <w:jc w:val="both"/>
              <w:rPr/>
            </w:pPr>
            <w:r>
              <w:rPr/>
              <w:t>Represents share-based compensation expense to account for stock options, restricted stock, and other stock awards over their respective vesting periods.</w:t>
            </w:r>
          </w:p>
        </w:tc>
      </w:tr>
    </w:tbl>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r>
              <w:rPr>
                <w:rStyle w:val="Emphasis"/>
              </w:rPr>
              <w:t>4</w:t>
            </w:r>
            <w:r>
              <w:rPr/>
              <w:t>)</w:t>
            </w:r>
          </w:p>
        </w:tc>
        <w:tc>
          <w:tcPr>
            <w:tcW w:w="9967" w:type="dxa"/>
            <w:tcBorders/>
            <w:vAlign w:val="center"/>
          </w:tcPr>
          <w:p>
            <w:pPr>
              <w:pStyle w:val="TableContents"/>
              <w:bidi w:val="0"/>
              <w:spacing w:before="0" w:after="283"/>
              <w:jc w:val="both"/>
              <w:rPr/>
            </w:pPr>
            <w:r>
              <w:rPr/>
              <w:t>Represents transaction costs incurred directly in connection with any investment, as defined in the Company's credit agreement, equity issuance or debt issuance or refinancing, together with certain fees relating to the Company's senior secured credit facilities, such as administrative agent fees and credit facility commitment fees under the Company's credit agreement.</w:t>
            </w:r>
          </w:p>
        </w:tc>
      </w:tr>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w:t>
            </w:r>
          </w:p>
        </w:tc>
        <w:tc>
          <w:tcPr>
            <w:tcW w:w="9967" w:type="dxa"/>
            <w:tcBorders/>
            <w:vAlign w:val="center"/>
          </w:tcPr>
          <w:p>
            <w:pPr>
              <w:pStyle w:val="TableContents"/>
              <w:bidi w:val="0"/>
              <w:spacing w:before="0" w:after="283"/>
              <w:jc w:val="both"/>
              <w:rPr/>
            </w:pPr>
            <w:r>
              <w:rPr/>
              <w:t>Represents severance and other restructuring charges related to the consolidation of certain operating facilities and organizational functions.</w:t>
            </w:r>
          </w:p>
        </w:tc>
      </w:tr>
    </w:tbl>
    <w:tbl>
      <w:tblPr>
        <w:tblW w:w="10205" w:type="dxa"/>
        <w:jc w:val="left"/>
        <w:tblInd w:w="0" w:type="dxa"/>
        <w:tblLayout w:type="fixed"/>
        <w:tblCellMar>
          <w:top w:w="0" w:type="dxa"/>
          <w:left w:w="0" w:type="dxa"/>
          <w:bottom w:w="0" w:type="dxa"/>
          <w:right w:w="0" w:type="dxa"/>
        </w:tblCellMar>
      </w:tblPr>
      <w:tblGrid>
        <w:gridCol w:w="60"/>
        <w:gridCol w:w="172"/>
        <w:gridCol w:w="9973"/>
      </w:tblGrid>
      <w:tr>
        <w:trPr/>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6</w:t>
            </w:r>
            <w:r>
              <w:rPr>
                <w:rFonts w:ascii="Times New Roman;Times;serif" w:hAnsi="Times New Roman;Times;serif"/>
                <w:sz w:val="20"/>
              </w:rPr>
              <w:t>)</w:t>
            </w:r>
          </w:p>
        </w:tc>
        <w:tc>
          <w:tcPr>
            <w:tcW w:w="9973"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Represents the following litigation, regulatory, and other matters that are </w:t>
            </w:r>
            <w:r>
              <w:rPr>
                <w:rStyle w:val="Emphasis"/>
                <w:rFonts w:ascii="Times New Roman;Times;serif" w:hAnsi="Times New Roman;Times;serif"/>
                <w:sz w:val="20"/>
              </w:rPr>
              <w:t>not</w:t>
            </w:r>
            <w:r>
              <w:rPr>
                <w:rFonts w:ascii="Times New Roman;Times;serif" w:hAnsi="Times New Roman;Times;serif"/>
                <w:sz w:val="20"/>
              </w:rPr>
              <w:t xml:space="preserve"> indicative of our ongoing operations:</w:t>
            </w:r>
          </w:p>
          <w:p>
            <w:pPr>
              <w:pStyle w:val="TableContents"/>
              <w:bidi w:val="0"/>
              <w:spacing w:before="0" w:after="0"/>
              <w:ind w:left="160" w:right="0" w:hanging="0"/>
              <w:jc w:val="both"/>
              <w:rPr/>
            </w:pPr>
            <w:r>
              <w:rPr>
                <w:caps w:val="false"/>
                <w:smallCaps w:val="false"/>
              </w:rPr>
              <w:t> • </w:t>
            </w:r>
            <w:r>
              <w:rPr>
                <w:rFonts w:ascii="Times New Roman" w:hAnsi="Times New Roman"/>
                <w:caps w:val="false"/>
                <w:smallCaps w:val="false"/>
                <w:sz w:val="20"/>
              </w:rPr>
              <w:t xml:space="preserve">Legal expenses, judgments, and settlements related to certain patent lawsuits - $7,520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$9,299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$27,289 in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ableContents"/>
              <w:bidi w:val="0"/>
              <w:spacing w:before="0" w:after="0"/>
              <w:ind w:left="160" w:right="0" w:hanging="0"/>
              <w:jc w:val="both"/>
              <w:rPr/>
            </w:pPr>
            <w:r>
              <w:rPr>
                <w:caps w:val="false"/>
                <w:smallCaps w:val="false"/>
              </w:rPr>
              <w:t> • </w:t>
            </w:r>
            <w:r>
              <w:rPr>
                <w:rFonts w:ascii="Times New Roman" w:hAnsi="Times New Roman"/>
                <w:caps w:val="false"/>
                <w:smallCaps w:val="false"/>
                <w:sz w:val="20"/>
              </w:rPr>
              <w:t xml:space="preserve">Legal expenses and settlements related to certain class action lawsuits - $22,698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which includes a $15,000 provision for a multi-district class action settlement related to clean energy products; $1,267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$1,051 in </w:t>
            </w:r>
            <w:r>
              <w:rPr>
                <w:rStyle w:val="Emphasis"/>
                <w:rFonts w:ascii="Times New Roman" w:hAnsi="Times New Roman"/>
                <w:caps w:val="false"/>
                <w:smallCaps w:val="false"/>
                <w:sz w:val="20"/>
              </w:rPr>
              <w:t>2023.</w:t>
            </w:r>
          </w:p>
          <w:p>
            <w:pPr>
              <w:pStyle w:val="TableContents"/>
              <w:bidi w:val="0"/>
              <w:spacing w:before="0" w:after="0"/>
              <w:ind w:left="160" w:right="0" w:hanging="0"/>
              <w:jc w:val="both"/>
              <w:rPr/>
            </w:pPr>
            <w:r>
              <w:rPr>
                <w:caps w:val="false"/>
                <w:smallCaps w:val="false"/>
              </w:rPr>
              <w:t> • </w:t>
            </w:r>
            <w:r>
              <w:rPr>
                <w:rFonts w:ascii="Times New Roman" w:hAnsi="Times New Roman"/>
                <w:caps w:val="false"/>
                <w:smallCaps w:val="false"/>
                <w:sz w:val="20"/>
              </w:rPr>
              <w:t xml:space="preserve">Legal expenses related to certain government inquiries and other significant matters - $7,630 in </w:t>
            </w:r>
            <w:r>
              <w:rPr>
                <w:rStyle w:val="Emphasis"/>
                <w:rFonts w:ascii="Times New Roman" w:hAnsi="Times New Roman"/>
                <w:caps w:val="false"/>
                <w:smallCaps w:val="false"/>
                <w:sz w:val="20"/>
              </w:rPr>
              <w:t>2025.</w:t>
            </w:r>
          </w:p>
          <w:p>
            <w:pPr>
              <w:pStyle w:val="TableContents"/>
              <w:bidi w:val="0"/>
              <w:spacing w:before="0" w:after="0"/>
              <w:ind w:left="160" w:right="0" w:hanging="0"/>
              <w:jc w:val="both"/>
              <w:rPr/>
            </w:pPr>
            <w:r>
              <w:rPr>
                <w:caps w:val="false"/>
                <w:smallCaps w:val="false"/>
              </w:rPr>
              <w:t> • </w:t>
            </w:r>
            <w:r>
              <w:rPr>
                <w:rFonts w:ascii="Times New Roman" w:hAnsi="Times New Roman"/>
                <w:caps w:val="false"/>
                <w:smallCaps w:val="false"/>
                <w:sz w:val="20"/>
              </w:rPr>
              <w:t xml:space="preserve">Additional customer support costs related to a clean energy product customer that filed for bankruptcy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 $365 and $4,350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w:t>
              <w:br/>
              <w:t> • A provision for a matter with the CPSC concerning the imposition of civil fines for allegedly failing to timely submit a report under the CPSA in relation to certain portable generators that were subject to a voluntary recall previously announced on </w:t>
            </w:r>
            <w:r>
              <w:rPr>
                <w:rStyle w:val="Emphasis"/>
                <w:rFonts w:ascii="Times New Roman" w:hAnsi="Times New Roman"/>
                <w:caps w:val="false"/>
                <w:smallCaps w:val="false"/>
                <w:sz w:val="20"/>
              </w:rPr>
              <w:t xml:space="preserve"> July 29, 2021 - </w:t>
            </w:r>
            <w:r>
              <w:rPr>
                <w:rFonts w:ascii="Times New Roman" w:hAnsi="Times New Roman"/>
                <w:caps w:val="false"/>
                <w:smallCaps w:val="false"/>
                <w:sz w:val="20"/>
              </w:rPr>
              <w:t xml:space="preserve">$5,800 in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ableContents"/>
              <w:bidi w:val="0"/>
              <w:spacing w:before="0" w:after="0"/>
              <w:ind w:left="160" w:right="0" w:hanging="0"/>
              <w:jc w:val="both"/>
              <w:rPr/>
            </w:pPr>
            <w:r>
              <w:rPr>
                <w:caps w:val="false"/>
                <w:smallCaps w:val="false"/>
              </w:rPr>
              <w:t> • </w:t>
            </w:r>
            <w:r>
              <w:rPr>
                <w:rFonts w:ascii="Times New Roman" w:hAnsi="Times New Roman"/>
                <w:caps w:val="false"/>
                <w:smallCaps w:val="false"/>
                <w:sz w:val="20"/>
              </w:rPr>
              <w:t xml:space="preserve">A provision of $104,500, net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for a settlement agreement (in principle) related to a certain portable generator product liability case deemed outside the ordinary course of routine litigation for the Company.</w:t>
            </w:r>
          </w:p>
          <w:p>
            <w:pPr>
              <w:pStyle w:val="TableContents"/>
              <w:bidi w:val="0"/>
              <w:spacing w:before="0" w:after="0"/>
              <w:ind w:left="160" w:right="0" w:hanging="0"/>
              <w:jc w:val="both"/>
              <w:rPr/>
            </w:pPr>
            <w:r>
              <w:rPr>
                <w:caps w:val="false"/>
                <w:smallCaps w:val="false"/>
              </w:rPr>
              <w:t xml:space="preserve"> • </w:t>
            </w:r>
            <w:r>
              <w:rPr>
                <w:rFonts w:ascii="Times New Roman" w:hAnsi="Times New Roman"/>
                <w:caps w:val="false"/>
                <w:smallCaps w:val="false"/>
                <w:sz w:val="20"/>
              </w:rPr>
              <w:t xml:space="preserve">A $15,633 net inventory provision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related to the settlement of a contract dispute with a supplier for a discontinued product.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r>
              <w:rPr>
                <w:rStyle w:val="Emphasis"/>
              </w:rPr>
              <w:t>7</w:t>
            </w:r>
            <w:r>
              <w:rPr/>
              <w:t>)</w:t>
            </w:r>
          </w:p>
        </w:tc>
        <w:tc>
          <w:tcPr>
            <w:tcW w:w="9975" w:type="dxa"/>
            <w:tcBorders/>
            <w:vAlign w:val="center"/>
          </w:tcPr>
          <w:p>
            <w:pPr>
              <w:pStyle w:val="TableContents"/>
              <w:bidi w:val="0"/>
              <w:spacing w:before="0" w:after="283"/>
              <w:jc w:val="both"/>
              <w:rPr/>
            </w:pPr>
            <w:r>
              <w:rPr/>
              <w:t>Represents non-cash losses primarily from changes in the fair value of the Company's investment in Wallbox warrants and equity securities.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8</w:t>
            </w:r>
            <w:r>
              <w:rPr>
                <w:rFonts w:ascii="Times New Roman;Times;serif" w:hAnsi="Times New Roman;Times;serif"/>
                <w:sz w:val="20"/>
              </w:rPr>
              <w:t>)</w:t>
            </w:r>
          </w:p>
        </w:tc>
        <w:tc>
          <w:tcPr>
            <w:tcW w:w="9975" w:type="dxa"/>
            <w:tcBorders/>
            <w:vAlign w:val="center"/>
          </w:tcPr>
          <w:p>
            <w:pPr>
              <w:pStyle w:val="TableContents"/>
              <w:bidi w:val="0"/>
              <w:spacing w:before="0" w:after="0"/>
              <w:jc w:val="both"/>
              <w:rPr/>
            </w:pPr>
            <w:r>
              <w:rPr/>
              <w:t xml:space="preserve">For the year ended </w:t>
            </w:r>
            <w:r>
              <w:rPr>
                <w:rStyle w:val="Emphasis"/>
              </w:rPr>
              <w:t xml:space="preserve">December 31, 2025, </w:t>
            </w:r>
            <w:r>
              <w:rPr/>
              <w:t xml:space="preserve">the loss represents </w:t>
            </w:r>
            <w:r>
              <w:rPr>
                <w:rStyle w:val="Emphasis"/>
              </w:rPr>
              <w:t>third</w:t>
            </w:r>
            <w:r>
              <w:rPr/>
              <w:t xml:space="preserve"> party costs and the write-off of certain deferred financing costs in connection with the refinancing of the Original Tranche A Term Loan Facility and Original Revolving Facility. For the year ended </w:t>
            </w:r>
            <w:r>
              <w:rPr>
                <w:rStyle w:val="Emphasis"/>
              </w:rPr>
              <w:t>December 31, 2024,  </w:t>
            </w:r>
            <w:r>
              <w:rPr/>
              <w:t>the loss represents fees paid to creditors and the write-off of the original issue discount and deferred financing costs in connection with the refinancing of the Tranche B Term Loan Facility.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summarize additional financial information by reportable segment:</w:t>
      </w:r>
    </w:p>
    <w:p>
      <w:pPr>
        <w:pStyle w:val="TextBody"/>
        <w:bidi w:val="0"/>
        <w:spacing w:before="0" w:after="0"/>
        <w:ind w:left="0" w:right="0" w:hanging="0"/>
        <w:jc w:val="left"/>
        <w:rPr/>
      </w:pPr>
      <w:r>
        <w:rPr/>
        <w:t> </w:t>
      </w:r>
    </w:p>
    <w:tbl>
      <w:tblPr>
        <w:tblW w:w="4340" w:type="dxa"/>
        <w:jc w:val="left"/>
        <w:tblInd w:w="0" w:type="dxa"/>
        <w:tblLayout w:type="fixed"/>
        <w:tblCellMar>
          <w:top w:w="0" w:type="dxa"/>
          <w:left w:w="0" w:type="dxa"/>
          <w:bottom w:w="0" w:type="dxa"/>
          <w:right w:w="0" w:type="dxa"/>
        </w:tblCellMar>
      </w:tblPr>
      <w:tblGrid>
        <w:gridCol w:w="1070"/>
        <w:gridCol w:w="60"/>
        <w:gridCol w:w="125"/>
        <w:gridCol w:w="845"/>
        <w:gridCol w:w="60"/>
        <w:gridCol w:w="60"/>
        <w:gridCol w:w="125"/>
        <w:gridCol w:w="845"/>
        <w:gridCol w:w="60"/>
        <w:gridCol w:w="60"/>
        <w:gridCol w:w="125"/>
        <w:gridCol w:w="84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4,186,567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3,873,904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3,770,883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1,387,112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1,235,427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1,322,429</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5,093,312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90" w:type="dxa"/>
        <w:jc w:val="left"/>
        <w:tblInd w:w="0" w:type="dxa"/>
        <w:tblLayout w:type="fixed"/>
        <w:tblCellMar>
          <w:top w:w="0" w:type="dxa"/>
          <w:left w:w="0" w:type="dxa"/>
          <w:bottom w:w="0" w:type="dxa"/>
          <w:right w:w="0" w:type="dxa"/>
        </w:tblCellMar>
      </w:tblPr>
      <w:tblGrid>
        <w:gridCol w:w="1070"/>
        <w:gridCol w:w="60"/>
        <w:gridCol w:w="125"/>
        <w:gridCol w:w="695"/>
        <w:gridCol w:w="60"/>
        <w:gridCol w:w="60"/>
        <w:gridCol w:w="125"/>
        <w:gridCol w:w="695"/>
        <w:gridCol w:w="60"/>
        <w:gridCol w:w="60"/>
        <w:gridCol w:w="125"/>
        <w:gridCol w:w="69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Depreciation and Amortization</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129,648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36,954</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90" w:type="dxa"/>
        <w:jc w:val="left"/>
        <w:tblInd w:w="0" w:type="dxa"/>
        <w:tblLayout w:type="fixed"/>
        <w:tblCellMar>
          <w:top w:w="0" w:type="dxa"/>
          <w:left w:w="0" w:type="dxa"/>
          <w:bottom w:w="0" w:type="dxa"/>
          <w:right w:w="0" w:type="dxa"/>
        </w:tblCellMar>
      </w:tblPr>
      <w:tblGrid>
        <w:gridCol w:w="1070"/>
        <w:gridCol w:w="60"/>
        <w:gridCol w:w="125"/>
        <w:gridCol w:w="695"/>
        <w:gridCol w:w="60"/>
        <w:gridCol w:w="60"/>
        <w:gridCol w:w="125"/>
        <w:gridCol w:w="695"/>
        <w:gridCol w:w="60"/>
        <w:gridCol w:w="60"/>
        <w:gridCol w:w="125"/>
        <w:gridCol w:w="69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Capital Expenditures</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103,036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26,024</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Company’s sales in the United States represent approxim</w:t>
      </w:r>
      <w:r>
        <w:rPr>
          <w:rFonts w:ascii="Times New Roman;Times;serif" w:hAnsi="Times New Roman;Times;serif"/>
          <w:color w:val="000000"/>
          <w:sz w:val="20"/>
        </w:rPr>
        <w:t xml:space="preserve">ately </w:t>
      </w:r>
      <w:r>
        <w:rPr>
          <w:rFonts w:ascii="Times New Roman;Times;serif" w:hAnsi="Times New Roman;Times;serif"/>
          <w:color w:val="000000"/>
          <w:sz w:val="20"/>
          <w:shd w:fill="FFFFFF" w:val="clear"/>
        </w:rPr>
        <w:t>78%</w:t>
      </w:r>
      <w:r>
        <w:rPr>
          <w:rFonts w:ascii="Times New Roman;Times;serif" w:hAnsi="Times New Roman;Times;serif"/>
          <w:color w:val="000000"/>
          <w:sz w:val="20"/>
        </w:rPr>
        <w:t>, 79%, and 77</w:t>
      </w:r>
      <w:r>
        <w:rPr>
          <w:rFonts w:ascii="Times New Roman;Times;serif" w:hAnsi="Times New Roman;Times;serif"/>
          <w:sz w:val="20"/>
        </w:rPr>
        <w:t xml:space="preserve">% of total sales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Approx</w:t>
      </w:r>
      <w:r>
        <w:rPr>
          <w:rFonts w:ascii="Times New Roman;Times;serif" w:hAnsi="Times New Roman;Times;serif"/>
          <w:color w:val="000000"/>
          <w:sz w:val="20"/>
        </w:rPr>
        <w:t xml:space="preserve">imately </w:t>
      </w:r>
      <w:r>
        <w:rPr>
          <w:rFonts w:ascii="Times New Roman;Times;serif" w:hAnsi="Times New Roman;Times;serif"/>
          <w:color w:val="000000"/>
          <w:sz w:val="20"/>
          <w:shd w:fill="FFFFFF" w:val="clear"/>
        </w:rPr>
        <w:t xml:space="preserve">74% </w:t>
      </w:r>
      <w:r>
        <w:rPr>
          <w:rFonts w:ascii="Times New Roman;Times;serif" w:hAnsi="Times New Roman;Times;serif"/>
          <w:color w:val="000000"/>
          <w:sz w:val="20"/>
        </w:rPr>
        <w:t xml:space="preserve">and </w:t>
      </w:r>
      <w:r>
        <w:rPr>
          <w:rFonts w:ascii="Times New Roman;Times;serif" w:hAnsi="Times New Roman;Times;serif"/>
          <w:sz w:val="20"/>
        </w:rPr>
        <w:t xml:space="preserve">76% of the Company’s identifiable long-lived assets are located in the United States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050" w:type="dxa"/>
        <w:jc w:val="left"/>
        <w:tblInd w:w="0" w:type="dxa"/>
        <w:tblLayout w:type="fixed"/>
        <w:tblCellMar>
          <w:top w:w="0" w:type="dxa"/>
          <w:left w:w="0" w:type="dxa"/>
          <w:bottom w:w="0" w:type="dxa"/>
          <w:right w:w="0" w:type="dxa"/>
        </w:tblCellMar>
      </w:tblPr>
      <w:tblGrid>
        <w:gridCol w:w="170"/>
        <w:gridCol w:w="188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8.</w:t>
            </w:r>
          </w:p>
        </w:tc>
        <w:tc>
          <w:tcPr>
            <w:tcW w:w="1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Balance Sheet Details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consist of the following:</w:t>
      </w:r>
    </w:p>
    <w:p>
      <w:pPr>
        <w:pStyle w:val="TextBody"/>
        <w:bidi w:val="0"/>
        <w:spacing w:before="0" w:after="0"/>
        <w:ind w:left="0" w:right="0" w:hanging="0"/>
        <w:jc w:val="both"/>
        <w:rPr/>
      </w:pPr>
      <w:r>
        <w:rPr/>
        <w:t> </w:t>
      </w:r>
    </w:p>
    <w:tbl>
      <w:tblPr>
        <w:tblW w:w="3535" w:type="dxa"/>
        <w:jc w:val="left"/>
        <w:tblInd w:w="0" w:type="dxa"/>
        <w:tblLayout w:type="fixed"/>
        <w:tblCellMar>
          <w:top w:w="0" w:type="dxa"/>
          <w:left w:w="0" w:type="dxa"/>
          <w:bottom w:w="0" w:type="dxa"/>
          <w:right w:w="0" w:type="dxa"/>
        </w:tblCellMar>
      </w:tblPr>
      <w:tblGrid>
        <w:gridCol w:w="1355"/>
        <w:gridCol w:w="60"/>
        <w:gridCol w:w="125"/>
        <w:gridCol w:w="845"/>
        <w:gridCol w:w="60"/>
        <w:gridCol w:w="60"/>
        <w:gridCol w:w="125"/>
        <w:gridCol w:w="845"/>
        <w:gridCol w:w="60"/>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611,735</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413,098</w:t>
            </w:r>
          </w:p>
        </w:tc>
        <w:tc>
          <w:tcPr>
            <w:tcW w:w="60" w:type="dxa"/>
            <w:tcBorders/>
            <w:shd w:fill="CCEEFF" w:val="clear"/>
            <w:vAlign w:val="center"/>
          </w:tcPr>
          <w:p>
            <w:pPr>
              <w:pStyle w:val="TableContents"/>
              <w:bidi w:val="0"/>
              <w:spacing w:before="0" w:after="0"/>
              <w:jc w:val="left"/>
              <w:rPr/>
            </w:pPr>
            <w:r>
              <w:rPr/>
              <w:t> </w:t>
            </w:r>
          </w:p>
        </w:tc>
      </w:tr>
      <w:tr>
        <w:trPr/>
        <w:tc>
          <w:tcPr>
            <w:tcW w:w="135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1,031,647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consists of the following:</w:t>
      </w:r>
    </w:p>
    <w:p>
      <w:pPr>
        <w:pStyle w:val="TextBody"/>
        <w:bidi w:val="0"/>
        <w:spacing w:before="0" w:after="0"/>
        <w:ind w:left="0" w:right="0" w:hanging="0"/>
        <w:jc w:val="left"/>
        <w:rPr/>
      </w:pPr>
      <w:r>
        <w:rPr/>
        <w:t> </w:t>
      </w:r>
    </w:p>
    <w:tbl>
      <w:tblPr>
        <w:tblW w:w="7880" w:type="dxa"/>
        <w:jc w:val="left"/>
        <w:tblInd w:w="0" w:type="dxa"/>
        <w:tblLayout w:type="fixed"/>
        <w:tblCellMar>
          <w:top w:w="0" w:type="dxa"/>
          <w:left w:w="0" w:type="dxa"/>
          <w:bottom w:w="0" w:type="dxa"/>
          <w:right w:w="0" w:type="dxa"/>
        </w:tblCellMar>
      </w:tblPr>
      <w:tblGrid>
        <w:gridCol w:w="5660"/>
        <w:gridCol w:w="60"/>
        <w:gridCol w:w="125"/>
        <w:gridCol w:w="845"/>
        <w:gridCol w:w="80"/>
        <w:gridCol w:w="60"/>
        <w:gridCol w:w="125"/>
        <w:gridCol w:w="845"/>
        <w:gridCol w:w="80"/>
      </w:tblGrid>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30,220</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358,055</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296,409</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Dies and tools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48,681</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13,887</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&amp; information technology equipment and internal use software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213,003</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9,776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110,651</w:t>
            </w:r>
          </w:p>
        </w:tc>
        <w:tc>
          <w:tcPr>
            <w:tcW w:w="80" w:type="dxa"/>
            <w:tcBorders/>
            <w:shd w:fill="FFFFFF" w:val="clear"/>
            <w:vAlign w:val="center"/>
          </w:tcPr>
          <w:p>
            <w:pPr>
              <w:pStyle w:val="TableContents"/>
              <w:bidi w:val="0"/>
              <w:spacing w:before="0" w:after="0"/>
              <w:jc w:val="left"/>
              <w:rPr/>
            </w:pPr>
            <w:r>
              <w:rPr/>
              <w:t> </w:t>
            </w:r>
          </w:p>
        </w:tc>
      </w:tr>
      <w:tr>
        <w:trPr/>
        <w:tc>
          <w:tcPr>
            <w:tcW w:w="5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Gross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1,080,682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(469,914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(390,659</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690,023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Total property and equipment included finance leases of</w:t>
      </w:r>
      <w:r>
        <w:rPr>
          <w:rFonts w:ascii="Times New Roman;Times;serif" w:hAnsi="Times New Roman;Times;serif"/>
          <w:sz w:val="20"/>
          <w:shd w:fill="FFFFFF" w:val="clear"/>
        </w:rPr>
        <w:t xml:space="preserve"> $83,963</w:t>
      </w:r>
      <w:r>
        <w:rPr>
          <w:rFonts w:ascii="Times New Roman;Times;serif" w:hAnsi="Times New Roman;Times;serif"/>
          <w:sz w:val="20"/>
        </w:rPr>
        <w:t> and $61,214 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 primarily comprised of buildings and improvements. Amortization of finance lease right of use assets is recorded within depreciation expense in the consolidated statements of comprehensive income. The initial measurement of new finance lease right of use assets is accounted for as a non-cash item in the consolidated statements of cash flows. Similarly, the buyout of finance lease obligations is accounted for as a non-cash exchange of the ROU asset for the underlying leased asset. Refer to Note </w:t>
      </w:r>
      <w:r>
        <w:rPr>
          <w:rStyle w:val="Emphasis"/>
          <w:rFonts w:ascii="Times New Roman;Times;serif" w:hAnsi="Times New Roman;Times;serif"/>
          <w:sz w:val="20"/>
        </w:rPr>
        <w:t>10,</w:t>
      </w:r>
      <w:r>
        <w:rPr>
          <w:rFonts w:ascii="Times New Roman;Times;serif" w:hAnsi="Times New Roman;Times;serif"/>
          <w:sz w:val="20"/>
        </w:rPr>
        <w:t xml:space="preserve"> “Leases,” for further information regarding the Company’s accounting for leases under ASC </w:t>
      </w:r>
      <w:r>
        <w:rPr>
          <w:rStyle w:val="Emphasis"/>
          <w:rFonts w:ascii="Times New Roman;Times;serif" w:hAnsi="Times New Roman;Times;serif"/>
          <w:sz w:val="20"/>
        </w:rPr>
        <w:t>842,</w:t>
      </w:r>
      <w:r>
        <w:rPr>
          <w:rFonts w:ascii="Times New Roman;Times;serif" w:hAnsi="Times New Roman;Times;serif"/>
          <w:sz w:val="20"/>
        </w:rPr>
        <w:t xml:space="preserve"> </w:t>
      </w:r>
      <w:r>
        <w:rPr>
          <w:rFonts w:ascii="Times New Roman;Times;serif" w:hAnsi="Times New Roman;Times;serif"/>
          <w:i/>
          <w:sz w:val="20"/>
        </w:rPr>
        <w:t>Leases.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accrued liabilities consist of the following:</w:t>
      </w:r>
    </w:p>
    <w:p>
      <w:pPr>
        <w:pStyle w:val="TextBody"/>
        <w:bidi w:val="0"/>
        <w:spacing w:before="0" w:after="0"/>
        <w:ind w:left="0" w:right="0" w:hanging="0"/>
        <w:jc w:val="both"/>
        <w:rPr/>
      </w:pPr>
      <w:r>
        <w:rPr/>
        <w:t> </w:t>
      </w:r>
    </w:p>
    <w:tbl>
      <w:tblPr>
        <w:tblW w:w="4615" w:type="dxa"/>
        <w:jc w:val="left"/>
        <w:tblInd w:w="0" w:type="dxa"/>
        <w:tblLayout w:type="fixed"/>
        <w:tblCellMar>
          <w:top w:w="0" w:type="dxa"/>
          <w:left w:w="0" w:type="dxa"/>
          <w:bottom w:w="0" w:type="dxa"/>
          <w:right w:w="0" w:type="dxa"/>
        </w:tblCellMar>
      </w:tblPr>
      <w:tblGrid>
        <w:gridCol w:w="2735"/>
        <w:gridCol w:w="60"/>
        <w:gridCol w:w="125"/>
        <w:gridCol w:w="695"/>
        <w:gridCol w:w="60"/>
        <w:gridCol w:w="60"/>
        <w:gridCol w:w="125"/>
        <w:gridCol w:w="695"/>
        <w:gridCol w:w="60"/>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selling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105,627</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contract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113,899</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legal &amp; 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27,237</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29,316</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37,321</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845" w:type="dxa"/>
        <w:jc w:val="left"/>
        <w:tblInd w:w="0" w:type="dxa"/>
        <w:tblLayout w:type="fixed"/>
        <w:tblCellMar>
          <w:top w:w="0" w:type="dxa"/>
          <w:left w:w="0" w:type="dxa"/>
          <w:bottom w:w="0" w:type="dxa"/>
          <w:right w:w="0" w:type="dxa"/>
        </w:tblCellMar>
      </w:tblPr>
      <w:tblGrid>
        <w:gridCol w:w="170"/>
        <w:gridCol w:w="267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w:t>
            </w:r>
          </w:p>
        </w:tc>
        <w:tc>
          <w:tcPr>
            <w:tcW w:w="26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Goodwill and Intangible Assets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changes in the carrying amount of goodwill by reportable segment for the years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are as follows:</w:t>
      </w:r>
    </w:p>
    <w:p>
      <w:pPr>
        <w:pStyle w:val="TextBody"/>
        <w:bidi w:val="0"/>
        <w:spacing w:before="0" w:after="0"/>
        <w:ind w:left="0" w:right="0" w:hanging="0"/>
        <w:jc w:val="both"/>
        <w:rPr/>
      </w:pPr>
      <w:r>
        <w:rPr/>
        <w:t> </w:t>
      </w:r>
    </w:p>
    <w:tbl>
      <w:tblPr>
        <w:tblW w:w="6855" w:type="dxa"/>
        <w:jc w:val="left"/>
        <w:tblInd w:w="0" w:type="dxa"/>
        <w:tblLayout w:type="fixed"/>
        <w:tblCellMar>
          <w:top w:w="0" w:type="dxa"/>
          <w:left w:w="0" w:type="dxa"/>
          <w:bottom w:w="0" w:type="dxa"/>
          <w:right w:w="0" w:type="dxa"/>
        </w:tblCellMar>
      </w:tblPr>
      <w:tblGrid>
        <w:gridCol w:w="3365"/>
        <w:gridCol w:w="60"/>
        <w:gridCol w:w="125"/>
        <w:gridCol w:w="845"/>
        <w:gridCol w:w="80"/>
        <w:gridCol w:w="60"/>
        <w:gridCol w:w="172"/>
        <w:gridCol w:w="958"/>
        <w:gridCol w:w="80"/>
        <w:gridCol w:w="60"/>
        <w:gridCol w:w="125"/>
        <w:gridCol w:w="845"/>
        <w:gridCol w:w="8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1,432,384</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Acquisitions of businesses,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Foreign currency translation rate changes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1,436,261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Purchase accounting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rate changes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36,705</w:t>
            </w:r>
          </w:p>
        </w:tc>
        <w:tc>
          <w:tcPr>
            <w:tcW w:w="80" w:type="dxa"/>
            <w:tcBorders/>
            <w:shd w:fill="FFFFFF" w:val="clear"/>
            <w:vAlign w:val="center"/>
          </w:tcPr>
          <w:p>
            <w:pPr>
              <w:pStyle w:val="TableContents"/>
              <w:bidi w:val="0"/>
              <w:spacing w:before="0" w:after="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1,467,094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Refer to Note </w:t>
      </w:r>
      <w:r>
        <w:rPr>
          <w:rStyle w:val="Emphasis"/>
          <w:rFonts w:ascii="Times New Roman;Times;serif" w:hAnsi="Times New Roman;Times;serif"/>
          <w:sz w:val="20"/>
        </w:rPr>
        <w:t>3,</w:t>
      </w:r>
      <w:r>
        <w:rPr>
          <w:rFonts w:ascii="Times New Roman;Times;serif" w:hAnsi="Times New Roman;Times;serif"/>
          <w:sz w:val="20"/>
        </w:rPr>
        <w:t xml:space="preserve"> “Acquisitions,” to the consolidated financial statements of this Annual Report on Form </w:t>
      </w:r>
      <w:r>
        <w:rPr>
          <w:rStyle w:val="Emphasis"/>
          <w:rFonts w:ascii="Times New Roman;Times;serif" w:hAnsi="Times New Roman;Times;serif"/>
          <w:sz w:val="20"/>
        </w:rPr>
        <w:t>10</w:t>
      </w:r>
      <w:r>
        <w:rPr>
          <w:rFonts w:ascii="Times New Roman;Times;serif" w:hAnsi="Times New Roman;Times;serif"/>
          <w:sz w:val="20"/>
        </w:rPr>
        <w:t>-K for further information regarding the Company’s acquisitions.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Goodwill applicable to each reportable segment 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is as follows:</w:t>
      </w:r>
    </w:p>
    <w:p>
      <w:pPr>
        <w:pStyle w:val="TextBody"/>
        <w:bidi w:val="0"/>
        <w:spacing w:before="0" w:after="0"/>
        <w:ind w:left="0" w:right="0" w:hanging="0"/>
        <w:jc w:val="both"/>
        <w:rPr/>
      </w:pPr>
      <w:r>
        <w:rPr/>
        <w:t> </w:t>
      </w:r>
    </w:p>
    <w:tbl>
      <w:tblPr>
        <w:tblW w:w="9828" w:type="dxa"/>
        <w:jc w:val="left"/>
        <w:tblInd w:w="0" w:type="dxa"/>
        <w:tblLayout w:type="fixed"/>
        <w:tblCellMar>
          <w:top w:w="0" w:type="dxa"/>
          <w:left w:w="0" w:type="dxa"/>
          <w:bottom w:w="0" w:type="dxa"/>
          <w:right w:w="0" w:type="dxa"/>
        </w:tblCellMar>
      </w:tblPr>
      <w:tblGrid>
        <w:gridCol w:w="1070"/>
        <w:gridCol w:w="60"/>
        <w:gridCol w:w="125"/>
        <w:gridCol w:w="845"/>
        <w:gridCol w:w="60"/>
        <w:gridCol w:w="60"/>
        <w:gridCol w:w="292"/>
        <w:gridCol w:w="1767"/>
        <w:gridCol w:w="80"/>
        <w:gridCol w:w="60"/>
        <w:gridCol w:w="125"/>
        <w:gridCol w:w="845"/>
        <w:gridCol w:w="60"/>
        <w:gridCol w:w="60"/>
        <w:gridCol w:w="125"/>
        <w:gridCol w:w="845"/>
        <w:gridCol w:w="60"/>
        <w:gridCol w:w="60"/>
        <w:gridCol w:w="292"/>
        <w:gridCol w:w="1767"/>
        <w:gridCol w:w="80"/>
        <w:gridCol w:w="60"/>
        <w:gridCol w:w="125"/>
        <w:gridCol w:w="84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Accumulated Impairment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Accumulated Impairment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Net</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1,041,147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399,725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395,114</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1,436,261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summarizes intangible assets by major category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564"/>
        <w:gridCol w:w="60"/>
        <w:gridCol w:w="298"/>
        <w:gridCol w:w="1148"/>
        <w:gridCol w:w="60"/>
        <w:gridCol w:w="60"/>
        <w:gridCol w:w="125"/>
        <w:gridCol w:w="845"/>
        <w:gridCol w:w="60"/>
        <w:gridCol w:w="60"/>
        <w:gridCol w:w="181"/>
        <w:gridCol w:w="1100"/>
        <w:gridCol w:w="80"/>
        <w:gridCol w:w="60"/>
        <w:gridCol w:w="137"/>
        <w:gridCol w:w="766"/>
        <w:gridCol w:w="60"/>
        <w:gridCol w:w="60"/>
        <w:gridCol w:w="125"/>
        <w:gridCol w:w="845"/>
        <w:gridCol w:w="60"/>
        <w:gridCol w:w="60"/>
        <w:gridCol w:w="181"/>
        <w:gridCol w:w="1100"/>
        <w:gridCol w:w="80"/>
        <w:gridCol w:w="60"/>
        <w:gridCol w:w="137"/>
        <w:gridCol w:w="766"/>
        <w:gridCol w:w="67"/>
      </w:tblGrid>
      <w:tr>
        <w:trPr/>
        <w:tc>
          <w:tcPr>
            <w:tcW w:w="1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7" w:type="dxa"/>
            <w:tcBorders/>
            <w:shd w:fill="FFFFFF" w:val="clear"/>
            <w:vAlign w:val="center"/>
          </w:tcPr>
          <w:p>
            <w:pPr>
              <w:pStyle w:val="TableContents"/>
              <w:bidi w:val="0"/>
              <w:spacing w:before="0" w:after="283"/>
              <w:jc w:val="left"/>
              <w:rPr/>
            </w:pPr>
            <w:r>
              <w:rPr/>
              <w:t> </w:t>
            </w:r>
          </w:p>
        </w:tc>
      </w:tr>
      <w:tr>
        <w:trPr/>
        <w:tc>
          <w:tcPr>
            <w:tcW w:w="15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 Average Amortization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Net Book Value</w:t>
            </w:r>
          </w:p>
        </w:tc>
        <w:tc>
          <w:tcPr>
            <w:tcW w:w="67" w:type="dxa"/>
            <w:tcBorders/>
            <w:shd w:fill="FFFFFF" w:val="clear"/>
            <w:vAlign w:val="center"/>
          </w:tcPr>
          <w:p>
            <w:pPr>
              <w:pStyle w:val="TableContents"/>
              <w:bidi w:val="0"/>
              <w:spacing w:before="0" w:after="283"/>
              <w:jc w:val="left"/>
              <w:rPr/>
            </w:pPr>
            <w:r>
              <w:rPr/>
              <w:t> </w:t>
            </w:r>
          </w:p>
        </w:tc>
      </w:tr>
      <w:tr>
        <w:trPr/>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1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Tradenames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79,390</w:t>
            </w:r>
          </w:p>
        </w:tc>
        <w:tc>
          <w:tcPr>
            <w:tcW w:w="67" w:type="dxa"/>
            <w:tcBorders/>
            <w:shd w:fill="FFFFFF" w:val="clear"/>
            <w:vAlign w:val="center"/>
          </w:tcPr>
          <w:p>
            <w:pPr>
              <w:pStyle w:val="TableContents"/>
              <w:bidi w:val="0"/>
              <w:spacing w:before="0" w:after="283"/>
              <w:jc w:val="left"/>
              <w:rPr/>
            </w:pPr>
            <w:r>
              <w:rPr/>
              <w:t> </w:t>
            </w:r>
          </w:p>
        </w:tc>
      </w:tr>
      <w:tr>
        <w:trPr/>
        <w:tc>
          <w:tcPr>
            <w:tcW w:w="1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lists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152,737</w:t>
            </w:r>
          </w:p>
        </w:tc>
        <w:tc>
          <w:tcPr>
            <w:tcW w:w="67" w:type="dxa"/>
            <w:tcBorders/>
            <w:shd w:fill="CCEEFF" w:val="clear"/>
            <w:vAlign w:val="center"/>
          </w:tcPr>
          <w:p>
            <w:pPr>
              <w:pStyle w:val="TableContents"/>
              <w:bidi w:val="0"/>
              <w:spacing w:before="0" w:after="283"/>
              <w:jc w:val="left"/>
              <w:rPr/>
            </w:pPr>
            <w:r>
              <w:rPr/>
              <w:t> </w:t>
            </w:r>
          </w:p>
        </w:tc>
      </w:tr>
      <w:tr>
        <w:trPr/>
        <w:tc>
          <w:tcPr>
            <w:tcW w:w="1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technology</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(294,330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379,095</w:t>
            </w:r>
          </w:p>
        </w:tc>
        <w:tc>
          <w:tcPr>
            <w:tcW w:w="67" w:type="dxa"/>
            <w:tcBorders/>
            <w:shd w:fill="FFFFFF" w:val="clear"/>
            <w:vAlign w:val="center"/>
          </w:tcPr>
          <w:p>
            <w:pPr>
              <w:pStyle w:val="TableContents"/>
              <w:bidi w:val="0"/>
              <w:spacing w:before="0" w:after="283"/>
              <w:jc w:val="left"/>
              <w:rPr/>
            </w:pPr>
            <w:r>
              <w:rPr/>
              <w:t> </w:t>
            </w:r>
          </w:p>
        </w:tc>
      </w:tr>
      <w:tr>
        <w:trPr/>
        <w:tc>
          <w:tcPr>
            <w:tcW w:w="156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r>
      <w:tr>
        <w:trPr/>
        <w:tc>
          <w:tcPr>
            <w:tcW w:w="156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Non-compete/other</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20,026</w:t>
            </w:r>
          </w:p>
        </w:tc>
        <w:tc>
          <w:tcPr>
            <w:tcW w:w="67" w:type="dxa"/>
            <w:tcBorders/>
            <w:shd w:fill="FFFFFF" w:val="clear"/>
            <w:vAlign w:val="center"/>
          </w:tcPr>
          <w:p>
            <w:pPr>
              <w:pStyle w:val="TableContents"/>
              <w:bidi w:val="0"/>
              <w:spacing w:before="0" w:after="283"/>
              <w:jc w:val="left"/>
              <w:rPr/>
            </w:pPr>
            <w:r>
              <w:rPr/>
              <w:t> </w:t>
            </w:r>
          </w:p>
        </w:tc>
      </w:tr>
      <w:tr>
        <w:trPr/>
        <w:tc>
          <w:tcPr>
            <w:tcW w:w="156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(871,692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631,248</w:t>
            </w:r>
          </w:p>
        </w:tc>
        <w:tc>
          <w:tcPr>
            <w:tcW w:w="67" w:type="dxa"/>
            <w:tcBorders/>
            <w:shd w:fill="CCEEFF" w:val="clear"/>
            <w:vAlign w:val="center"/>
          </w:tcPr>
          <w:p>
            <w:pPr>
              <w:pStyle w:val="TableContents"/>
              <w:bidi w:val="0"/>
              <w:spacing w:before="0" w:after="283"/>
              <w:jc w:val="left"/>
              <w:rPr/>
            </w:pPr>
            <w:r>
              <w:rPr/>
              <w:t> </w:t>
            </w:r>
          </w:p>
        </w:tc>
      </w:tr>
      <w:tr>
        <w:trPr/>
        <w:tc>
          <w:tcPr>
            <w:tcW w:w="15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tradenames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127,274</w:t>
            </w:r>
          </w:p>
        </w:tc>
        <w:tc>
          <w:tcPr>
            <w:tcW w:w="67" w:type="dxa"/>
            <w:tcBorders/>
            <w:shd w:fill="FFFFFF" w:val="clear"/>
            <w:vAlign w:val="center"/>
          </w:tcPr>
          <w:p>
            <w:pPr>
              <w:pStyle w:val="TableContents"/>
              <w:bidi w:val="0"/>
              <w:spacing w:before="0" w:after="283"/>
              <w:jc w:val="left"/>
              <w:rPr/>
            </w:pPr>
            <w:r>
              <w:rPr/>
              <w:t> </w:t>
            </w:r>
          </w:p>
        </w:tc>
      </w:tr>
      <w:tr>
        <w:trPr/>
        <w:tc>
          <w:tcPr>
            <w:tcW w:w="15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(871,692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758,522</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Amortization expense of intangible assets was $101,507, $97,743, and $104,194 in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Excluding the impact of future acquisitions or divestitures, the Company estimates amortization expense for the next </w:t>
      </w:r>
      <w:r>
        <w:rPr>
          <w:rStyle w:val="Emphasis"/>
          <w:rFonts w:ascii="Times New Roman;Times;serif" w:hAnsi="Times New Roman;Times;serif"/>
          <w:sz w:val="20"/>
        </w:rPr>
        <w:t>five</w:t>
      </w:r>
      <w:r>
        <w:rPr>
          <w:rFonts w:ascii="Times New Roman;Times;serif" w:hAnsi="Times New Roman;Times;serif"/>
          <w:sz w:val="20"/>
        </w:rPr>
        <w:t xml:space="preserve"> years to be as follows: </w:t>
      </w:r>
      <w:r>
        <w:rPr>
          <w:rStyle w:val="Emphasis"/>
          <w:rFonts w:ascii="Times New Roman;Times;serif" w:hAnsi="Times New Roman;Times;serif"/>
          <w:sz w:val="20"/>
        </w:rPr>
        <w:t>2026</w:t>
      </w:r>
      <w:r>
        <w:rPr>
          <w:rFonts w:ascii="Times New Roman;Times;serif" w:hAnsi="Times New Roman;Times;serif"/>
          <w:sz w:val="20"/>
        </w:rPr>
        <w:t xml:space="preserve"> - $103,153; </w:t>
      </w:r>
      <w:r>
        <w:rPr>
          <w:rStyle w:val="Emphasis"/>
          <w:rFonts w:ascii="Times New Roman;Times;serif" w:hAnsi="Times New Roman;Times;serif"/>
          <w:sz w:val="20"/>
        </w:rPr>
        <w:t>2027</w:t>
      </w:r>
      <w:r>
        <w:rPr>
          <w:rFonts w:ascii="Times New Roman;Times;serif" w:hAnsi="Times New Roman;Times;serif"/>
          <w:sz w:val="20"/>
        </w:rPr>
        <w:t xml:space="preserve"> - $58,853; </w:t>
      </w:r>
      <w:r>
        <w:rPr>
          <w:rStyle w:val="Emphasis"/>
          <w:rFonts w:ascii="Times New Roman;Times;serif" w:hAnsi="Times New Roman;Times;serif"/>
          <w:sz w:val="20"/>
        </w:rPr>
        <w:t>2028</w:t>
      </w:r>
      <w:r>
        <w:rPr>
          <w:rFonts w:ascii="Times New Roman;Times;serif" w:hAnsi="Times New Roman;Times;serif"/>
          <w:sz w:val="20"/>
        </w:rPr>
        <w:t xml:space="preserve"> - $53,033; </w:t>
      </w:r>
      <w:r>
        <w:rPr>
          <w:rStyle w:val="Emphasis"/>
          <w:rFonts w:ascii="Times New Roman;Times;serif" w:hAnsi="Times New Roman;Times;serif"/>
          <w:sz w:val="20"/>
        </w:rPr>
        <w:t>2029</w:t>
      </w:r>
      <w:r>
        <w:rPr>
          <w:rFonts w:ascii="Times New Roman;Times;serif" w:hAnsi="Times New Roman;Times;serif"/>
          <w:sz w:val="20"/>
        </w:rPr>
        <w:t> - $48,024; </w:t>
      </w:r>
      <w:r>
        <w:rPr>
          <w:rStyle w:val="Emphasis"/>
          <w:rFonts w:ascii="Times New Roman;Times;serif" w:hAnsi="Times New Roman;Times;serif"/>
          <w:sz w:val="20"/>
        </w:rPr>
        <w:t>2030</w:t>
      </w:r>
      <w:r>
        <w:rPr>
          <w:rFonts w:ascii="Times New Roman;Times;serif" w:hAnsi="Times New Roman;Times;serif"/>
          <w:sz w:val="20"/>
        </w:rPr>
        <w:t> - $43,998.</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10.</w:t>
            </w:r>
          </w:p>
        </w:tc>
        <w:tc>
          <w:tcPr>
            <w:tcW w:w="5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leases certain manufacturing facilities, distribution centers, office space, warehouses, automobiles, machinery and computer equipment globally under both finance and operating lease</w:t>
      </w:r>
      <w:r>
        <w:rPr>
          <w:rFonts w:ascii="Times New Roman;Times;serif" w:hAnsi="Times New Roman;Times;serif"/>
          <w:sz w:val="20"/>
          <w:shd w:fill="FFFFFF" w:val="clear"/>
        </w:rPr>
        <w:t>s. The Company’s leases have remaining lease terms of up to approximately 15 years, of which certain leases, primarily within the buildings and improvements asset class, include further options to extend for up to 5 additional years.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determines if an arrangement is or contains a lease at contract inception. The Company recognizes a right of use (ROU) asset and lease liability at the lease commencement date based on the present value of the lease payments over the lease term. As the Company’s leases generally do </w:t>
      </w:r>
      <w:r>
        <w:rPr>
          <w:rStyle w:val="Emphasis"/>
          <w:rFonts w:ascii="Times New Roman;Times;serif" w:hAnsi="Times New Roman;Times;serif"/>
          <w:sz w:val="20"/>
        </w:rPr>
        <w:t>not</w:t>
      </w:r>
      <w:r>
        <w:rPr>
          <w:rFonts w:ascii="Times New Roman;Times;serif" w:hAnsi="Times New Roman;Times;serif"/>
          <w:sz w:val="20"/>
        </w:rPr>
        <w:t xml:space="preserve"> provide an implicit interest rate, the incremental borrowing rate is used to determine the present value of lease payments. The incremental borrowing rate is a collateralized rate determined based on the lease term, the Company’s credit rating, and other market information available at the commencement date. The ROU asset also includes any lease payments made prior to the commencement date and is reduced by any lease incentives. The lease term </w:t>
      </w:r>
      <w:r>
        <w:rPr>
          <w:rStyle w:val="Emphasis"/>
          <w:rFonts w:ascii="Times New Roman;Times;serif" w:hAnsi="Times New Roman;Times;serif"/>
          <w:sz w:val="20"/>
        </w:rPr>
        <w:t xml:space="preserve">may </w:t>
      </w:r>
      <w:r>
        <w:rPr>
          <w:rFonts w:ascii="Times New Roman;Times;serif" w:hAnsi="Times New Roman;Times;serif"/>
          <w:sz w:val="20"/>
        </w:rPr>
        <w:t xml:space="preserve">include options to extend or terminate the lease when it is reasonably certain that the Company will exercise that option. Lease expense for operating leases is recognized on a straight-line basis over the lease term, while lease expense for finance leases is recognized as depreciation and interest expense using the effective interest method. The Company’s variable lease expense generally consists of property tax and insurance payments that are variable in nature, however, these amounts are immaterial to the consolidated financial statements and are therefore </w:t>
      </w:r>
      <w:r>
        <w:rPr>
          <w:rStyle w:val="Emphasis"/>
          <w:rFonts w:ascii="Times New Roman;Times;serif" w:hAnsi="Times New Roman;Times;serif"/>
          <w:sz w:val="20"/>
        </w:rPr>
        <w:t>not</w:t>
      </w:r>
      <w:r>
        <w:rPr>
          <w:rFonts w:ascii="Times New Roman;Times;serif" w:hAnsi="Times New Roman;Times;serif"/>
          <w:sz w:val="20"/>
        </w:rPr>
        <w:t xml:space="preserve"> separately reported.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lease agreements with both lease and non-lease components, which it elected to account for as a single lease component. In addition, the Company did </w:t>
      </w:r>
      <w:r>
        <w:rPr>
          <w:rStyle w:val="Emphasis"/>
          <w:rFonts w:ascii="Times New Roman;Times;serif" w:hAnsi="Times New Roman;Times;serif"/>
          <w:sz w:val="20"/>
        </w:rPr>
        <w:t>not</w:t>
      </w:r>
      <w:r>
        <w:rPr>
          <w:rFonts w:ascii="Times New Roman;Times;serif" w:hAnsi="Times New Roman;Times;serif"/>
          <w:sz w:val="20"/>
        </w:rPr>
        <w:t xml:space="preserve"> elect to apply the recognition exception for short-term leases. The Company is applying these elections to all asset classes.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The Company is a lessor of certain of its C&amp;I mobile products as part of a rental fleet, as well as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 of its buildings that it leases to a </w:t>
      </w:r>
      <w:r>
        <w:rPr>
          <w:rStyle w:val="Emphasis"/>
          <w:rFonts w:ascii="Times New Roman;Times;serif" w:hAnsi="Times New Roman;Times;serif"/>
          <w:sz w:val="20"/>
          <w:shd w:fill="FFFFFF" w:val="clear"/>
        </w:rPr>
        <w:t>third</w:t>
      </w:r>
      <w:r>
        <w:rPr>
          <w:rFonts w:ascii="Times New Roman;Times;serif" w:hAnsi="Times New Roman;Times;serif"/>
          <w:sz w:val="20"/>
          <w:shd w:fill="FFFFFF" w:val="clear"/>
        </w:rPr>
        <w:t xml:space="preserve"> party. The l</w:t>
      </w:r>
      <w:r>
        <w:rPr>
          <w:rFonts w:ascii="Times New Roman;Times;serif" w:hAnsi="Times New Roman;Times;serif"/>
          <w:sz w:val="20"/>
        </w:rPr>
        <w:t xml:space="preserve">ease income related to these arrangements is </w:t>
      </w:r>
      <w:r>
        <w:rPr>
          <w:rStyle w:val="Emphasis"/>
          <w:rFonts w:ascii="Times New Roman;Times;serif" w:hAnsi="Times New Roman;Times;serif"/>
          <w:sz w:val="20"/>
        </w:rPr>
        <w:t>not</w:t>
      </w:r>
      <w:r>
        <w:rPr>
          <w:rFonts w:ascii="Times New Roman;Times;serif" w:hAnsi="Times New Roman;Times;serif"/>
          <w:sz w:val="20"/>
        </w:rPr>
        <w:t xml:space="preserve"> material to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its operating lease cost and amortization of finance lease ROU assets within cost of goods sold or operating expenses in the consolidated statements of comprehensive income depending on the cost center of the underlying asset. The Company records its finance lease interest cost within interest expense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total lease cost consist of the following:</w:t>
      </w:r>
    </w:p>
    <w:p>
      <w:pPr>
        <w:pStyle w:val="TextBody"/>
        <w:bidi w:val="0"/>
        <w:spacing w:before="0" w:after="0"/>
        <w:ind w:left="0" w:right="0" w:hanging="0"/>
        <w:jc w:val="left"/>
        <w:rPr/>
      </w:pPr>
      <w:r>
        <w:rPr/>
        <w:t> </w:t>
      </w:r>
    </w:p>
    <w:tbl>
      <w:tblPr>
        <w:tblW w:w="4955" w:type="dxa"/>
        <w:jc w:val="left"/>
        <w:tblInd w:w="0" w:type="dxa"/>
        <w:tblLayout w:type="fixed"/>
        <w:tblCellMar>
          <w:top w:w="0" w:type="dxa"/>
          <w:left w:w="0" w:type="dxa"/>
          <w:bottom w:w="0" w:type="dxa"/>
          <w:right w:w="0" w:type="dxa"/>
        </w:tblCellMar>
      </w:tblPr>
      <w:tblGrid>
        <w:gridCol w:w="2450"/>
        <w:gridCol w:w="60"/>
        <w:gridCol w:w="125"/>
        <w:gridCol w:w="590"/>
        <w:gridCol w:w="60"/>
        <w:gridCol w:w="60"/>
        <w:gridCol w:w="125"/>
        <w:gridCol w:w="590"/>
        <w:gridCol w:w="60"/>
        <w:gridCol w:w="60"/>
        <w:gridCol w:w="125"/>
        <w:gridCol w:w="590"/>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38,980</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Amortization of ROU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5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balance sheet information related to the Company’s leases is as follows:</w:t>
      </w:r>
    </w:p>
    <w:p>
      <w:pPr>
        <w:pStyle w:val="TextBody"/>
        <w:bidi w:val="0"/>
        <w:spacing w:before="0" w:after="0"/>
        <w:ind w:left="0" w:right="0" w:hanging="0"/>
        <w:jc w:val="both"/>
        <w:rPr/>
      </w:pPr>
      <w:r>
        <w:rPr/>
        <w:t> </w:t>
      </w:r>
    </w:p>
    <w:tbl>
      <w:tblPr>
        <w:tblW w:w="6200" w:type="dxa"/>
        <w:jc w:val="left"/>
        <w:tblInd w:w="0" w:type="dxa"/>
        <w:tblLayout w:type="fixed"/>
        <w:tblCellMar>
          <w:top w:w="0" w:type="dxa"/>
          <w:left w:w="0" w:type="dxa"/>
          <w:bottom w:w="0" w:type="dxa"/>
          <w:right w:w="0" w:type="dxa"/>
        </w:tblCellMar>
      </w:tblPr>
      <w:tblGrid>
        <w:gridCol w:w="4325"/>
        <w:gridCol w:w="60"/>
        <w:gridCol w:w="125"/>
        <w:gridCol w:w="695"/>
        <w:gridCol w:w="80"/>
        <w:gridCol w:w="60"/>
        <w:gridCol w:w="125"/>
        <w:gridCol w:w="650"/>
        <w:gridCol w:w="80"/>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ROU assets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57,999</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current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29,316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noncurrent (3)</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29,173</w:t>
            </w:r>
          </w:p>
        </w:tc>
        <w:tc>
          <w:tcPr>
            <w:tcW w:w="80" w:type="dxa"/>
            <w:tcBorders/>
            <w:shd w:fill="CCEEFF" w:val="clear"/>
            <w:vAlign w:val="center"/>
          </w:tcPr>
          <w:p>
            <w:pPr>
              <w:pStyle w:val="TableContents"/>
              <w:bidi w:val="0"/>
              <w:spacing w:before="0" w:after="0"/>
              <w:jc w:val="left"/>
              <w:rPr/>
            </w:pPr>
            <w:r>
              <w:rPr/>
              <w:t> </w:t>
            </w:r>
          </w:p>
        </w:tc>
      </w:tr>
      <w:tr>
        <w:trPr/>
        <w:tc>
          <w:tcPr>
            <w:tcW w:w="43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58,489</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ROU assets, gross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78,801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 finance lease ROU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(17,587</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ROU assets, net (4)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61,214</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 - current (5)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 - noncurrent (6)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59,510</w:t>
            </w:r>
          </w:p>
        </w:tc>
        <w:tc>
          <w:tcPr>
            <w:tcW w:w="80" w:type="dxa"/>
            <w:tcBorders/>
            <w:shd w:fill="FFFFFF" w:val="clear"/>
            <w:vAlign w:val="center"/>
          </w:tcPr>
          <w:p>
            <w:pPr>
              <w:pStyle w:val="TableContents"/>
              <w:bidi w:val="0"/>
              <w:spacing w:before="0" w:after="0"/>
              <w:jc w:val="left"/>
              <w:rPr/>
            </w:pPr>
            <w:r>
              <w:rPr/>
              <w:t> </w:t>
            </w:r>
          </w:p>
        </w:tc>
      </w:tr>
      <w:tr>
        <w:trPr/>
        <w:tc>
          <w:tcPr>
            <w:tcW w:w="43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66,355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750" w:type="dxa"/>
        <w:jc w:val="left"/>
        <w:tblInd w:w="0" w:type="dxa"/>
        <w:tblLayout w:type="fixed"/>
        <w:tblCellMar>
          <w:top w:w="0" w:type="dxa"/>
          <w:left w:w="0" w:type="dxa"/>
          <w:bottom w:w="0" w:type="dxa"/>
          <w:right w:w="0" w:type="dxa"/>
        </w:tblCellMar>
      </w:tblPr>
      <w:tblGrid>
        <w:gridCol w:w="60"/>
        <w:gridCol w:w="245"/>
        <w:gridCol w:w="74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74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operating lease and other assets line within the consolidated balance sheets</w:t>
            </w:r>
          </w:p>
        </w:tc>
      </w:tr>
    </w:tbl>
    <w:tbl>
      <w:tblPr>
        <w:tblW w:w="7120" w:type="dxa"/>
        <w:jc w:val="left"/>
        <w:tblInd w:w="0" w:type="dxa"/>
        <w:tblLayout w:type="fixed"/>
        <w:tblCellMar>
          <w:top w:w="0" w:type="dxa"/>
          <w:left w:w="0" w:type="dxa"/>
          <w:bottom w:w="0" w:type="dxa"/>
          <w:right w:w="0" w:type="dxa"/>
        </w:tblCellMar>
      </w:tblPr>
      <w:tblGrid>
        <w:gridCol w:w="60"/>
        <w:gridCol w:w="245"/>
        <w:gridCol w:w="68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68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other accrued liabilities line within the consolidated balance sheets</w:t>
            </w:r>
          </w:p>
        </w:tc>
      </w:tr>
    </w:tbl>
    <w:tbl>
      <w:tblPr>
        <w:tblW w:w="8905" w:type="dxa"/>
        <w:jc w:val="left"/>
        <w:tblInd w:w="0" w:type="dxa"/>
        <w:tblLayout w:type="fixed"/>
        <w:tblCellMar>
          <w:top w:w="0" w:type="dxa"/>
          <w:left w:w="0" w:type="dxa"/>
          <w:bottom w:w="0" w:type="dxa"/>
          <w:right w:w="0" w:type="dxa"/>
        </w:tblCellMar>
      </w:tblPr>
      <w:tblGrid>
        <w:gridCol w:w="60"/>
        <w:gridCol w:w="245"/>
        <w:gridCol w:w="86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86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operating lease and other long-term liabilities line within the consolidated balance sheets</w:t>
            </w:r>
          </w:p>
        </w:tc>
      </w:tr>
    </w:tbl>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w:t>
            </w:r>
          </w:p>
        </w:tc>
        <w:tc>
          <w:tcPr>
            <w:tcW w:w="7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property and equipment, net line within the consolidated balance sheets</w:t>
            </w:r>
          </w:p>
        </w:tc>
      </w:tr>
    </w:tbl>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w:t>
            </w:r>
          </w:p>
        </w:tc>
        <w:tc>
          <w:tcPr>
            <w:tcW w:w="99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current portion of long-term borrowings and finance lease obligations line within the consolidated balance sheets</w:t>
            </w:r>
          </w:p>
        </w:tc>
      </w:tr>
    </w:tbl>
    <w:tbl>
      <w:tblPr>
        <w:tblW w:w="9370" w:type="dxa"/>
        <w:jc w:val="left"/>
        <w:tblInd w:w="0" w:type="dxa"/>
        <w:tblLayout w:type="fixed"/>
        <w:tblCellMar>
          <w:top w:w="0" w:type="dxa"/>
          <w:left w:w="0" w:type="dxa"/>
          <w:bottom w:w="0" w:type="dxa"/>
          <w:right w:w="0" w:type="dxa"/>
        </w:tblCellMar>
      </w:tblPr>
      <w:tblGrid>
        <w:gridCol w:w="60"/>
        <w:gridCol w:w="245"/>
        <w:gridCol w:w="90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6</w:t>
            </w:r>
            <w:r>
              <w:rPr>
                <w:rFonts w:ascii="Times New Roman;Times;serif" w:hAnsi="Times New Roman;Times;serif"/>
                <w:sz w:val="20"/>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long-term borrowings and finance lease obligations line within the consolidated balance sheets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the Company’s leases is as follows:</w:t>
      </w:r>
    </w:p>
    <w:p>
      <w:pPr>
        <w:pStyle w:val="TextBody"/>
        <w:bidi w:val="0"/>
        <w:spacing w:before="0" w:after="0"/>
        <w:ind w:left="0" w:right="0" w:hanging="0"/>
        <w:jc w:val="left"/>
        <w:rPr/>
      </w:pPr>
      <w:r>
        <w:rPr/>
        <w:t> </w:t>
      </w:r>
    </w:p>
    <w:tbl>
      <w:tblPr>
        <w:tblW w:w="8210" w:type="dxa"/>
        <w:jc w:val="left"/>
        <w:tblInd w:w="0" w:type="dxa"/>
        <w:tblLayout w:type="fixed"/>
        <w:tblCellMar>
          <w:top w:w="0" w:type="dxa"/>
          <w:left w:w="0" w:type="dxa"/>
          <w:bottom w:w="0" w:type="dxa"/>
          <w:right w:w="0" w:type="dxa"/>
        </w:tblCellMar>
      </w:tblPr>
      <w:tblGrid>
        <w:gridCol w:w="5705"/>
        <w:gridCol w:w="60"/>
        <w:gridCol w:w="125"/>
        <w:gridCol w:w="590"/>
        <w:gridCol w:w="60"/>
        <w:gridCol w:w="60"/>
        <w:gridCol w:w="125"/>
        <w:gridCol w:w="590"/>
        <w:gridCol w:w="60"/>
        <w:gridCol w:w="60"/>
        <w:gridCol w:w="125"/>
        <w:gridCol w:w="590"/>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Weighted average remaining lease term and discount rate information related to the Company’s leases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is as follows:</w:t>
      </w:r>
    </w:p>
    <w:p>
      <w:pPr>
        <w:pStyle w:val="TextBody"/>
        <w:bidi w:val="0"/>
        <w:spacing w:before="0" w:after="0"/>
        <w:ind w:left="0" w:right="0" w:hanging="0"/>
        <w:jc w:val="left"/>
        <w:rPr/>
      </w:pPr>
      <w:r>
        <w:rPr/>
        <w:t> </w:t>
      </w:r>
    </w:p>
    <w:tbl>
      <w:tblPr>
        <w:tblW w:w="5474" w:type="dxa"/>
        <w:jc w:val="left"/>
        <w:tblInd w:w="0" w:type="dxa"/>
        <w:tblLayout w:type="fixed"/>
        <w:tblCellMar>
          <w:top w:w="0" w:type="dxa"/>
          <w:left w:w="0" w:type="dxa"/>
          <w:bottom w:w="0" w:type="dxa"/>
          <w:right w:w="0" w:type="dxa"/>
        </w:tblCellMar>
      </w:tblPr>
      <w:tblGrid>
        <w:gridCol w:w="4010"/>
        <w:gridCol w:w="60"/>
        <w:gridCol w:w="65"/>
        <w:gridCol w:w="412"/>
        <w:gridCol w:w="200"/>
        <w:gridCol w:w="65"/>
        <w:gridCol w:w="65"/>
        <w:gridCol w:w="412"/>
        <w:gridCol w:w="18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18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4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20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20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maturities of the Company’s lease liabilities as of </w:t>
      </w:r>
      <w:r>
        <w:rPr>
          <w:rStyle w:val="Emphasis"/>
          <w:rFonts w:ascii="Times New Roman;Times;serif" w:hAnsi="Times New Roman;Times;serif"/>
          <w:sz w:val="20"/>
        </w:rPr>
        <w:t>December 31, 2025</w:t>
      </w:r>
      <w:r>
        <w:rPr>
          <w:rFonts w:ascii="Times New Roman;Times;serif" w:hAnsi="Times New Roman;Times;serif"/>
          <w:sz w:val="20"/>
        </w:rPr>
        <w:t>, are as follows:</w:t>
      </w:r>
    </w:p>
    <w:p>
      <w:pPr>
        <w:pStyle w:val="TextBody"/>
        <w:bidi w:val="0"/>
        <w:spacing w:before="0" w:after="0"/>
        <w:ind w:left="0" w:right="0" w:hanging="0"/>
        <w:jc w:val="left"/>
        <w:rPr/>
      </w:pPr>
      <w:r>
        <w:rPr/>
        <w:t> </w:t>
      </w:r>
    </w:p>
    <w:tbl>
      <w:tblPr>
        <w:tblW w:w="6458" w:type="dxa"/>
        <w:jc w:val="left"/>
        <w:tblInd w:w="0" w:type="dxa"/>
        <w:tblLayout w:type="fixed"/>
        <w:tblCellMar>
          <w:top w:w="0" w:type="dxa"/>
          <w:left w:w="0" w:type="dxa"/>
          <w:bottom w:w="0" w:type="dxa"/>
          <w:right w:w="0" w:type="dxa"/>
        </w:tblCellMar>
      </w:tblPr>
      <w:tblGrid>
        <w:gridCol w:w="3410"/>
        <w:gridCol w:w="60"/>
        <w:gridCol w:w="199"/>
        <w:gridCol w:w="1110"/>
        <w:gridCol w:w="80"/>
        <w:gridCol w:w="60"/>
        <w:gridCol w:w="234"/>
        <w:gridCol w:w="1225"/>
        <w:gridCol w:w="8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Finance 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18,064</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11,630</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8,561</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6,040</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2030</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60,117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13,556</w:t>
            </w:r>
          </w:p>
        </w:tc>
        <w:tc>
          <w:tcPr>
            <w:tcW w:w="80" w:type="dxa"/>
            <w:tcBorders/>
            <w:shd w:fill="FFFFFF" w:val="clear"/>
            <w:vAlign w:val="center"/>
          </w:tcPr>
          <w:p>
            <w:pPr>
              <w:pStyle w:val="TableContents"/>
              <w:bidi w:val="0"/>
              <w:spacing w:before="0" w:after="0"/>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2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62,477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component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(10,596</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Warranty Obligations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a liability for standard product warranty obligations accounted for as assurance warranties at the time of sale of the related product to a customer based 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pStyle w:val="TextBody"/>
        <w:bidi w:val="0"/>
        <w:spacing w:before="0" w:after="0"/>
        <w:ind w:left="0" w:right="0" w:hanging="0"/>
        <w:jc w:val="both"/>
        <w:rPr/>
      </w:pPr>
      <w:r>
        <w:rPr/>
        <w:t> </w:t>
      </w:r>
    </w:p>
    <w:tbl>
      <w:tblPr>
        <w:tblW w:w="6770" w:type="dxa"/>
        <w:jc w:val="left"/>
        <w:tblInd w:w="0" w:type="dxa"/>
        <w:tblLayout w:type="fixed"/>
        <w:tblCellMar>
          <w:top w:w="0" w:type="dxa"/>
          <w:left w:w="0" w:type="dxa"/>
          <w:bottom w:w="0" w:type="dxa"/>
          <w:right w:w="0" w:type="dxa"/>
        </w:tblCellMar>
      </w:tblPr>
      <w:tblGrid>
        <w:gridCol w:w="3890"/>
        <w:gridCol w:w="60"/>
        <w:gridCol w:w="125"/>
        <w:gridCol w:w="695"/>
        <w:gridCol w:w="80"/>
        <w:gridCol w:w="60"/>
        <w:gridCol w:w="125"/>
        <w:gridCol w:w="695"/>
        <w:gridCol w:w="80"/>
        <w:gridCol w:w="60"/>
        <w:gridCol w:w="125"/>
        <w:gridCol w:w="695"/>
        <w:gridCol w:w="8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138,011</w:t>
            </w:r>
          </w:p>
        </w:tc>
        <w:tc>
          <w:tcPr>
            <w:tcW w:w="8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(86,448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warranty issued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67,104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estimates for pre-existing warranties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80" w:type="dxa"/>
            <w:tcBorders/>
            <w:shd w:fill="FFFFFF" w:val="clear"/>
            <w:vAlign w:val="center"/>
          </w:tcPr>
          <w:p>
            <w:pPr>
              <w:pStyle w:val="TableContents"/>
              <w:bidi w:val="0"/>
              <w:spacing w:before="0" w:after="0"/>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consolidated statements of comprehensive income. The following is a tabular reconciliation of the deferred revenue related to extended warranty coverage:</w:t>
      </w:r>
    </w:p>
    <w:p>
      <w:pPr>
        <w:pStyle w:val="TextBody"/>
        <w:bidi w:val="0"/>
        <w:spacing w:before="0" w:after="0"/>
        <w:ind w:left="0" w:right="0" w:hanging="0"/>
        <w:jc w:val="both"/>
        <w:rPr/>
      </w:pPr>
      <w:r>
        <w:rPr/>
        <w:t> </w:t>
      </w:r>
    </w:p>
    <w:tbl>
      <w:tblPr>
        <w:tblW w:w="6365" w:type="dxa"/>
        <w:jc w:val="left"/>
        <w:tblInd w:w="0" w:type="dxa"/>
        <w:tblLayout w:type="fixed"/>
        <w:tblCellMar>
          <w:top w:w="0" w:type="dxa"/>
          <w:left w:w="0" w:type="dxa"/>
          <w:bottom w:w="0" w:type="dxa"/>
          <w:right w:w="0" w:type="dxa"/>
        </w:tblCellMar>
      </w:tblPr>
      <w:tblGrid>
        <w:gridCol w:w="3485"/>
        <w:gridCol w:w="60"/>
        <w:gridCol w:w="125"/>
        <w:gridCol w:w="695"/>
        <w:gridCol w:w="80"/>
        <w:gridCol w:w="60"/>
        <w:gridCol w:w="125"/>
        <w:gridCol w:w="695"/>
        <w:gridCol w:w="80"/>
        <w:gridCol w:w="60"/>
        <w:gridCol w:w="125"/>
        <w:gridCol w:w="695"/>
        <w:gridCol w:w="80"/>
      </w:tblGrid>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132,813</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contracts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48,107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revenue contracts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(25,050</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The timing of recognition of the Company’s deferred revenue balance related to extended warranties as of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is as follows:</w:t>
      </w:r>
    </w:p>
    <w:p>
      <w:pPr>
        <w:pStyle w:val="TextBody"/>
        <w:bidi w:val="0"/>
        <w:spacing w:before="0" w:after="0"/>
        <w:ind w:left="0" w:right="0" w:hanging="0"/>
        <w:jc w:val="left"/>
        <w:rPr/>
      </w:pPr>
      <w:r>
        <w:rPr/>
        <w:t> </w:t>
      </w:r>
    </w:p>
    <w:tbl>
      <w:tblPr>
        <w:tblW w:w="1830" w:type="dxa"/>
        <w:jc w:val="left"/>
        <w:tblInd w:w="0" w:type="dxa"/>
        <w:tblLayout w:type="fixed"/>
        <w:tblCellMar>
          <w:top w:w="0" w:type="dxa"/>
          <w:left w:w="0" w:type="dxa"/>
          <w:bottom w:w="0" w:type="dxa"/>
          <w:right w:w="0" w:type="dxa"/>
        </w:tblCellMar>
      </w:tblPr>
      <w:tblGrid>
        <w:gridCol w:w="890"/>
        <w:gridCol w:w="60"/>
        <w:gridCol w:w="125"/>
        <w:gridCol w:w="695"/>
        <w:gridCol w:w="60"/>
      </w:tblGrid>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38,958</w:t>
            </w:r>
          </w:p>
        </w:tc>
        <w:tc>
          <w:tcPr>
            <w:tcW w:w="60"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41,161</w:t>
            </w:r>
          </w:p>
        </w:tc>
        <w:tc>
          <w:tcPr>
            <w:tcW w:w="60"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37,912</w:t>
            </w:r>
          </w:p>
        </w:tc>
        <w:tc>
          <w:tcPr>
            <w:tcW w:w="60"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31,155</w:t>
            </w:r>
          </w:p>
        </w:tc>
        <w:tc>
          <w:tcPr>
            <w:tcW w:w="60"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24,050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2030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46,168</w:t>
            </w:r>
          </w:p>
        </w:tc>
        <w:tc>
          <w:tcPr>
            <w:tcW w:w="60" w:type="dxa"/>
            <w:tcBorders/>
            <w:shd w:fill="FFFFFF" w:val="clear"/>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 post-sale extended warranty marketing agreement with a </w:t>
      </w:r>
      <w:r>
        <w:rPr>
          <w:rStyle w:val="Emphasis"/>
          <w:rFonts w:ascii="Times New Roman;Times;serif" w:hAnsi="Times New Roman;Times;serif"/>
          <w:sz w:val="20"/>
        </w:rPr>
        <w:t>third</w:t>
      </w:r>
      <w:r>
        <w:rPr>
          <w:rFonts w:ascii="Times New Roman;Times;serif" w:hAnsi="Times New Roman;Times;serif"/>
          <w:sz w:val="20"/>
        </w:rPr>
        <w:t xml:space="preserve"> party, pursuant to which the Company is required to pay fees to the </w:t>
      </w:r>
      <w:r>
        <w:rPr>
          <w:rStyle w:val="Emphasis"/>
          <w:rFonts w:ascii="Times New Roman;Times;serif" w:hAnsi="Times New Roman;Times;serif"/>
          <w:sz w:val="20"/>
        </w:rPr>
        <w:t>third</w:t>
      </w:r>
      <w:r>
        <w:rPr>
          <w:rFonts w:ascii="Times New Roman;Times;serif" w:hAnsi="Times New Roman;Times;serif"/>
          <w:sz w:val="20"/>
        </w:rPr>
        <w:t xml:space="preserve">-party service provider based on the number of extended warranty contracts the provider sells, which it classifies as costs to obtain a contract. These fees are deferred and recorded in the consolidated balance sheets as prepaid expenses and other assets when cost will be recognized in less than </w:t>
      </w:r>
      <w:r>
        <w:rPr>
          <w:rStyle w:val="Emphasis"/>
          <w:rFonts w:ascii="Times New Roman;Times;serif" w:hAnsi="Times New Roman;Times;serif"/>
          <w:sz w:val="20"/>
        </w:rPr>
        <w:t>twelve</w:t>
      </w:r>
      <w:r>
        <w:rPr>
          <w:rFonts w:ascii="Times New Roman;Times;serif" w:hAnsi="Times New Roman;Times;serif"/>
          <w:sz w:val="20"/>
        </w:rPr>
        <w:t xml:space="preserve"> months and operating lease and other asset</w:t>
      </w:r>
      <w:r>
        <w:rPr>
          <w:rFonts w:ascii="Times New Roman;Times;serif" w:hAnsi="Times New Roman;Times;serif"/>
          <w:color w:val="000000"/>
          <w:sz w:val="20"/>
        </w:rPr>
        <w:t xml:space="preserve">s when cost will be recognized in more than </w:t>
      </w:r>
      <w:r>
        <w:rPr>
          <w:rStyle w:val="Emphasis"/>
          <w:rFonts w:ascii="Times New Roman;Times;serif" w:hAnsi="Times New Roman;Times;serif"/>
          <w:color w:val="000000"/>
          <w:sz w:val="20"/>
        </w:rPr>
        <w:t>twelve</w:t>
      </w:r>
      <w:r>
        <w:rPr>
          <w:rFonts w:ascii="Times New Roman;Times;serif" w:hAnsi="Times New Roman;Times;serif"/>
          <w:color w:val="000000"/>
          <w:sz w:val="20"/>
        </w:rPr>
        <w:t xml:space="preserve"> months. These deferred costs </w:t>
      </w:r>
      <w:r>
        <w:rPr>
          <w:rFonts w:ascii="Times New Roman;Times;serif" w:hAnsi="Times New Roman;Times;serif"/>
          <w:sz w:val="20"/>
        </w:rPr>
        <w:t xml:space="preserve">are then amortized to cost of goods sold in the consolidated statements of comprehensive income over the same period that the underlying deferred revenue is recognized. Deferred contract costs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color w:val="000000"/>
          <w:sz w:val="20"/>
        </w:rPr>
        <w:t xml:space="preserve"> were $24,313 and $17,140, re</w:t>
      </w:r>
      <w:r>
        <w:rPr>
          <w:rFonts w:ascii="Times New Roman;Times;serif" w:hAnsi="Times New Roman;Times;serif"/>
          <w:sz w:val="20"/>
        </w:rPr>
        <w:t xml:space="preserve">spectively. Amortization of deferred contract costs recorded during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w</w:t>
      </w:r>
      <w:r>
        <w:rPr>
          <w:rFonts w:ascii="Times New Roman;Times;serif" w:hAnsi="Times New Roman;Times;serif"/>
          <w:color w:val="000000"/>
          <w:sz w:val="20"/>
        </w:rPr>
        <w:t>as $3,824, $2,958, and $2,306, r</w:t>
      </w:r>
      <w:r>
        <w:rPr>
          <w:rFonts w:ascii="Times New Roman;Times;serif" w:hAnsi="Times New Roman;Times;serif"/>
          <w:sz w:val="20"/>
        </w:rPr>
        <w:t>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Standard product warranty obligations and extended warranty related deferred revenues are included in the consolidated balance sheets as follows:</w:t>
      </w:r>
    </w:p>
    <w:p>
      <w:pPr>
        <w:pStyle w:val="TextBody"/>
        <w:bidi w:val="0"/>
        <w:spacing w:before="0" w:after="0"/>
        <w:ind w:left="0" w:right="0" w:hanging="0"/>
        <w:jc w:val="left"/>
        <w:rPr/>
      </w:pPr>
      <w:r>
        <w:rPr/>
        <w:t> </w:t>
      </w:r>
    </w:p>
    <w:tbl>
      <w:tblPr>
        <w:tblW w:w="5815" w:type="dxa"/>
        <w:jc w:val="left"/>
        <w:tblInd w:w="0" w:type="dxa"/>
        <w:tblLayout w:type="fixed"/>
        <w:tblCellMar>
          <w:top w:w="0" w:type="dxa"/>
          <w:left w:w="0" w:type="dxa"/>
          <w:bottom w:w="0" w:type="dxa"/>
          <w:right w:w="0" w:type="dxa"/>
        </w:tblCellMar>
      </w:tblPr>
      <w:tblGrid>
        <w:gridCol w:w="3935"/>
        <w:gridCol w:w="60"/>
        <w:gridCol w:w="125"/>
        <w:gridCol w:w="695"/>
        <w:gridCol w:w="60"/>
        <w:gridCol w:w="60"/>
        <w:gridCol w:w="125"/>
        <w:gridCol w:w="695"/>
        <w:gridCol w:w="6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warranty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 accrued product warranty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56,127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 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54,860</w:t>
            </w:r>
          </w:p>
        </w:tc>
        <w:tc>
          <w:tcPr>
            <w:tcW w:w="60" w:type="dxa"/>
            <w:tcBorders/>
            <w:shd w:fill="CCEEFF" w:val="clear"/>
            <w:vAlign w:val="center"/>
          </w:tcPr>
          <w:p>
            <w:pPr>
              <w:pStyle w:val="TableContents"/>
              <w:bidi w:val="0"/>
              <w:spacing w:before="0" w:after="0"/>
              <w:jc w:val="left"/>
              <w:rPr/>
            </w:pPr>
            <w:r>
              <w:rPr/>
              <w:t> </w:t>
            </w:r>
          </w:p>
        </w:tc>
      </w:tr>
      <w:tr>
        <w:trPr/>
        <w:tc>
          <w:tcPr>
            <w:tcW w:w="39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110,987</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related to extended warranties: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 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34,069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 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152,853</w:t>
            </w:r>
          </w:p>
        </w:tc>
        <w:tc>
          <w:tcPr>
            <w:tcW w:w="60" w:type="dxa"/>
            <w:tcBorders/>
            <w:shd w:fill="FFFFFF" w:val="clear"/>
            <w:vAlign w:val="center"/>
          </w:tcPr>
          <w:p>
            <w:pPr>
              <w:pStyle w:val="TableContents"/>
              <w:bidi w:val="0"/>
              <w:spacing w:before="0" w:after="0"/>
              <w:jc w:val="left"/>
              <w:rPr/>
            </w:pPr>
            <w:r>
              <w:rPr/>
              <w:t> </w:t>
            </w:r>
          </w:p>
        </w:tc>
      </w:tr>
      <w:tr>
        <w:trPr/>
        <w:tc>
          <w:tcPr>
            <w:tcW w:w="393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885" w:type="dxa"/>
        <w:jc w:val="left"/>
        <w:tblInd w:w="0" w:type="dxa"/>
        <w:tblLayout w:type="fixed"/>
        <w:tblCellMar>
          <w:top w:w="0" w:type="dxa"/>
          <w:left w:w="0" w:type="dxa"/>
          <w:bottom w:w="0" w:type="dxa"/>
          <w:right w:w="0" w:type="dxa"/>
        </w:tblCellMar>
      </w:tblPr>
      <w:tblGrid>
        <w:gridCol w:w="275"/>
        <w:gridCol w:w="161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16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Agreements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Short-term borrowings included in the consolidated balance sheets as of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xml:space="preserve">, consisted of borrowings by the Company’s foreign subsidiaries on local lines of credit totaling $50,618 and $55,848, respectively. As of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the weighted-average interest rates on the short-term borrowings were</w:t>
      </w:r>
      <w:r>
        <w:rPr>
          <w:rFonts w:ascii="Times New Roman;Times;serif" w:hAnsi="Times New Roman;Times;serif"/>
          <w:sz w:val="20"/>
          <w:shd w:fill="FFFFFF" w:val="clear"/>
        </w:rPr>
        <w:t xml:space="preserve"> 5.67% </w:t>
      </w:r>
      <w:r>
        <w:rPr>
          <w:rFonts w:ascii="Times New Roman;Times;serif" w:hAnsi="Times New Roman;Times;serif"/>
          <w:sz w:val="20"/>
        </w:rPr>
        <w:t>and 5.44%, respectively.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 are included in the consolidated balance sheets as follows:</w:t>
      </w:r>
    </w:p>
    <w:p>
      <w:pPr>
        <w:pStyle w:val="TextBody"/>
        <w:bidi w:val="0"/>
        <w:spacing w:before="0" w:after="0"/>
        <w:ind w:left="0" w:right="0" w:hanging="0"/>
        <w:jc w:val="left"/>
        <w:rPr/>
      </w:pPr>
      <w:r>
        <w:rPr/>
        <w:t> </w:t>
      </w:r>
    </w:p>
    <w:tbl>
      <w:tblPr>
        <w:tblW w:w="6890" w:type="dxa"/>
        <w:jc w:val="left"/>
        <w:tblInd w:w="0" w:type="dxa"/>
        <w:tblLayout w:type="fixed"/>
        <w:tblCellMar>
          <w:top w:w="0" w:type="dxa"/>
          <w:left w:w="0" w:type="dxa"/>
          <w:bottom w:w="0" w:type="dxa"/>
          <w:right w:w="0" w:type="dxa"/>
        </w:tblCellMar>
      </w:tblPr>
      <w:tblGrid>
        <w:gridCol w:w="4670"/>
        <w:gridCol w:w="60"/>
        <w:gridCol w:w="125"/>
        <w:gridCol w:w="845"/>
        <w:gridCol w:w="80"/>
        <w:gridCol w:w="60"/>
        <w:gridCol w:w="125"/>
        <w:gridCol w:w="845"/>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Tranche A Term Loan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712,500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B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498,750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issue discount and deferred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66,355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1,278,374</w:t>
            </w:r>
          </w:p>
        </w:tc>
        <w:tc>
          <w:tcPr>
            <w:tcW w:w="80" w:type="dxa"/>
            <w:tcBorders/>
            <w:shd w:fill="CCEEFF" w:val="clear"/>
            <w:vAlign w:val="center"/>
          </w:tcPr>
          <w:p>
            <w:pPr>
              <w:pStyle w:val="TableContents"/>
              <w:bidi w:val="0"/>
              <w:spacing w:before="0" w:after="0"/>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60,753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finance lease obligation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borrowings and finance lease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1,260,256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1,210,776</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As of </w:t>
      </w:r>
      <w:r>
        <w:rPr>
          <w:rStyle w:val="Emphasis"/>
          <w:rFonts w:ascii="Times New Roman;Times;serif" w:hAnsi="Times New Roman;Times;serif"/>
          <w:sz w:val="20"/>
        </w:rPr>
        <w:t>December 31, 2025</w:t>
      </w:r>
      <w:r>
        <w:rPr>
          <w:rFonts w:ascii="Times New Roman;Times;serif" w:hAnsi="Times New Roman;Times;serif"/>
          <w:color w:val="000000"/>
          <w:sz w:val="20"/>
          <w:shd w:fill="FFFFFF" w:val="clear"/>
        </w:rPr>
        <w:t>, there were $4,987 of unamortized deferred financing costs associated with the New Revolving Facility (as defined below) included in operating lease and other assets in the consolidated balance sheets, and $5,673 of unamortized original issue discount and deferred financing costs linked to the New Tranche A Term Loan Facility and Term Loan B Facility (as defined collectively below) included in long-term borrowings and finance lease obligations in the consolidated balance sheets.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jc w:val="both"/>
        <w:rPr/>
      </w:pPr>
      <w:r>
        <w:rPr>
          <w:rFonts w:ascii="Times New Roman;Times;serif" w:hAnsi="Times New Roman;Times;serif"/>
          <w:color w:val="000000"/>
          <w:sz w:val="20"/>
        </w:rPr>
        <w:t xml:space="preserve">The Company’s credit agreements originally provided for a $1,200,000 Tranche B Term Loan Facility (Original Term Loan B Facility) and included a $300,000 uncommitted incremental term loan on that facility. After several amendments, the Original Term Loan B Facility bore interest at rates based on either a base rate plus an applicable margin of 0.75% or adjusted SOFR rate plus an applicable margin of 1.75%, subject to a SOFR floor of 0.0%, and was scheduled to mature on </w:t>
      </w:r>
      <w:r>
        <w:rPr>
          <w:rStyle w:val="Emphasis"/>
          <w:rFonts w:ascii="Times New Roman;Times;serif" w:hAnsi="Times New Roman;Times;serif"/>
          <w:color w:val="000000"/>
          <w:sz w:val="20"/>
        </w:rPr>
        <w:t>December 13, 2026. </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jc w:val="both"/>
        <w:rPr/>
      </w:pPr>
      <w:r>
        <w:rPr>
          <w:rFonts w:ascii="Times New Roman;Times;serif" w:hAnsi="Times New Roman;Times;serif"/>
          <w:color w:val="000000"/>
          <w:sz w:val="20"/>
        </w:rPr>
        <w:t xml:space="preserve">In </w:t>
      </w:r>
      <w:r>
        <w:rPr>
          <w:rStyle w:val="Emphasis"/>
          <w:rFonts w:ascii="Times New Roman;Times;serif" w:hAnsi="Times New Roman;Times;serif"/>
          <w:color w:val="000000"/>
          <w:sz w:val="20"/>
        </w:rPr>
        <w:t xml:space="preserve">July 2024, </w:t>
      </w:r>
      <w:r>
        <w:rPr>
          <w:rFonts w:ascii="Times New Roman;Times;serif" w:hAnsi="Times New Roman;Times;serif"/>
          <w:color w:val="000000"/>
          <w:sz w:val="20"/>
        </w:rPr>
        <w:t xml:space="preserve">the Company extinguished the $530,000 balance then outstanding under the Original Term Loan B Facility and replaced it with a new $500,000 Tranche B Term Loan Facility maturing on </w:t>
      </w:r>
      <w:r>
        <w:rPr>
          <w:rStyle w:val="Emphasis"/>
          <w:rFonts w:ascii="Times New Roman;Times;serif" w:hAnsi="Times New Roman;Times;serif"/>
          <w:color w:val="000000"/>
          <w:sz w:val="20"/>
        </w:rPr>
        <w:t>July 3, 2031 (</w:t>
      </w:r>
      <w:r>
        <w:rPr>
          <w:rFonts w:ascii="Times New Roman;Times;serif" w:hAnsi="Times New Roman;Times;serif"/>
          <w:color w:val="000000"/>
          <w:sz w:val="20"/>
        </w:rPr>
        <w:t xml:space="preserve">New Term Loan B Facility and, together with the Original Term Loan B Facility, the Term Loan B Facility). The New Term Loan B Facility continues to include a $300,000 uncommitted incremental term loan that is available on that facility. In accordance with ASC </w:t>
      </w:r>
      <w:r>
        <w:rPr>
          <w:rStyle w:val="Emphasis"/>
          <w:rFonts w:ascii="Times New Roman;Times;serif" w:hAnsi="Times New Roman;Times;serif"/>
          <w:color w:val="000000"/>
          <w:sz w:val="20"/>
        </w:rPr>
        <w:t>470</w:t>
      </w:r>
      <w:r>
        <w:rPr>
          <w:rFonts w:ascii="Times New Roman;Times;serif" w:hAnsi="Times New Roman;Times;serif"/>
          <w:color w:val="000000"/>
          <w:sz w:val="20"/>
        </w:rPr>
        <w:t>-</w:t>
      </w:r>
      <w:r>
        <w:rPr>
          <w:rStyle w:val="Emphasis"/>
          <w:rFonts w:ascii="Times New Roman;Times;serif" w:hAnsi="Times New Roman;Times;serif"/>
          <w:color w:val="000000"/>
          <w:sz w:val="20"/>
        </w:rPr>
        <w:t>50,</w:t>
      </w:r>
      <w:r>
        <w:rPr>
          <w:rFonts w:ascii="Times New Roman;Times;serif" w:hAnsi="Times New Roman;Times;serif"/>
          <w:color w:val="000000"/>
          <w:sz w:val="20"/>
        </w:rPr>
        <w:t xml:space="preserve"> the Company capitalized $2,991 of debt issuance costs related to this transaction. Additionally, the Company wrote-off the unamortized deferred financing costs related to the Original Term Loan B facility of $4,236 and expensed $625 of fees paid to creditors as a loss on refinancing of debt. The New Term Loan B Facility bears interest at</w:t>
      </w:r>
      <w:r>
        <w:rPr>
          <w:rFonts w:ascii="Times New Roman;Times;serif" w:hAnsi="Times New Roman;Times;serif"/>
          <w:color w:val="000000"/>
          <w:sz w:val="20"/>
          <w:shd w:fill="FFFFFF" w:val="clear"/>
        </w:rPr>
        <w:t xml:space="preserve"> the S</w:t>
      </w:r>
      <w:r>
        <w:rPr>
          <w:rFonts w:ascii="Times New Roman;Times;serif" w:hAnsi="Times New Roman;Times;serif"/>
          <w:color w:val="000000"/>
          <w:sz w:val="20"/>
        </w:rPr>
        <w:t>OFR rate plus an applicable margin of 1.75%, subject to a SOFR floor of 0.0%, resulting i</w:t>
      </w:r>
      <w:r>
        <w:rPr>
          <w:rFonts w:ascii="Times New Roman;Times;serif" w:hAnsi="Times New Roman;Times;serif"/>
          <w:color w:val="000000"/>
          <w:sz w:val="20"/>
          <w:shd w:fill="FFFFFF" w:val="clear"/>
        </w:rPr>
        <w:t>n a 5.62% c</w:t>
      </w:r>
      <w:r>
        <w:rPr>
          <w:rFonts w:ascii="Times New Roman;Times;serif" w:hAnsi="Times New Roman;Times;serif"/>
          <w:color w:val="000000"/>
          <w:sz w:val="20"/>
        </w:rPr>
        <w:t xml:space="preserve">ombined rate as of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Fonts w:ascii="Times New Roman;Times;serif" w:hAnsi="Times New Roman;Times;serif"/>
          <w:color w:val="000000"/>
          <w:sz w:val="20"/>
        </w:rPr>
        <w:t xml:space="preserve">. </w:t>
      </w:r>
    </w:p>
    <w:p>
      <w:pPr>
        <w:pStyle w:val="TextBody"/>
        <w:bidi w:val="0"/>
        <w:spacing w:before="0" w:after="0"/>
        <w:jc w:val="left"/>
        <w:rPr/>
      </w:pPr>
      <w:r>
        <w:rPr/>
        <w:t xml:space="preserve">  </w:t>
      </w:r>
    </w:p>
    <w:p>
      <w:pPr>
        <w:pStyle w:val="TextBody"/>
        <w:bidi w:val="0"/>
        <w:jc w:val="both"/>
        <w:rPr/>
      </w:pPr>
      <w:r>
        <w:rPr>
          <w:rFonts w:ascii="Times New Roman;Times;serif" w:hAnsi="Times New Roman;Times;serif"/>
          <w:color w:val="000000"/>
          <w:sz w:val="20"/>
        </w:rPr>
        <w:t xml:space="preserve">The New Term Loan B Facility does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require an Excess Cash Flow payment (as defined in the New Term Loan B Facility credit agreement) if the Company's net secured leverage ratio is maintained below 3.75 to </w:t>
      </w:r>
      <w:r>
        <w:rPr>
          <w:rStyle w:val="Emphasis"/>
          <w:rFonts w:ascii="Times New Roman;Times;serif" w:hAnsi="Times New Roman;Times;serif"/>
          <w:color w:val="000000"/>
          <w:sz w:val="20"/>
        </w:rPr>
        <w:t>1.00.</w:t>
      </w:r>
      <w:r>
        <w:rPr>
          <w:rFonts w:ascii="Times New Roman;Times;serif" w:hAnsi="Times New Roman;Times;serif"/>
          <w:color w:val="000000"/>
          <w:sz w:val="20"/>
        </w:rPr>
        <w:t xml:space="preserve"> As of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Fonts w:ascii="Times New Roman;Times;serif" w:hAnsi="Times New Roman;Times;serif"/>
          <w:color w:val="000000"/>
          <w:sz w:val="20"/>
        </w:rPr>
        <w:t xml:space="preserve">, the Company's net secured leverage ratio was 1.32 to </w:t>
      </w:r>
      <w:r>
        <w:rPr>
          <w:rStyle w:val="Emphasis"/>
          <w:rFonts w:ascii="Times New Roman;Times;serif" w:hAnsi="Times New Roman;Times;serif"/>
          <w:color w:val="000000"/>
          <w:sz w:val="20"/>
        </w:rPr>
        <w:t>1.00,</w:t>
      </w:r>
      <w:r>
        <w:rPr>
          <w:rFonts w:ascii="Times New Roman;Times;serif" w:hAnsi="Times New Roman;Times;serif"/>
          <w:color w:val="000000"/>
          <w:sz w:val="20"/>
        </w:rPr>
        <w:t xml:space="preserve"> and the Company was in compliance with all covenants under the facility. There are </w:t>
      </w:r>
      <w:r>
        <w:rPr>
          <w:rStyle w:val="Emphasis"/>
          <w:rFonts w:ascii="Times New Roman;Times;serif" w:hAnsi="Times New Roman;Times;serif"/>
          <w:color w:val="000000"/>
          <w:sz w:val="20"/>
        </w:rPr>
        <w:t>no</w:t>
      </w:r>
      <w:r>
        <w:rPr>
          <w:rFonts w:ascii="Times New Roman;Times;serif" w:hAnsi="Times New Roman;Times;serif"/>
          <w:color w:val="000000"/>
          <w:sz w:val="20"/>
        </w:rPr>
        <w:t xml:space="preserve"> financial maintenance covenants on the Term Loan B Facility. </w:t>
      </w:r>
    </w:p>
    <w:p>
      <w:pPr>
        <w:pStyle w:val="TextBody"/>
        <w:bidi w:val="0"/>
        <w:spacing w:before="0" w:after="0"/>
        <w:ind w:left="0" w:right="0" w:hanging="0"/>
        <w:jc w:val="both"/>
        <w:rPr/>
      </w:pPr>
      <w:r>
        <w:rPr/>
        <w:t> </w:t>
      </w:r>
    </w:p>
    <w:p>
      <w:pPr>
        <w:pStyle w:val="TextBody"/>
        <w:bidi w:val="0"/>
        <w:jc w:val="both"/>
        <w:rPr>
          <w:rFonts w:ascii="Times New Roman;Times;serif" w:hAnsi="Times New Roman;Times;serif"/>
          <w:sz w:val="20"/>
        </w:rPr>
      </w:pPr>
      <w:r>
        <w:rPr>
          <w:rFonts w:ascii="Times New Roman;Times;serif" w:hAnsi="Times New Roman;Times;serif"/>
          <w:color w:val="000000"/>
          <w:sz w:val="20"/>
        </w:rPr>
        <w:t>The Company's original Tranche A Term Loan Facility provided an aggregate principal amount of $750,000 (Original Tranche A Term Loan Facility), along with a $1,250,000 revolving facility (Original Revolving Facility) with all LIBOR provisions replaced with SOFR provisions. The Original Tranche A Term Loan Facility and the Original Revolving Facility bore interest at a rate based on adjusted SOFR plus an applicable margin between 1.25% and 1.75%, based on the Company's total leverage ratio and subject to a SOFR floor of 0.0%.</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jc w:val="both"/>
        <w:rPr/>
      </w:pPr>
      <w:r>
        <w:rPr>
          <w:rFonts w:ascii="Times New Roman;Times;serif" w:hAnsi="Times New Roman;Times;serif"/>
          <w:color w:val="000000"/>
          <w:sz w:val="20"/>
        </w:rPr>
        <w:t xml:space="preserve">On </w:t>
      </w:r>
      <w:r>
        <w:rPr>
          <w:rStyle w:val="Emphasis"/>
          <w:rFonts w:ascii="Times New Roman;Times;serif" w:hAnsi="Times New Roman;Times;serif"/>
          <w:color w:val="000000"/>
          <w:sz w:val="20"/>
        </w:rPr>
        <w:t xml:space="preserve">July 1, 2025, </w:t>
      </w:r>
      <w:r>
        <w:rPr>
          <w:rFonts w:ascii="Times New Roman;Times;serif" w:hAnsi="Times New Roman;Times;serif"/>
          <w:color w:val="000000"/>
          <w:sz w:val="20"/>
        </w:rPr>
        <w:t xml:space="preserve">the Company amended the Original Tranche A Term Loan Facility and Original Revolving Facility (Prior Amended Credit Agreement), extending the maturity of both to </w:t>
      </w:r>
      <w:r>
        <w:rPr>
          <w:rStyle w:val="Emphasis"/>
          <w:rFonts w:ascii="Times New Roman;Times;serif" w:hAnsi="Times New Roman;Times;serif"/>
          <w:color w:val="000000"/>
          <w:sz w:val="20"/>
        </w:rPr>
        <w:t xml:space="preserve">July 1, 2030, </w:t>
      </w:r>
      <w:r>
        <w:rPr>
          <w:rFonts w:ascii="Times New Roman;Times;serif" w:hAnsi="Times New Roman;Times;serif"/>
          <w:color w:val="000000"/>
          <w:sz w:val="20"/>
        </w:rPr>
        <w:t xml:space="preserve">revising the Original Tranche A Term Loan Facility outstanding principal balance to $700,000 (New Tranche A Term Loan Facility), reducing the Original Revolving Facility borrowing capacity to $1,000,000 (New Revolving Facility) (collectively the New Credit Agreements), and redefined the Term Benchmark (as defined in the Prior Amended Credit Agreement) to replace the Adjusted Term SOFR Rate (as defined in the Prior Amended Credit Agreement) with the Term SOFR Rate (as defined in the New Credit Agreement), resulting in an interest rate reduction of 0.10%. Except for redefining the Term Benchmark, interest rates for the New Credit Agreements remain unchanged from the original credit agreements. As of </w:t>
      </w:r>
      <w:r>
        <w:rPr>
          <w:rStyle w:val="Emphasis"/>
          <w:rFonts w:ascii="Times New Roman;Times;serif" w:hAnsi="Times New Roman;Times;serif"/>
          <w:color w:val="000000"/>
          <w:sz w:val="20"/>
        </w:rPr>
        <w:t>December 31, 2025</w:t>
      </w:r>
      <w:r>
        <w:rPr>
          <w:rFonts w:ascii="Times New Roman;Times;serif" w:hAnsi="Times New Roman;Times;serif"/>
          <w:color w:val="000000"/>
          <w:sz w:val="20"/>
        </w:rPr>
        <w:t>, the interest rate for the New Tranche A Term Loan Facility and the New Revolving Facility i</w:t>
      </w:r>
      <w:r>
        <w:rPr>
          <w:rFonts w:ascii="Times New Roman;Times;serif" w:hAnsi="Times New Roman;Times;serif"/>
          <w:color w:val="000000"/>
          <w:sz w:val="20"/>
          <w:shd w:fill="FFFFFF" w:val="clear"/>
        </w:rPr>
        <w:t>s 5.12%</w:t>
      </w:r>
      <w:r>
        <w:rPr>
          <w:rFonts w:ascii="Times New Roman;Times;serif" w:hAnsi="Times New Roman;Times;serif"/>
          <w:sz w:val="20"/>
        </w:rPr>
        <w:t xml:space="preserve"> </w:t>
      </w:r>
      <w:r>
        <w:rPr>
          <w:rFonts w:ascii="Times New Roman;Times;serif" w:hAnsi="Times New Roman;Times;serif"/>
          <w:sz w:val="20"/>
          <w:shd w:fill="FFFFFF" w:val="clear"/>
        </w:rPr>
        <w:t>.</w:t>
      </w:r>
      <w:r>
        <w:rPr>
          <w:rFonts w:ascii="Times New Roman;Times;serif" w:hAnsi="Times New Roman;Times;serif"/>
          <w:sz w:val="20"/>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color w:val="000000"/>
          <w:sz w:val="20"/>
        </w:rPr>
        <w:t xml:space="preserve">In accordance with ASC </w:t>
      </w:r>
      <w:r>
        <w:rPr>
          <w:rStyle w:val="Emphasis"/>
          <w:rFonts w:ascii="Times New Roman" w:hAnsi="Times New Roman"/>
          <w:color w:val="000000"/>
          <w:sz w:val="20"/>
        </w:rPr>
        <w:t>470</w:t>
      </w:r>
      <w:r>
        <w:rPr>
          <w:rFonts w:ascii="Times New Roman" w:hAnsi="Times New Roman"/>
          <w:color w:val="000000"/>
          <w:sz w:val="20"/>
        </w:rPr>
        <w:t>-</w:t>
      </w:r>
      <w:r>
        <w:rPr>
          <w:rStyle w:val="Emphasis"/>
          <w:rFonts w:ascii="Times New Roman" w:hAnsi="Times New Roman"/>
          <w:color w:val="000000"/>
          <w:sz w:val="20"/>
        </w:rPr>
        <w:t>50,</w:t>
      </w:r>
      <w:r>
        <w:rPr>
          <w:rFonts w:ascii="Times New Roman" w:hAnsi="Times New Roman"/>
          <w:color w:val="000000"/>
          <w:sz w:val="20"/>
        </w:rPr>
        <w:t xml:space="preserve"> the Company capitalized $5,275 of debt issuance costs related to this credit agreement amendment transaction. Additionally, the Company wrote-off certain unamortized deferred financing costs related to the Original Revolving Facility of $443 and expensed $782 of </w:t>
      </w:r>
      <w:r>
        <w:rPr>
          <w:rStyle w:val="Emphasis"/>
          <w:rFonts w:ascii="Times New Roman" w:hAnsi="Times New Roman"/>
          <w:color w:val="000000"/>
          <w:sz w:val="20"/>
        </w:rPr>
        <w:t>third</w:t>
      </w:r>
      <w:r>
        <w:rPr>
          <w:rFonts w:ascii="Times New Roman" w:hAnsi="Times New Roman"/>
          <w:color w:val="000000"/>
          <w:sz w:val="20"/>
        </w:rPr>
        <w:t>-party fees as a loss on refinancing of debt.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color w:val="000000"/>
          <w:sz w:val="20"/>
        </w:rPr>
        <w:t xml:space="preserve">Both the New Tranche A Term Loan Facility and the New Revolving Facility contain certain financial covenants that require the Company to maintain a total leverage ratio below 3.75 to </w:t>
      </w:r>
      <w:r>
        <w:rPr>
          <w:rStyle w:val="Emphasis"/>
          <w:rFonts w:ascii="Times New Roman" w:hAnsi="Times New Roman"/>
          <w:color w:val="000000"/>
          <w:sz w:val="20"/>
        </w:rPr>
        <w:t>1.00,</w:t>
      </w:r>
      <w:r>
        <w:rPr>
          <w:rFonts w:ascii="Times New Roman" w:hAnsi="Times New Roman"/>
          <w:color w:val="000000"/>
          <w:sz w:val="20"/>
        </w:rPr>
        <w:t xml:space="preserve"> as well as an interest coverage ratio above 3.00 to </w:t>
      </w:r>
      <w:r>
        <w:rPr>
          <w:rStyle w:val="Emphasis"/>
          <w:rFonts w:ascii="Times New Roman" w:hAnsi="Times New Roman"/>
          <w:color w:val="000000"/>
          <w:sz w:val="20"/>
        </w:rPr>
        <w:t>1.00.</w:t>
      </w:r>
      <w:r>
        <w:rPr>
          <w:rFonts w:ascii="Times New Roman" w:hAnsi="Times New Roman"/>
          <w:color w:val="000000"/>
          <w:sz w:val="20"/>
        </w:rPr>
        <w:t xml:space="preserve"> As of  </w:t>
      </w:r>
      <w:r>
        <w:rPr>
          <w:rFonts w:ascii="Times New Roman" w:hAnsi="Times New Roman"/>
          <w:sz w:val="20"/>
        </w:rPr>
        <w:t xml:space="preserve"> </w:t>
      </w:r>
      <w:r>
        <w:rPr>
          <w:rStyle w:val="Emphasis"/>
          <w:rFonts w:ascii="Times New Roman" w:hAnsi="Times New Roman"/>
          <w:color w:val="000000"/>
          <w:sz w:val="20"/>
        </w:rPr>
        <w:t>December 31, 2025</w:t>
      </w:r>
      <w:r>
        <w:rPr>
          <w:rFonts w:ascii="Times New Roman" w:hAnsi="Times New Roman"/>
          <w:sz w:val="20"/>
        </w:rPr>
        <w:t xml:space="preserve"> </w:t>
      </w:r>
      <w:r>
        <w:rPr>
          <w:rFonts w:ascii="Times New Roman" w:hAnsi="Times New Roman"/>
          <w:color w:val="000000"/>
          <w:sz w:val="20"/>
        </w:rPr>
        <w:t xml:space="preserve">, the Company’s total leverage ratio was 1.39 to </w:t>
      </w:r>
      <w:r>
        <w:rPr>
          <w:rStyle w:val="Emphasis"/>
          <w:rFonts w:ascii="Times New Roman" w:hAnsi="Times New Roman"/>
          <w:color w:val="000000"/>
          <w:sz w:val="20"/>
        </w:rPr>
        <w:t>1.00,</w:t>
      </w:r>
      <w:r>
        <w:rPr>
          <w:rFonts w:ascii="Times New Roman" w:hAnsi="Times New Roman"/>
          <w:color w:val="000000"/>
          <w:sz w:val="20"/>
        </w:rPr>
        <w:t xml:space="preserve"> and the Company's interest coverage ratio was 11.76 to </w:t>
      </w:r>
      <w:r>
        <w:rPr>
          <w:rStyle w:val="Emphasis"/>
          <w:rFonts w:ascii="Times New Roman" w:hAnsi="Times New Roman"/>
          <w:color w:val="000000"/>
          <w:sz w:val="20"/>
        </w:rPr>
        <w:t>1.00.</w:t>
      </w:r>
      <w:r>
        <w:rPr>
          <w:rFonts w:ascii="Times New Roman" w:hAnsi="Times New Roman"/>
          <w:color w:val="000000"/>
          <w:sz w:val="20"/>
        </w:rPr>
        <w:t xml:space="preserve"> T</w:t>
      </w:r>
      <w:r>
        <w:rPr>
          <w:rFonts w:ascii="Times New Roman" w:hAnsi="Times New Roman"/>
          <w:color w:val="000000"/>
          <w:sz w:val="20"/>
          <w:shd w:fill="FFFFFF" w:val="clear"/>
        </w:rPr>
        <w:t xml:space="preserve">he Company was also in compliance with all other covenants </w:t>
      </w:r>
      <w:r>
        <w:rPr>
          <w:rFonts w:ascii="Times New Roman" w:hAnsi="Times New Roman"/>
          <w:color w:val="000000"/>
          <w:sz w:val="20"/>
        </w:rPr>
        <w:t>of the New Credit Agreements as of </w:t>
      </w:r>
      <w:r>
        <w:rPr>
          <w:rFonts w:ascii="Times New Roman" w:hAnsi="Times New Roman"/>
          <w:sz w:val="20"/>
        </w:rPr>
        <w:t xml:space="preserve"> </w:t>
      </w:r>
      <w:r>
        <w:rPr>
          <w:rStyle w:val="Emphasis"/>
          <w:rFonts w:ascii="Times New Roman" w:hAnsi="Times New Roman"/>
          <w:color w:val="000000"/>
          <w:sz w:val="20"/>
        </w:rPr>
        <w:t>December 31, 2025</w:t>
      </w:r>
      <w:r>
        <w:rPr>
          <w:rFonts w:ascii="Times New Roman" w:hAnsi="Times New Roman"/>
          <w:sz w:val="20"/>
        </w:rPr>
        <w:t xml:space="preserve"> </w:t>
      </w:r>
      <w:r>
        <w:rPr>
          <w:rFonts w:ascii="Times New Roman" w:hAnsi="Times New Roman"/>
          <w:color w:val="000000"/>
          <w:sz w:val="20"/>
        </w:rPr>
        <w:t>.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Times;serif" w:hAnsi="Times New Roman;Times;serif"/>
          <w:color w:val="000000"/>
          <w:sz w:val="20"/>
        </w:rPr>
        <w:t xml:space="preserve">The New Term Loan B Facility, New Tranche A Term Loan Facility and New Revolving Facility are guaranteed by substantially all of the Company’s wholly-owned domestic restricted subsidiaries and are secured by associated collateral agreements which pledge a </w:t>
      </w:r>
      <w:r>
        <w:rPr>
          <w:rStyle w:val="Emphasis"/>
          <w:rFonts w:ascii="Times New Roman;Times;serif" w:hAnsi="Times New Roman;Times;serif"/>
          <w:color w:val="000000"/>
          <w:sz w:val="20"/>
        </w:rPr>
        <w:t>first</w:t>
      </w:r>
      <w:r>
        <w:rPr>
          <w:rFonts w:ascii="Times New Roman;Times;serif" w:hAnsi="Times New Roman;Times;serif"/>
          <w:color w:val="000000"/>
          <w:sz w:val="20"/>
        </w:rPr>
        <w:t xml:space="preserve"> priority lien on virtually all of the Company’s assets, including fixed assets and intangibles, cash, trade accounts receivable, inventory, and other current assets and proceeds thereof.</w:t>
      </w:r>
      <w:r>
        <w:rPr>
          <w:rFonts w:ascii="Times New Roman;Times;serif" w:hAnsi="Times New Roman;Times;serif"/>
          <w:sz w:val="20"/>
        </w:rPr>
        <w:t xml:space="preserve"> </w:t>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caps w:val="false"/>
          <w:smallCaps w:val="false"/>
          <w:color w:val="000000"/>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Fonts w:ascii="Times New Roman" w:hAnsi="Times New Roman"/>
          <w:caps w:val="false"/>
          <w:smallCaps w:val="false"/>
          <w:color w:val="000000"/>
          <w:sz w:val="20"/>
        </w:rPr>
        <w:t>, there was</w:t>
      </w:r>
      <w:r>
        <w:rPr>
          <w:rFonts w:ascii="Times New Roman" w:hAnsi="Times New Roman"/>
          <w:caps w:val="false"/>
          <w:smallCaps w:val="false"/>
          <w:color w:val="000000"/>
          <w:sz w:val="20"/>
          <w:shd w:fill="FFFFFF" w:val="clear"/>
        </w:rPr>
        <w:t xml:space="preserve"> $0 ou</w:t>
      </w:r>
      <w:r>
        <w:rPr>
          <w:rFonts w:ascii="Times New Roman" w:hAnsi="Times New Roman"/>
          <w:caps w:val="false"/>
          <w:smallCaps w:val="false"/>
          <w:color w:val="000000"/>
          <w:sz w:val="20"/>
        </w:rPr>
        <w:t>tstanding under the New Revolving Facility, leaving</w:t>
      </w:r>
      <w:r>
        <w:rPr>
          <w:rFonts w:ascii="Times New Roman" w:hAnsi="Times New Roman"/>
          <w:caps w:val="false"/>
          <w:smallCaps w:val="false"/>
          <w:color w:val="000000"/>
          <w:sz w:val="20"/>
          <w:shd w:fill="FFFFFF" w:val="clear"/>
        </w:rPr>
        <w:t xml:space="preserve"> $999,250 </w:t>
      </w:r>
      <w:r>
        <w:rPr>
          <w:rFonts w:ascii="Times New Roman" w:hAnsi="Times New Roman"/>
          <w:caps w:val="false"/>
          <w:smallCaps w:val="false"/>
          <w:color w:val="000000"/>
          <w:sz w:val="20"/>
        </w:rPr>
        <w:t>of unused capacity, net of outstanding letters of credit. </w:t>
      </w:r>
      <w:r>
        <w:rPr>
          <w:rFonts w:ascii="Times New Roman" w:hAnsi="Times New Roman"/>
          <w:caps w:val="false"/>
          <w:smallCaps w:val="false"/>
          <w:sz w:val="20"/>
        </w:rPr>
        <w:t xml:space="preserve"> </w:t>
      </w:r>
    </w:p>
    <w:p>
      <w:pPr>
        <w:pStyle w:val="TextBody"/>
        <w:bidi w:val="0"/>
        <w:jc w:val="both"/>
        <w:rPr/>
      </w:pPr>
      <w:r>
        <w:rPr>
          <w:rFonts w:ascii="Times New Roman" w:hAnsi="Times New Roman"/>
          <w:caps w:val="false"/>
          <w:smallCaps w:val="false"/>
          <w:sz w:val="20"/>
        </w:rPr>
        <w:br/>
      </w:r>
      <w:r>
        <w:rPr>
          <w:rFonts w:cs="Times New Roman"/>
          <w:caps w:val="false"/>
          <w:smallCaps w:val="false"/>
          <w:color w:val="000000"/>
          <w:szCs w:val="20"/>
        </w:rPr>
        <w:t>﻿</w:t>
      </w:r>
      <w:r>
        <w:rPr>
          <w:rFonts w:ascii="Times New Roman" w:hAnsi="Times New Roman"/>
          <w:caps w:val="false"/>
          <w:smallCaps w:val="false"/>
          <w:color w:val="000000"/>
          <w:sz w:val="20"/>
        </w:rPr>
        <w:t xml:space="preserve">The New Tranche A Term Loan Facility and New Revolving Facility mature on </w:t>
      </w:r>
      <w:r>
        <w:rPr>
          <w:rStyle w:val="Emphasis"/>
          <w:rFonts w:ascii="Times New Roman" w:hAnsi="Times New Roman"/>
          <w:caps w:val="false"/>
          <w:smallCaps w:val="false"/>
          <w:color w:val="000000"/>
          <w:sz w:val="20"/>
        </w:rPr>
        <w:t xml:space="preserve">July 1, 2030. </w:t>
      </w:r>
      <w:r>
        <w:rPr>
          <w:rFonts w:ascii="Times New Roman" w:hAnsi="Times New Roman"/>
          <w:caps w:val="false"/>
          <w:smallCaps w:val="false"/>
          <w:color w:val="000000"/>
          <w:sz w:val="20"/>
        </w:rPr>
        <w:t xml:space="preserve">The New Tranche A Term Loan Facility is repayable in quarterly installments commencing </w:t>
      </w:r>
      <w:r>
        <w:rPr>
          <w:rStyle w:val="Emphasis"/>
          <w:rFonts w:ascii="Times New Roman" w:hAnsi="Times New Roman"/>
          <w:caps w:val="false"/>
          <w:smallCaps w:val="false"/>
          <w:color w:val="000000"/>
          <w:sz w:val="20"/>
        </w:rPr>
        <w:t xml:space="preserve">October 1, 2026, </w:t>
      </w:r>
      <w:r>
        <w:rPr>
          <w:rFonts w:ascii="Times New Roman" w:hAnsi="Times New Roman"/>
          <w:caps w:val="false"/>
          <w:smallCaps w:val="false"/>
          <w:color w:val="000000"/>
          <w:sz w:val="20"/>
        </w:rPr>
        <w:t xml:space="preserve">with a balloon payment due at maturity. The Term Loan B Facility matures on </w:t>
      </w:r>
      <w:r>
        <w:rPr>
          <w:rStyle w:val="Emphasis"/>
          <w:rFonts w:ascii="Times New Roman" w:hAnsi="Times New Roman"/>
          <w:caps w:val="false"/>
          <w:smallCaps w:val="false"/>
          <w:color w:val="000000"/>
          <w:sz w:val="20"/>
        </w:rPr>
        <w:t xml:space="preserve">July 3, 2031, </w:t>
      </w:r>
      <w:r>
        <w:rPr>
          <w:rFonts w:ascii="Times New Roman" w:hAnsi="Times New Roman"/>
          <w:caps w:val="false"/>
          <w:smallCaps w:val="false"/>
          <w:color w:val="000000"/>
          <w:sz w:val="20"/>
        </w:rPr>
        <w:t xml:space="preserve">and is repayable in quarterly installments which commenced </w:t>
      </w:r>
      <w:r>
        <w:rPr>
          <w:rStyle w:val="Emphasis"/>
          <w:rFonts w:ascii="Times New Roman" w:hAnsi="Times New Roman"/>
          <w:caps w:val="false"/>
          <w:smallCaps w:val="false"/>
          <w:color w:val="000000"/>
          <w:sz w:val="20"/>
        </w:rPr>
        <w:t xml:space="preserve">September 2024, </w:t>
      </w:r>
      <w:r>
        <w:rPr>
          <w:rFonts w:ascii="Times New Roman" w:hAnsi="Times New Roman"/>
          <w:caps w:val="false"/>
          <w:smallCaps w:val="false"/>
          <w:color w:val="000000"/>
          <w:sz w:val="20"/>
        </w:rPr>
        <w:t xml:space="preserve">with a balloon payment due at maturity. Maturities of the Company's New Tranche A Term Loan Facility, Term Loan B Facility and New Revolving Facility outstanding on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Fonts w:ascii="Times New Roman" w:hAnsi="Times New Roman"/>
          <w:caps w:val="false"/>
          <w:smallCaps w:val="false"/>
          <w:color w:val="000000"/>
          <w:sz w:val="20"/>
        </w:rPr>
        <w:t>, before considering original issue discount and deferred financing costs, were as follows: </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652" w:type="dxa"/>
        <w:jc w:val="left"/>
        <w:tblInd w:w="0" w:type="dxa"/>
        <w:tblLayout w:type="fixed"/>
        <w:tblCellMar>
          <w:top w:w="0" w:type="dxa"/>
          <w:left w:w="0" w:type="dxa"/>
          <w:bottom w:w="28" w:type="dxa"/>
          <w:right w:w="0" w:type="dxa"/>
        </w:tblCellMar>
      </w:tblPr>
      <w:tblGrid>
        <w:gridCol w:w="455"/>
        <w:gridCol w:w="60"/>
        <w:gridCol w:w="451"/>
        <w:gridCol w:w="2508"/>
        <w:gridCol w:w="60"/>
        <w:gridCol w:w="60"/>
        <w:gridCol w:w="277"/>
        <w:gridCol w:w="1542"/>
        <w:gridCol w:w="60"/>
        <w:gridCol w:w="60"/>
        <w:gridCol w:w="1200"/>
        <w:gridCol w:w="769"/>
        <w:gridCol w:w="60"/>
        <w:gridCol w:w="60"/>
        <w:gridCol w:w="125"/>
        <w:gridCol w:w="845"/>
        <w:gridCol w:w="60"/>
      </w:tblGrid>
      <w:tr>
        <w:trPr/>
        <w:tc>
          <w:tcPr>
            <w:tcW w:w="45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New Tranche A Term Loan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Loan B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6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New Revolving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ind w:left="0" w:right="0" w:hanging="0"/>
              <w:jc w:val="left"/>
              <w:rPr/>
            </w:pPr>
            <w:r>
              <w:rPr/>
              <w:t> </w:t>
            </w:r>
          </w:p>
        </w:tc>
        <w:tc>
          <w:tcPr>
            <w:tcW w:w="25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shd w:fill="FFFFFF" w:val="clear"/>
            <w:tcMar>
              <w:bottom w:w="0" w:type="dxa"/>
            </w:tcMar>
            <w:vAlign w:val="center"/>
          </w:tcPr>
          <w:p>
            <w:pPr>
              <w:pStyle w:val="TableContents"/>
              <w:bidi w:val="0"/>
              <w:spacing w:before="0" w:after="283"/>
              <w:ind w:left="0" w:right="0" w:hanging="0"/>
              <w:jc w:val="left"/>
              <w:rPr/>
            </w:pPr>
            <w:r>
              <w:rPr/>
              <w:t> </w:t>
            </w:r>
          </w:p>
        </w:tc>
        <w:tc>
          <w:tcPr>
            <w:tcW w:w="154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pPr>
            <w:r>
              <w:rPr/>
              <w:t> </w:t>
            </w:r>
          </w:p>
        </w:tc>
        <w:tc>
          <w:tcPr>
            <w:tcW w:w="25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ind w:left="0" w:right="0" w:hanging="0"/>
              <w:jc w:val="left"/>
              <w:rPr/>
            </w:pPr>
            <w:r>
              <w:rPr/>
              <w:t> </w:t>
            </w:r>
          </w:p>
        </w:tc>
        <w:tc>
          <w:tcPr>
            <w:tcW w:w="154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ind w:left="0" w:right="0" w:hanging="0"/>
              <w:jc w:val="left"/>
              <w:rPr/>
            </w:pPr>
            <w:r>
              <w:rPr/>
              <w:t> </w:t>
            </w:r>
          </w:p>
        </w:tc>
        <w:tc>
          <w:tcPr>
            <w:tcW w:w="25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shd w:fill="FFFFFF" w:val="clear"/>
            <w:tcMar>
              <w:bottom w:w="0" w:type="dxa"/>
            </w:tcMar>
            <w:vAlign w:val="center"/>
          </w:tcPr>
          <w:p>
            <w:pPr>
              <w:pStyle w:val="TableContents"/>
              <w:bidi w:val="0"/>
              <w:spacing w:before="0" w:after="283"/>
              <w:ind w:left="0" w:right="0" w:hanging="0"/>
              <w:jc w:val="left"/>
              <w:rPr/>
            </w:pPr>
            <w:r>
              <w:rPr/>
              <w:t> </w:t>
            </w:r>
          </w:p>
        </w:tc>
        <w:tc>
          <w:tcPr>
            <w:tcW w:w="154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ind w:left="0" w:right="0" w:hanging="0"/>
              <w:jc w:val="left"/>
              <w:rPr/>
            </w:pPr>
            <w:r>
              <w:rPr/>
              <w:t> </w:t>
            </w:r>
          </w:p>
        </w:tc>
        <w:tc>
          <w:tcPr>
            <w:tcW w:w="25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ind w:left="0" w:right="0" w:hanging="0"/>
              <w:jc w:val="left"/>
              <w:rPr/>
            </w:pPr>
            <w:r>
              <w:rPr/>
              <w:t> </w:t>
            </w:r>
          </w:p>
        </w:tc>
        <w:tc>
          <w:tcPr>
            <w:tcW w:w="154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50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4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468,750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1,193,750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13.</w:t>
            </w:r>
          </w:p>
        </w:tc>
        <w:tc>
          <w:tcPr>
            <w:tcW w:w="24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Repurchase Programs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In </w:t>
      </w:r>
      <w:r>
        <w:rPr>
          <w:rStyle w:val="Emphasis"/>
          <w:rFonts w:ascii="Times New Roman;Times;serif" w:hAnsi="Times New Roman;Times;serif"/>
          <w:sz w:val="20"/>
        </w:rPr>
        <w:t xml:space="preserve"> July 2022,</w:t>
      </w:r>
      <w:r>
        <w:rPr>
          <w:rFonts w:ascii="Times New Roman;Times;serif" w:hAnsi="Times New Roman;Times;serif"/>
          <w:sz w:val="20"/>
        </w:rPr>
        <w:t xml:space="preserve"> the Company's Board approved a stock repurchase program, which commenced on </w:t>
      </w:r>
      <w:r>
        <w:rPr>
          <w:rStyle w:val="Emphasis"/>
          <w:rFonts w:ascii="Times New Roman;Times;serif" w:hAnsi="Times New Roman;Times;serif"/>
          <w:sz w:val="20"/>
        </w:rPr>
        <w:t xml:space="preserve">August 5, 2022, </w:t>
      </w:r>
      <w:r>
        <w:rPr>
          <w:rFonts w:ascii="Times New Roman;Times;serif" w:hAnsi="Times New Roman;Times;serif"/>
          <w:sz w:val="20"/>
        </w:rPr>
        <w:t xml:space="preserve">and allowed for the repurchase of up to $500,000 of the Company's common stock over a 24-month period. Additionally, on </w:t>
      </w:r>
      <w:r>
        <w:rPr>
          <w:rStyle w:val="Emphasis"/>
          <w:rFonts w:ascii="Times New Roman;Times;serif" w:hAnsi="Times New Roman;Times;serif"/>
          <w:sz w:val="20"/>
        </w:rPr>
        <w:t xml:space="preserve">February 12, 2024, </w:t>
      </w:r>
      <w:r>
        <w:rPr>
          <w:rFonts w:ascii="Times New Roman;Times;serif" w:hAnsi="Times New Roman;Times;serif"/>
          <w:sz w:val="20"/>
        </w:rPr>
        <w:t xml:space="preserve">the Company’s Board approved a new stock repurchase program that authorized repurchases of up to $500,000 of the Company’s common stock over the following 24 months. The new program replaced the prior share repurchase program, which had $26,297 remaining available for repurchase when the new program was approved. Pursuant to the approved program,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repurchase its common stock from time to time, in amounts and at prices the Company deems appropriate, subject to market conditions and other considerations. The repurchases </w:t>
      </w:r>
      <w:r>
        <w:rPr>
          <w:rStyle w:val="Emphasis"/>
          <w:rFonts w:ascii="Times New Roman;Times;serif" w:hAnsi="Times New Roman;Times;serif"/>
          <w:sz w:val="20"/>
        </w:rPr>
        <w:t xml:space="preserve">may </w:t>
      </w:r>
      <w:r>
        <w:rPr>
          <w:rFonts w:ascii="Times New Roman;Times;serif" w:hAnsi="Times New Roman;Times;serif"/>
          <w:sz w:val="20"/>
        </w:rPr>
        <w:t xml:space="preserve">be executed using a combination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plans, open market purchases, privately negotiated agreements, or other transactions. The actual timing, number and value of shares repurchased under the program will be determined by management at its discretion and in compliance with the terms of the Company's credit agreements. The repurchases </w:t>
      </w:r>
      <w:r>
        <w:rPr>
          <w:rStyle w:val="Emphasis"/>
          <w:rFonts w:ascii="Times New Roman;Times;serif" w:hAnsi="Times New Roman;Times;serif"/>
          <w:sz w:val="20"/>
        </w:rPr>
        <w:t xml:space="preserve">may </w:t>
      </w:r>
      <w:r>
        <w:rPr>
          <w:rFonts w:ascii="Times New Roman;Times;serif" w:hAnsi="Times New Roman;Times;serif"/>
          <w:sz w:val="20"/>
        </w:rPr>
        <w:t xml:space="preserve">be funded with cash on hand, available borrowings, or proceeds from potential debt or other capital markets sources. The stock repurchase program </w:t>
      </w:r>
      <w:r>
        <w:rPr>
          <w:rStyle w:val="Emphasis"/>
          <w:rFonts w:ascii="Times New Roman;Times;serif" w:hAnsi="Times New Roman;Times;serif"/>
          <w:sz w:val="20"/>
        </w:rPr>
        <w:t xml:space="preserve">may </w:t>
      </w:r>
      <w:r>
        <w:rPr>
          <w:rFonts w:ascii="Times New Roman;Times;serif" w:hAnsi="Times New Roman;Times;serif"/>
          <w:sz w:val="20"/>
        </w:rPr>
        <w:t>be suspended or discontinued at any time without prior notice.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During the year ended </w:t>
      </w:r>
      <w:r>
        <w:rPr>
          <w:rStyle w:val="Emphasis"/>
          <w:rFonts w:ascii="Times New Roman;Times;serif" w:hAnsi="Times New Roman;Times;serif"/>
          <w:sz w:val="20"/>
        </w:rPr>
        <w:t>December 31, 2025</w:t>
      </w:r>
      <w:r>
        <w:rPr>
          <w:rFonts w:ascii="Times New Roman;Times;serif" w:hAnsi="Times New Roman;Times;serif"/>
          <w:sz w:val="20"/>
        </w:rPr>
        <w:t>, the Company repurchased</w:t>
      </w:r>
      <w:r>
        <w:rPr>
          <w:rFonts w:ascii="Times New Roman;Times;serif" w:hAnsi="Times New Roman;Times;serif"/>
          <w:color w:val="000000"/>
          <w:sz w:val="20"/>
          <w:shd w:fill="FFFFFF" w:val="clear"/>
        </w:rPr>
        <w:t xml:space="preserve"> 1,109,206 shares of its common stock for $147,917.</w:t>
      </w:r>
      <w:r>
        <w:rPr>
          <w:rFonts w:ascii="Times New Roman;Times;serif" w:hAnsi="Times New Roman;Times;serif"/>
          <w:sz w:val="20"/>
        </w:rPr>
        <w:t xml:space="preserve"> During the year ended </w:t>
      </w:r>
      <w:r>
        <w:rPr>
          <w:rStyle w:val="Emphasis"/>
          <w:rFonts w:ascii="Times New Roman;Times;serif" w:hAnsi="Times New Roman;Times;serif"/>
          <w:sz w:val="20"/>
        </w:rPr>
        <w:t>December 31, 2024</w:t>
      </w:r>
      <w:r>
        <w:rPr>
          <w:rFonts w:ascii="Times New Roman;Times;serif" w:hAnsi="Times New Roman;Times;serif"/>
          <w:sz w:val="20"/>
        </w:rPr>
        <w:t>, the Company repurch</w:t>
      </w:r>
      <w:r>
        <w:rPr>
          <w:rFonts w:ascii="Times New Roman;Times;serif" w:hAnsi="Times New Roman;Times;serif"/>
          <w:color w:val="000000"/>
          <w:sz w:val="20"/>
        </w:rPr>
        <w:t>ased 1,046,351 share</w:t>
      </w:r>
      <w:r>
        <w:rPr>
          <w:rFonts w:ascii="Times New Roman;Times;serif" w:hAnsi="Times New Roman;Times;serif"/>
          <w:sz w:val="20"/>
        </w:rPr>
        <w:t xml:space="preserve">s of its common stock for </w:t>
      </w:r>
      <w:r>
        <w:rPr>
          <w:rFonts w:ascii="Times New Roman;Times;serif" w:hAnsi="Times New Roman;Times;serif"/>
          <w:color w:val="000000"/>
          <w:sz w:val="20"/>
        </w:rPr>
        <w:t xml:space="preserve">$152,743. </w:t>
      </w:r>
      <w:r>
        <w:rPr>
          <w:rFonts w:ascii="Times New Roman;Times;serif" w:hAnsi="Times New Roman;Times;serif"/>
          <w:sz w:val="20"/>
        </w:rPr>
        <w:t xml:space="preserve">During the year ended </w:t>
      </w:r>
      <w:r>
        <w:rPr>
          <w:rStyle w:val="Emphasis"/>
          <w:rFonts w:ascii="Times New Roman;Times;serif" w:hAnsi="Times New Roman;Times;serif"/>
          <w:sz w:val="20"/>
        </w:rPr>
        <w:t>December 31, 2023</w:t>
      </w:r>
      <w:r>
        <w:rPr>
          <w:rFonts w:ascii="Times New Roman;Times;serif" w:hAnsi="Times New Roman;Times;serif"/>
          <w:sz w:val="20"/>
        </w:rPr>
        <w:t xml:space="preserve">, the Company repurchased </w:t>
      </w:r>
      <w:r>
        <w:rPr>
          <w:rFonts w:ascii="Times New Roman;Times;serif" w:hAnsi="Times New Roman;Times;serif"/>
          <w:color w:val="000000"/>
          <w:sz w:val="20"/>
        </w:rPr>
        <w:t>2,188,475 </w:t>
      </w:r>
      <w:r>
        <w:rPr>
          <w:rFonts w:ascii="Times New Roman;Times;serif" w:hAnsi="Times New Roman;Times;serif"/>
          <w:sz w:val="20"/>
        </w:rPr>
        <w:t>shares of its common stock for $251,513. The Company has periodically reissued shares out of Treasury stock, including for acquisition contingent consideration payments.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9, 2026</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the Company’s Board of Directors approved a new stock repurchase program that allows for the repurchase of up to $500,000 of the Company’s common stock over the next twenty-four months. Refer to Note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"Subsequent Events", to the consolidated financial statements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further information regarding the new stock repurchase program.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14.</w:t>
            </w:r>
          </w:p>
        </w:tc>
        <w:tc>
          <w:tcPr>
            <w:tcW w:w="16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restricted stock and the exercise of stock options, as well as the satisfaction of certain conditions related to acquisition contingent consideration as of the end of the period. Refer to Note </w:t>
      </w:r>
      <w:r>
        <w:rPr>
          <w:rStyle w:val="Emphasis"/>
          <w:rFonts w:ascii="Times New Roman;Times;serif" w:hAnsi="Times New Roman;Times;serif"/>
          <w:sz w:val="20"/>
        </w:rPr>
        <w:t>4,</w:t>
      </w:r>
      <w:r>
        <w:rPr>
          <w:rFonts w:ascii="Times New Roman;Times;serif" w:hAnsi="Times New Roman;Times;serif"/>
          <w:sz w:val="20"/>
        </w:rPr>
        <w:t xml:space="preserve"> “Redeemable Noncontrolling Interest,” to the consolidated financial statements of this Annual Report on Form </w:t>
      </w:r>
      <w:r>
        <w:rPr>
          <w:rStyle w:val="Emphasis"/>
          <w:rFonts w:ascii="Times New Roman;Times;serif" w:hAnsi="Times New Roman;Times;serif"/>
          <w:sz w:val="20"/>
        </w:rPr>
        <w:t>10</w:t>
      </w:r>
      <w:r>
        <w:rPr>
          <w:rFonts w:ascii="Times New Roman;Times;serif" w:hAnsi="Times New Roman;Times;serif"/>
          <w:sz w:val="20"/>
        </w:rPr>
        <w:t>-K for further information regarding the accounting for redeemable noncontrolling interests within earnings per share.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 and the denominator used to calculate basic and diluted earnings per share:</w:t>
      </w:r>
    </w:p>
    <w:p>
      <w:pPr>
        <w:pStyle w:val="TextBody"/>
        <w:bidi w:val="0"/>
        <w:spacing w:before="0" w:after="0"/>
        <w:ind w:left="0" w:right="0" w:hanging="0"/>
        <w:jc w:val="both"/>
        <w:rPr/>
      </w:pPr>
      <w:r>
        <w:rPr/>
        <w:t> </w:t>
      </w:r>
    </w:p>
    <w:tbl>
      <w:tblPr>
        <w:tblW w:w="8335" w:type="dxa"/>
        <w:jc w:val="left"/>
        <w:tblInd w:w="0" w:type="dxa"/>
        <w:tblLayout w:type="fixed"/>
        <w:tblCellMar>
          <w:top w:w="0" w:type="dxa"/>
          <w:left w:w="0" w:type="dxa"/>
          <w:bottom w:w="0" w:type="dxa"/>
          <w:right w:w="0" w:type="dxa"/>
        </w:tblCellMar>
      </w:tblPr>
      <w:tblGrid>
        <w:gridCol w:w="4730"/>
        <w:gridCol w:w="60"/>
        <w:gridCol w:w="125"/>
        <w:gridCol w:w="950"/>
        <w:gridCol w:w="60"/>
        <w:gridCol w:w="60"/>
        <w:gridCol w:w="125"/>
        <w:gridCol w:w="950"/>
        <w:gridCol w:w="60"/>
        <w:gridCol w:w="60"/>
        <w:gridCol w:w="125"/>
        <w:gridCol w:w="950"/>
        <w:gridCol w:w="80"/>
      </w:tblGrid>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value adjustment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(11,517</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income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203,089</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58,523,642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59,559,797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61,265,060</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compensation awards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793,327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contingently issued shares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Weighted average shares,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59,275,781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60,350,412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62,058,387</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common shareholders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96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December 31, 2024</w:t>
            </w:r>
            <w:r>
              <w:rPr>
                <w:rFonts w:ascii="Times New Roman;Times;serif" w:hAnsi="Times New Roman;Times;serif"/>
                <w:sz w:val="20"/>
              </w:rPr>
              <w:t xml:space="preserve">, and </w:t>
            </w:r>
            <w:r>
              <w:rPr>
                <w:rStyle w:val="Emphasis"/>
                <w:rFonts w:ascii="Times New Roman;Times;serif" w:hAnsi="Times New Roman;Times;serif"/>
                <w:sz w:val="20"/>
              </w:rPr>
              <w:t>December 31, 2023</w:t>
            </w:r>
            <w:r>
              <w:rPr>
                <w:rFonts w:ascii="Times New Roman;Times;serif" w:hAnsi="Times New Roman;Times;serif"/>
                <w:sz w:val="20"/>
              </w:rPr>
              <w:t>, excludes approximately</w:t>
            </w:r>
            <w:r>
              <w:rPr>
                <w:rFonts w:ascii="Times New Roman;Times;serif" w:hAnsi="Times New Roman;Times;serif"/>
                <w:color w:val="000000"/>
                <w:sz w:val="20"/>
              </w:rPr>
              <w:t xml:space="preserve"> </w:t>
            </w:r>
            <w:r>
              <w:rPr>
                <w:rFonts w:ascii="Times New Roman;Times;serif" w:hAnsi="Times New Roman;Times;serif"/>
                <w:color w:val="000000"/>
                <w:sz w:val="20"/>
                <w:shd w:fill="FFFFFF" w:val="clear"/>
              </w:rPr>
              <w:t>300,000, </w:t>
            </w:r>
            <w:r>
              <w:rPr>
                <w:rFonts w:ascii="Times New Roman;Times;serif" w:hAnsi="Times New Roman;Times;serif"/>
                <w:color w:val="000000"/>
                <w:sz w:val="20"/>
              </w:rPr>
              <w:t>428,000</w:t>
            </w:r>
            <w:r>
              <w:rPr>
                <w:rFonts w:ascii="Times New Roman;Times;serif" w:hAnsi="Times New Roman;Times;serif"/>
                <w:sz w:val="20"/>
              </w:rPr>
              <w:t xml:space="preserve"> and 348,000 stock options and restricted stock awards, respectively, as the impact of such awards was anti-dilutive.</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provision for income taxes consists of the following:</w:t>
      </w:r>
    </w:p>
    <w:p>
      <w:pPr>
        <w:pStyle w:val="TextBody"/>
        <w:bidi w:val="0"/>
        <w:spacing w:before="0" w:after="0"/>
        <w:ind w:left="0" w:right="0" w:hanging="0"/>
        <w:jc w:val="both"/>
        <w:rPr/>
      </w:pPr>
      <w:r>
        <w:rPr/>
        <w:t> </w:t>
      </w:r>
    </w:p>
    <w:tbl>
      <w:tblPr>
        <w:tblW w:w="9245" w:type="dxa"/>
        <w:jc w:val="left"/>
        <w:tblInd w:w="0" w:type="dxa"/>
        <w:tblLayout w:type="fixed"/>
        <w:tblCellMar>
          <w:top w:w="0" w:type="dxa"/>
          <w:left w:w="0" w:type="dxa"/>
          <w:bottom w:w="0" w:type="dxa"/>
          <w:right w:w="0" w:type="dxa"/>
        </w:tblCellMar>
      </w:tblPr>
      <w:tblGrid>
        <w:gridCol w:w="6365"/>
        <w:gridCol w:w="60"/>
        <w:gridCol w:w="125"/>
        <w:gridCol w:w="695"/>
        <w:gridCol w:w="80"/>
        <w:gridCol w:w="60"/>
        <w:gridCol w:w="125"/>
        <w:gridCol w:w="695"/>
        <w:gridCol w:w="80"/>
        <w:gridCol w:w="60"/>
        <w:gridCol w:w="125"/>
        <w:gridCol w:w="695"/>
        <w:gridCol w:w="80"/>
      </w:tblGrid>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continuing operations before income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ind w:left="0" w:right="0" w:firstLine="180"/>
              <w:jc w:val="left"/>
              <w:rPr/>
            </w:pPr>
            <w:r>
              <w:rPr/>
              <w:t> </w:t>
            </w:r>
          </w:p>
        </w:tc>
        <w:tc>
          <w:tcPr>
            <w:tcW w:w="80" w:type="dxa"/>
            <w:tcBorders/>
            <w:shd w:fill="CCEEFF" w:val="clear"/>
            <w:vAlign w:val="center"/>
          </w:tcPr>
          <w:p>
            <w:pPr>
              <w:pStyle w:val="TableContents"/>
              <w:bidi w:val="0"/>
              <w:spacing w:before="0" w:after="0"/>
              <w:jc w:val="left"/>
              <w:rPr/>
            </w:pPr>
            <w:r>
              <w:rPr/>
              <w:t> </w:t>
            </w:r>
          </w:p>
        </w:tc>
      </w:tr>
      <w:tr>
        <w:trPr/>
        <w:tc>
          <w:tcPr>
            <w:tcW w:w="6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U.S. 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218,371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71,929</w:t>
            </w:r>
          </w:p>
        </w:tc>
        <w:tc>
          <w:tcPr>
            <w:tcW w:w="80" w:type="dxa"/>
            <w:tcBorders/>
            <w:shd w:fill="CCEEFF" w:val="clear"/>
            <w:vAlign w:val="center"/>
          </w:tcPr>
          <w:p>
            <w:pPr>
              <w:pStyle w:val="TableContents"/>
              <w:bidi w:val="0"/>
              <w:spacing w:before="0" w:after="0"/>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290,300</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 (benefit)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71,741</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13,802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22,115</w:t>
            </w:r>
          </w:p>
        </w:tc>
        <w:tc>
          <w:tcPr>
            <w:tcW w:w="80" w:type="dxa"/>
            <w:tcBorders/>
            <w:shd w:fill="FFFFFF" w:val="clear"/>
            <w:vAlign w:val="center"/>
          </w:tcPr>
          <w:p>
            <w:pPr>
              <w:pStyle w:val="TableContents"/>
              <w:bidi w:val="0"/>
              <w:spacing w:before="0" w:after="0"/>
              <w:jc w:val="left"/>
              <w:rPr/>
            </w:pPr>
            <w:r>
              <w:rPr/>
              <w:t> </w:t>
            </w:r>
          </w:p>
        </w:tc>
      </w:tr>
      <w:tr>
        <w:trPr/>
        <w:tc>
          <w:tcPr>
            <w:tcW w:w="6365"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current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107,658</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Total deferred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(60,704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45,237</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State and local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92,371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72,682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shd w:fill="FFFFFF" w:val="clear"/>
            <w:vAlign w:val="center"/>
          </w:tcPr>
          <w:p>
            <w:pPr>
              <w:pStyle w:val="TableContents"/>
              <w:bidi w:val="0"/>
              <w:spacing w:before="0" w:after="0"/>
              <w:jc w:val="left"/>
              <w:rPr/>
            </w:pPr>
            <w:r>
              <w:rPr/>
              <w:t> </w:t>
            </w:r>
          </w:p>
        </w:tc>
      </w:tr>
      <w:tr>
        <w:trPr/>
        <w:tc>
          <w:tcPr>
            <w:tcW w:w="636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files U.S. federal, U.S. state and foreign jurisdiction tax returns which are subject to examination up to the expiration of the statute of limitations. The Company believes the tax positions taken on its returns would be sustained upon an exam, or where a position is uncertain, adequate reserves have been recorded.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income tax examinations for United States federal income taxes for tax years prior to 2021. For Wisconsin state income taxes, the statute of limitation is generally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years from the date the tax return is filed, unless the Company carries over certain tax attributes that were generated in prior years (e.g., net operating losses and R&amp;D credits), then the state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review those years to validate the tax attributes.  The Company has utilized net operating losses or R&amp;D credits on their state income tax returns since </w:t>
      </w:r>
      <w:r>
        <w:rPr>
          <w:rStyle w:val="Emphasis"/>
          <w:rFonts w:ascii="Times New Roman" w:hAnsi="Times New Roman"/>
          <w:caps w:val="false"/>
          <w:smallCaps w:val="false"/>
          <w:sz w:val="20"/>
        </w:rPr>
        <w:t>2007.</w:t>
      </w:r>
      <w:r>
        <w:rPr>
          <w:rFonts w:ascii="Times New Roman" w:hAnsi="Times New Roman"/>
          <w:caps w:val="false"/>
          <w:smallCaps w:val="false"/>
          <w:sz w:val="20"/>
        </w:rPr>
        <w:t xml:space="preserve">   In addition, the Company is subject to audit by various foreign taxing jurisdictions for tax years 2014 through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regularly under tax return examination by tax authorities in the various jurisdictions in which we operate. The Company is actively managing the examinations and working to address any open matters. While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any material taxes or penalties are due, there is a possibility that the ultimate tax outcome of an examination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differences from what was recorded. Such differences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the provision for income taxes in the period in which the determination is made and could impact the Company’s financial results.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Significant components of deferred tax assets and liabilities are as follows:</w:t>
      </w:r>
    </w:p>
    <w:p>
      <w:pPr>
        <w:pStyle w:val="TextBody"/>
        <w:bidi w:val="0"/>
        <w:spacing w:before="0" w:after="0"/>
        <w:ind w:left="0" w:right="0" w:hanging="0"/>
        <w:jc w:val="both"/>
        <w:rPr/>
      </w:pPr>
      <w:r>
        <w:rPr/>
        <w:t> </w:t>
      </w:r>
    </w:p>
    <w:tbl>
      <w:tblPr>
        <w:tblW w:w="5285" w:type="dxa"/>
        <w:jc w:val="left"/>
        <w:tblInd w:w="0" w:type="dxa"/>
        <w:tblLayout w:type="fixed"/>
        <w:tblCellMar>
          <w:top w:w="0" w:type="dxa"/>
          <w:left w:w="0" w:type="dxa"/>
          <w:bottom w:w="0" w:type="dxa"/>
          <w:right w:w="0" w:type="dxa"/>
        </w:tblCellMar>
      </w:tblPr>
      <w:tblGrid>
        <w:gridCol w:w="3365"/>
        <w:gridCol w:w="60"/>
        <w:gridCol w:w="125"/>
        <w:gridCol w:w="695"/>
        <w:gridCol w:w="80"/>
        <w:gridCol w:w="60"/>
        <w:gridCol w:w="125"/>
        <w:gridCol w:w="695"/>
        <w:gridCol w:w="8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43,261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16,959</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loss and credit carryforwards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50,327</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Debt refinancing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Bad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13,031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Capitalized R&amp;D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98,323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(5,225</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284,933</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Goodwill and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234,271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49,935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Swap, Derivative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3,284</w:t>
            </w:r>
          </w:p>
        </w:tc>
        <w:tc>
          <w:tcPr>
            <w:tcW w:w="80" w:type="dxa"/>
            <w:tcBorders/>
            <w:shd w:fill="CCEEFF" w:val="clear"/>
            <w:vAlign w:val="center"/>
          </w:tcPr>
          <w:p>
            <w:pPr>
              <w:pStyle w:val="TableContents"/>
              <w:bidi w:val="0"/>
              <w:spacing w:before="0" w:after="0"/>
              <w:jc w:val="left"/>
              <w:rPr/>
            </w:pPr>
            <w:r>
              <w:rPr/>
              <w:t> </w:t>
            </w:r>
          </w:p>
        </w:tc>
      </w:tr>
      <w:tr>
        <w:trPr/>
        <w:tc>
          <w:tcPr>
            <w:tcW w:w="336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293,986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deferred tax a</w:t>
      </w:r>
      <w:r>
        <w:rPr>
          <w:rFonts w:ascii="Times New Roman;Times;serif" w:hAnsi="Times New Roman;Times;serif"/>
          <w:sz w:val="20"/>
          <w:shd w:fill="FFFFFF" w:val="clear"/>
        </w:rPr>
        <w:t>ssets of $41,949 and</w:t>
      </w:r>
      <w:r>
        <w:rPr>
          <w:rFonts w:ascii="Times New Roman;Times;serif" w:hAnsi="Times New Roman;Times;serif"/>
          <w:sz w:val="20"/>
        </w:rPr>
        <w:t xml:space="preserve"> $24,132, and deferred tax liabilities of $60,913 and $33,185, respectively, were reflected in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a $6,538 valuation allowance against the deferred tax assets primarily related to certain tax loss carryforwards which </w:t>
      </w:r>
      <w:r>
        <w:rPr>
          <w:rStyle w:val="Emphasis"/>
          <w:rFonts w:ascii="Times New Roman;Times;serif" w:hAnsi="Times New Roman;Times;serif"/>
          <w:sz w:val="20"/>
        </w:rPr>
        <w:t>may not</w:t>
      </w:r>
      <w:r>
        <w:rPr>
          <w:rFonts w:ascii="Times New Roman;Times;serif" w:hAnsi="Times New Roman;Times;serif"/>
          <w:sz w:val="20"/>
        </w:rPr>
        <w:t xml:space="preserve"> be realized. Realization of the deferred income tax asset related to the tax loss carryforward is dependent upon generating sufficient taxable income in these jurisdictions prior to their expiration. During </w:t>
      </w:r>
      <w:r>
        <w:rPr>
          <w:rStyle w:val="Emphasis"/>
          <w:rFonts w:ascii="Times New Roman;Times;serif" w:hAnsi="Times New Roman;Times;serif"/>
          <w:sz w:val="20"/>
        </w:rPr>
        <w:t>2025,</w:t>
      </w:r>
      <w:r>
        <w:rPr>
          <w:rFonts w:ascii="Times New Roman;Times;serif" w:hAnsi="Times New Roman;Times;serif"/>
          <w:sz w:val="20"/>
        </w:rPr>
        <w:t xml:space="preserve"> the valuation allowance increased by $1,313 on our deferred tax assets where we believe the tax asset </w:t>
      </w:r>
      <w:r>
        <w:rPr>
          <w:rStyle w:val="Emphasis"/>
          <w:rFonts w:ascii="Times New Roman;Times;serif" w:hAnsi="Times New Roman;Times;serif"/>
          <w:sz w:val="20"/>
        </w:rPr>
        <w:t>may not</w:t>
      </w:r>
      <w:r>
        <w:rPr>
          <w:rFonts w:ascii="Times New Roman;Times;serif" w:hAnsi="Times New Roman;Times;serif"/>
          <w:sz w:val="20"/>
        </w:rPr>
        <w:t xml:space="preserve"> be fully utilized.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December 31, 2025</w:t>
      </w:r>
      <w:r>
        <w:rPr>
          <w:rFonts w:ascii="Times New Roman;Times;serif" w:hAnsi="Times New Roman;Times;serif"/>
          <w:sz w:val="20"/>
        </w:rPr>
        <w:t xml:space="preserve">, the Company had tax loss carryforwards of approximately $197,981, which have varying expiration periods ranging from </w:t>
      </w:r>
      <w:r>
        <w:rPr>
          <w:rStyle w:val="Emphasis"/>
          <w:rFonts w:ascii="Times New Roman;Times;serif" w:hAnsi="Times New Roman;Times;serif"/>
          <w:sz w:val="20"/>
        </w:rPr>
        <w:t>2025</w:t>
      </w:r>
      <w:r>
        <w:rPr>
          <w:rFonts w:ascii="Times New Roman;Times;serif" w:hAnsi="Times New Roman;Times;serif"/>
          <w:sz w:val="20"/>
        </w:rPr>
        <w:t> to indefinite. For carryforward amounts which the Company believes the losses will expire prior to use, a valuation allowance has been established. For all other carryforwards, the Company believes it will generate sufficient taxable income in these jurisdictions to utilize its loss carryforwards prior to their expiration.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December 31, 2025</w:t>
      </w:r>
      <w:r>
        <w:rPr>
          <w:rFonts w:ascii="Times New Roman;Times;serif" w:hAnsi="Times New Roman;Times;serif"/>
          <w:sz w:val="20"/>
        </w:rPr>
        <w:t>, the Company had state manufacturing investment tax credit carryforwards of app</w:t>
      </w:r>
      <w:r>
        <w:rPr>
          <w:rFonts w:ascii="Times New Roman;Times;serif" w:hAnsi="Times New Roman;Times;serif"/>
          <w:sz w:val="20"/>
          <w:shd w:fill="FFFFFF" w:val="clear"/>
        </w:rPr>
        <w:t xml:space="preserve">roximately $31,871, which expire between </w:t>
      </w:r>
      <w:r>
        <w:rPr>
          <w:rStyle w:val="Emphasis"/>
          <w:rFonts w:ascii="Times New Roman;Times;serif" w:hAnsi="Times New Roman;Times;serif"/>
          <w:sz w:val="20"/>
          <w:shd w:fill="FFFFFF" w:val="clear"/>
        </w:rPr>
        <w:t>2028</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2040.</w:t>
      </w:r>
      <w:r>
        <w:rPr>
          <w:rFonts w:ascii="Times New Roman;Times;serif" w:hAnsi="Times New Roman;Times;serif"/>
          <w:sz w:val="20"/>
          <w:shd w:fill="FFFFFF" w:val="clear"/>
        </w:rPr>
        <w:t xml:space="preserve"> T</w:t>
      </w:r>
      <w:r>
        <w:rPr>
          <w:rFonts w:ascii="Times New Roman;Times;serif" w:hAnsi="Times New Roman;Times;serif"/>
          <w:sz w:val="20"/>
        </w:rPr>
        <w:t>he Company believes it will generate sufficient taxable income in these jurisdictions to fully utilize the credits prior to their expiration.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Company’s gross liability for unrecognized tax benefits, excluding interest and penalties, were as follows:</w:t>
      </w:r>
    </w:p>
    <w:p>
      <w:pPr>
        <w:pStyle w:val="TextBody"/>
        <w:bidi w:val="0"/>
        <w:spacing w:before="0" w:after="0"/>
        <w:ind w:left="0" w:right="0" w:hanging="0"/>
        <w:jc w:val="both"/>
        <w:rPr/>
      </w:pPr>
      <w:r>
        <w:rPr/>
        <w:t> </w:t>
      </w:r>
    </w:p>
    <w:tbl>
      <w:tblPr>
        <w:tblW w:w="7805" w:type="dxa"/>
        <w:jc w:val="left"/>
        <w:tblInd w:w="0" w:type="dxa"/>
        <w:tblLayout w:type="fixed"/>
        <w:tblCellMar>
          <w:top w:w="0" w:type="dxa"/>
          <w:left w:w="0" w:type="dxa"/>
          <w:bottom w:w="0" w:type="dxa"/>
          <w:right w:w="0" w:type="dxa"/>
        </w:tblCellMar>
      </w:tblPr>
      <w:tblGrid>
        <w:gridCol w:w="6095"/>
        <w:gridCol w:w="60"/>
        <w:gridCol w:w="125"/>
        <w:gridCol w:w="590"/>
        <w:gridCol w:w="80"/>
        <w:gridCol w:w="60"/>
        <w:gridCol w:w="125"/>
        <w:gridCol w:w="590"/>
        <w:gridCol w:w="80"/>
      </w:tblGrid>
      <w:tr>
        <w:trPr/>
        <w:tc>
          <w:tcPr>
            <w:tcW w:w="6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9,703</w:t>
            </w:r>
          </w:p>
        </w:tc>
        <w:tc>
          <w:tcPr>
            <w:tcW w:w="8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Increase in unrecognized tax benefit for positions taken in prior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1,068</w:t>
            </w:r>
          </w:p>
        </w:tc>
        <w:tc>
          <w:tcPr>
            <w:tcW w:w="80" w:type="dxa"/>
            <w:tcBorders/>
            <w:shd w:fill="FFFFFF" w:val="clear"/>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Increase in unrecognized tax benefit for positions taken in current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80" w:type="dxa"/>
            <w:tcBorders/>
            <w:shd w:fill="CCEEFF" w:val="clear"/>
            <w:vAlign w:val="center"/>
          </w:tcPr>
          <w:p>
            <w:pPr>
              <w:pStyle w:val="TableContents"/>
              <w:bidi w:val="0"/>
              <w:spacing w:before="0" w:after="283"/>
              <w:jc w:val="left"/>
              <w:rPr/>
            </w:pPr>
            <w:r>
              <w:rPr/>
              <w:t> </w:t>
            </w:r>
          </w:p>
        </w:tc>
      </w:tr>
      <w:tr>
        <w:trPr/>
        <w:tc>
          <w:tcPr>
            <w:tcW w:w="609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Statute of limitation expirations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r>
        <w:trPr/>
        <w:tc>
          <w:tcPr>
            <w:tcW w:w="60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unrecognized tax benefit 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if recognized, would favorably impact the effective tax rate.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total accrued interest of approximately $1,736 and $1,142, respectively, and accrued penalties of approximately</w:t>
      </w:r>
      <w:r>
        <w:rPr>
          <w:rFonts w:ascii="Times New Roman;Times;serif" w:hAnsi="Times New Roman;Times;serif"/>
          <w:sz w:val="20"/>
          <w:shd w:fill="FFFFFF" w:val="clear"/>
        </w:rPr>
        <w:t xml:space="preserve"> $1,080</w:t>
      </w:r>
      <w:r>
        <w:rPr>
          <w:rFonts w:ascii="Times New Roman;Times;serif" w:hAnsi="Times New Roman;Times;serif"/>
          <w:sz w:val="20"/>
        </w:rPr>
        <w:t> and $954, respectively, associated with net unrecognized tax benefits are included in the consolidated balance sheets. Interest and penalties are recorded as a component of income tax expense.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does </w:t>
      </w:r>
      <w:r>
        <w:rPr>
          <w:rStyle w:val="Emphasis"/>
          <w:rFonts w:ascii="Times New Roman;Times;serif" w:hAnsi="Times New Roman;Times;serif"/>
          <w:sz w:val="20"/>
        </w:rPr>
        <w:t>not</w:t>
      </w:r>
      <w:r>
        <w:rPr>
          <w:rFonts w:ascii="Times New Roman;Times;serif" w:hAnsi="Times New Roman;Times;serif"/>
          <w:sz w:val="20"/>
        </w:rPr>
        <w:t xml:space="preserve"> expect a significant change to the total amount of unrecognized tax benefits during the fiscal year ending </w:t>
      </w:r>
      <w:r>
        <w:rPr>
          <w:rStyle w:val="Emphasis"/>
          <w:rFonts w:ascii="Times New Roman;Times;serif" w:hAnsi="Times New Roman;Times;serif"/>
          <w:sz w:val="20"/>
        </w:rPr>
        <w:t>December 31,</w:t>
      </w:r>
      <w:r>
        <w:rPr>
          <w:rFonts w:ascii="Times New Roman;Times;serif" w:hAnsi="Times New Roman;Times;serif"/>
          <w:sz w:val="20"/>
        </w:rPr>
        <w:t xml:space="preserve"> </w:t>
      </w:r>
      <w:r>
        <w:rPr>
          <w:rStyle w:val="Emphasis"/>
          <w:rFonts w:ascii="Times New Roman;Times;serif" w:hAnsi="Times New Roman;Times;serif"/>
          <w:sz w:val="20"/>
        </w:rPr>
        <w:t>2026.</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A reconciliation of the U.S. federal statutory tax rate to the effective tax rate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is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270"/>
        <w:gridCol w:w="60"/>
        <w:gridCol w:w="125"/>
        <w:gridCol w:w="695"/>
        <w:gridCol w:w="80"/>
        <w:gridCol w:w="60"/>
        <w:gridCol w:w="60"/>
        <w:gridCol w:w="380"/>
        <w:gridCol w:w="185"/>
        <w:gridCol w:w="60"/>
        <w:gridCol w:w="125"/>
        <w:gridCol w:w="695"/>
        <w:gridCol w:w="80"/>
        <w:gridCol w:w="60"/>
        <w:gridCol w:w="60"/>
        <w:gridCol w:w="380"/>
        <w:gridCol w:w="185"/>
        <w:gridCol w:w="60"/>
        <w:gridCol w:w="125"/>
        <w:gridCol w:w="695"/>
        <w:gridCol w:w="80"/>
        <w:gridCol w:w="60"/>
        <w:gridCol w:w="60"/>
        <w:gridCol w:w="380"/>
        <w:gridCol w:w="185"/>
      </w:tblGrid>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provision at the U.S. federal statutory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U.S.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Worthless Stock Deduction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Effect of changes in tax laws or rates enacted in current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Effects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 net of federal income tax benefit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unrecognized tax benefits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33"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During the year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state taxes and credits in South Carolina, Wisconsin, California, Illinois, Pennsylvania, New York, Georgia, Michigan, New Jersey, Florida, Massachusetts, Texas, Indiana, Maine, Connecticut comprised greater than </w:t>
            </w:r>
            <w:r>
              <w:rPr>
                <w:rStyle w:val="Emphasis"/>
                <w:rFonts w:ascii="Times New Roman;Times;serif" w:hAnsi="Times New Roman;Times;serif"/>
                <w:sz w:val="20"/>
              </w:rPr>
              <w:t>50%</w:t>
            </w:r>
            <w:r>
              <w:rPr>
                <w:rFonts w:ascii="Times New Roman;Times;serif" w:hAnsi="Times New Roman;Times;serif"/>
                <w:sz w:val="20"/>
              </w:rPr>
              <w:t xml:space="preserve"> of the tax effect in this category.</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 paid are as follows:</w:t>
      </w:r>
    </w:p>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2330"/>
        <w:gridCol w:w="60"/>
        <w:gridCol w:w="125"/>
        <w:gridCol w:w="590"/>
        <w:gridCol w:w="60"/>
        <w:gridCol w:w="60"/>
        <w:gridCol w:w="125"/>
        <w:gridCol w:w="695"/>
        <w:gridCol w:w="60"/>
        <w:gridCol w:w="60"/>
        <w:gridCol w:w="125"/>
        <w:gridCol w:w="695"/>
        <w:gridCol w:w="75"/>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32,886</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U.S. State and Local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12,003</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United Kingdom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5,951</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Canada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36,560</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12,682</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Foreign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55,193</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taxes paid,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52" w:type="dxa"/>
            <w:tcBorders/>
            <w:vAlign w:val="center"/>
          </w:tcPr>
          <w:p>
            <w:pPr>
              <w:pStyle w:val="TableContents"/>
              <w:bidi w:val="0"/>
              <w:spacing w:before="0" w:after="283"/>
              <w:jc w:val="left"/>
              <w:rPr/>
            </w:pPr>
            <w:r>
              <w:rPr/>
              <w:t xml:space="preserve">The amount of income taxes paid during the year ended </w:t>
            </w:r>
            <w:r>
              <w:rPr>
                <w:rStyle w:val="Emphasis"/>
              </w:rPr>
              <w:t xml:space="preserve">December 31, 2024 </w:t>
            </w:r>
            <w:r>
              <w:rPr/>
              <w:t xml:space="preserve">does </w:t>
            </w:r>
            <w:r>
              <w:rPr>
                <w:rStyle w:val="Emphasis"/>
              </w:rPr>
              <w:t>not</w:t>
            </w:r>
            <w:r>
              <w:rPr/>
              <w:t xml:space="preserve"> meet the </w:t>
            </w:r>
            <w:r>
              <w:rPr>
                <w:rStyle w:val="Emphasis"/>
              </w:rPr>
              <w:t>5%</w:t>
            </w:r>
            <w:r>
              <w:rPr/>
              <w:t xml:space="preserve"> disaggregation threshold.</w:t>
            </w:r>
          </w:p>
        </w:tc>
      </w:tr>
      <w:tr>
        <w:trPr/>
        <w:tc>
          <w:tcPr>
            <w:tcW w:w="253" w:type="dxa"/>
            <w:tcBorders/>
            <w:vAlign w:val="center"/>
          </w:tcPr>
          <w:p>
            <w:pPr>
              <w:pStyle w:val="TableContents"/>
              <w:bidi w:val="0"/>
              <w:spacing w:before="0" w:after="283"/>
              <w:jc w:val="left"/>
              <w:rPr/>
            </w:pPr>
            <w:r>
              <w:rPr/>
              <w:t>(</w:t>
            </w:r>
            <w:r>
              <w:rPr>
                <w:rStyle w:val="Emphasis"/>
              </w:rPr>
              <w:t>2</w:t>
            </w:r>
            <w:r>
              <w:rPr/>
              <w:t>)</w:t>
            </w:r>
          </w:p>
        </w:tc>
        <w:tc>
          <w:tcPr>
            <w:tcW w:w="9952" w:type="dxa"/>
            <w:tcBorders/>
            <w:vAlign w:val="center"/>
          </w:tcPr>
          <w:p>
            <w:pPr>
              <w:pStyle w:val="TableContents"/>
              <w:bidi w:val="0"/>
              <w:spacing w:before="0" w:after="283"/>
              <w:jc w:val="left"/>
              <w:rPr/>
            </w:pPr>
            <w:r>
              <w:rPr/>
              <w:t xml:space="preserve">The amount of income taxes paid during the years ended </w:t>
            </w:r>
            <w:r>
              <w:rPr>
                <w:rStyle w:val="Emphasis"/>
              </w:rPr>
              <w:t xml:space="preserve">December 31, 2025 </w:t>
            </w:r>
            <w:r>
              <w:rPr/>
              <w:t xml:space="preserve">and </w:t>
            </w:r>
            <w:r>
              <w:rPr>
                <w:rStyle w:val="Emphasis"/>
              </w:rPr>
              <w:t>2024</w:t>
            </w:r>
            <w:r>
              <w:rPr/>
              <w:t xml:space="preserve"> does </w:t>
            </w:r>
            <w:r>
              <w:rPr>
                <w:rStyle w:val="Emphasis"/>
              </w:rPr>
              <w:t>not</w:t>
            </w:r>
            <w:r>
              <w:rPr/>
              <w:t xml:space="preserve"> meet the </w:t>
            </w:r>
            <w:r>
              <w:rPr>
                <w:rStyle w:val="Emphasis"/>
              </w:rPr>
              <w:t>5%</w:t>
            </w:r>
            <w:r>
              <w:rPr/>
              <w:t xml:space="preserve"> disaggregation threshold.</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11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Benefit Plans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Medical and Dental Plans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medical and dental benefit plans covering its full-time U.S. employees and their dependents. These plans are partially or fully self-funded under which participant claims are obligations of the plan. These plans are funded through employer and employee contributions at a level sufficient to pay for the benefits provided by the plan. </w:t>
      </w:r>
      <w:r>
        <w:rPr>
          <w:rFonts w:ascii="Times New Roman;Times;serif" w:hAnsi="Times New Roman;Times;serif"/>
          <w:color w:val="000000"/>
          <w:sz w:val="20"/>
        </w:rPr>
        <w:t xml:space="preserve">The Company’s contributions to the plans were $33,163, </w:t>
      </w:r>
      <w:r>
        <w:rPr>
          <w:rFonts w:ascii="Times New Roman;Times;serif" w:hAnsi="Times New Roman;Times;serif"/>
          <w:sz w:val="20"/>
        </w:rPr>
        <w:t xml:space="preserve">$32,964, and $26,090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Employees of the Company’s foreign subsidiaries participate in government sponsored medical benefit plans and other local plans. In certain cases, the Company purchases supplemental medical coverage for certain employees at these foreign locations. The expenses related to these plans are </w:t>
      </w:r>
      <w:r>
        <w:rPr>
          <w:rStyle w:val="Emphasis"/>
          <w:rFonts w:ascii="Times New Roman;Times;serif" w:hAnsi="Times New Roman;Times;serif"/>
          <w:sz w:val="20"/>
        </w:rPr>
        <w:t>not</w:t>
      </w:r>
      <w:r>
        <w:rPr>
          <w:rFonts w:ascii="Times New Roman;Times;serif" w:hAnsi="Times New Roman;Times;serif"/>
          <w:sz w:val="20"/>
        </w:rPr>
        <w:t xml:space="preserve"> material to the Company’s consolidated financial statements.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Savings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maintains a defined-contribution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savings plan for eligible U.S. employees. Under the plan, 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defer receipt of a portion of their eligible compensation.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a matching contribution of 50%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8% of eligible compensation of employees that is deferred.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contribute a non-elective contribution for eligible employees employed on </w:t>
      </w:r>
      <w:r>
        <w:rPr>
          <w:rStyle w:val="Emphasis"/>
          <w:rFonts w:ascii="Times New Roman" w:hAnsi="Times New Roman"/>
          <w:caps w:val="false"/>
          <w:smallCaps w:val="false"/>
          <w:sz w:val="20"/>
        </w:rPr>
        <w:t xml:space="preserve">December 31, 2008, </w:t>
      </w:r>
      <w:r>
        <w:rPr>
          <w:rFonts w:ascii="Times New Roman" w:hAnsi="Times New Roman"/>
          <w:caps w:val="false"/>
          <w:smallCaps w:val="false"/>
          <w:sz w:val="20"/>
        </w:rPr>
        <w:t xml:space="preserve">that were impacted by the freezing of the Company’s pension plans. The Company’s matching contributions are subject to vesting. Forfeitures of unvested company contributions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applied against plan expenses and future Company contributions. The Company recognized </w:t>
      </w:r>
      <w:r>
        <w:rPr>
          <w:rFonts w:ascii="Times New Roman" w:hAnsi="Times New Roman"/>
          <w:caps w:val="false"/>
          <w:smallCaps w:val="false"/>
          <w:color w:val="000000"/>
          <w:sz w:val="20"/>
        </w:rPr>
        <w:t>$9,316,</w:t>
      </w:r>
      <w:r>
        <w:rPr>
          <w:rFonts w:ascii="Times New Roman" w:hAnsi="Times New Roman"/>
          <w:caps w:val="false"/>
          <w:smallCaps w:val="false"/>
          <w:sz w:val="20"/>
        </w:rPr>
        <w:t xml:space="preserve"> $7,779, and $3,735 of expense related to these plans for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1300" w:type="dxa"/>
        <w:jc w:val="left"/>
        <w:tblInd w:w="0" w:type="dxa"/>
        <w:tblLayout w:type="fixed"/>
        <w:tblCellMar>
          <w:top w:w="0" w:type="dxa"/>
          <w:left w:w="0" w:type="dxa"/>
          <w:bottom w:w="0" w:type="dxa"/>
          <w:right w:w="0" w:type="dxa"/>
        </w:tblCellMar>
      </w:tblPr>
      <w:tblGrid>
        <w:gridCol w:w="275"/>
        <w:gridCol w:w="102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17.</w:t>
            </w:r>
          </w:p>
        </w:tc>
        <w:tc>
          <w:tcPr>
            <w:tcW w:w="10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Plans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adopted an equity incentive plan (the </w:t>
      </w:r>
      <w:r>
        <w:rPr>
          <w:rStyle w:val="Emphasis"/>
          <w:rFonts w:ascii="Times New Roman;Times;serif" w:hAnsi="Times New Roman;Times;serif"/>
          <w:sz w:val="20"/>
        </w:rPr>
        <w:t>2010</w:t>
      </w:r>
      <w:r>
        <w:rPr>
          <w:rFonts w:ascii="Times New Roman;Times;serif" w:hAnsi="Times New Roman;Times;serif"/>
          <w:sz w:val="20"/>
        </w:rPr>
        <w:t xml:space="preserve"> Plan) on </w:t>
      </w:r>
      <w:r>
        <w:rPr>
          <w:rStyle w:val="Emphasis"/>
          <w:rFonts w:ascii="Times New Roman;Times;serif" w:hAnsi="Times New Roman;Times;serif"/>
          <w:sz w:val="20"/>
        </w:rPr>
        <w:t xml:space="preserve">February 10, 2010, </w:t>
      </w:r>
      <w:r>
        <w:rPr>
          <w:rFonts w:ascii="Times New Roman;Times;serif" w:hAnsi="Times New Roman;Times;serif"/>
          <w:sz w:val="20"/>
        </w:rPr>
        <w:t xml:space="preserve">in connection with its initial public offering. The </w:t>
      </w:r>
      <w:r>
        <w:rPr>
          <w:rStyle w:val="Emphasis"/>
          <w:rFonts w:ascii="Times New Roman;Times;serif" w:hAnsi="Times New Roman;Times;serif"/>
          <w:sz w:val="20"/>
        </w:rPr>
        <w:t>2010</w:t>
      </w:r>
      <w:r>
        <w:rPr>
          <w:rFonts w:ascii="Times New Roman;Times;serif" w:hAnsi="Times New Roman;Times;serif"/>
          <w:sz w:val="20"/>
        </w:rPr>
        <w:t xml:space="preserve"> Plan, as amended, allowed for the grant of up to 9.1 million share-based awards to executives, directors, and employees. Awards available for grant under the </w:t>
      </w:r>
      <w:r>
        <w:rPr>
          <w:rStyle w:val="Emphasis"/>
          <w:rFonts w:ascii="Times New Roman;Times;serif" w:hAnsi="Times New Roman;Times;serif"/>
          <w:sz w:val="20"/>
        </w:rPr>
        <w:t>2010</w:t>
      </w:r>
      <w:r>
        <w:rPr>
          <w:rFonts w:ascii="Times New Roman;Times;serif" w:hAnsi="Times New Roman;Times;serif"/>
          <w:sz w:val="20"/>
        </w:rPr>
        <w:t xml:space="preserve"> Plan included stock options, stock appreciation rights, restricted stock, other share-based awards and performance-based compensation awards. New grants under the </w:t>
      </w:r>
      <w:r>
        <w:rPr>
          <w:rStyle w:val="Emphasis"/>
          <w:rFonts w:ascii="Times New Roman;Times;serif" w:hAnsi="Times New Roman;Times;serif"/>
          <w:sz w:val="20"/>
        </w:rPr>
        <w:t>2010</w:t>
      </w:r>
      <w:r>
        <w:rPr>
          <w:rFonts w:ascii="Times New Roman;Times;serif" w:hAnsi="Times New Roman;Times;serif"/>
          <w:sz w:val="20"/>
        </w:rPr>
        <w:t xml:space="preserve"> Plan ceased in </w:t>
      </w:r>
      <w:r>
        <w:rPr>
          <w:rStyle w:val="Emphasis"/>
          <w:rFonts w:ascii="Times New Roman;Times;serif" w:hAnsi="Times New Roman;Times;serif"/>
          <w:sz w:val="20"/>
        </w:rPr>
        <w:t xml:space="preserve">June 2019. </w:t>
      </w:r>
      <w:r>
        <w:rPr>
          <w:rFonts w:ascii="Times New Roman;Times;serif" w:hAnsi="Times New Roman;Times;serif"/>
          <w:sz w:val="20"/>
        </w:rPr>
        <w:t xml:space="preserve">Total share-based compensation expense related to the </w:t>
      </w:r>
      <w:r>
        <w:rPr>
          <w:rStyle w:val="Emphasis"/>
          <w:rFonts w:ascii="Times New Roman;Times;serif" w:hAnsi="Times New Roman;Times;serif"/>
          <w:sz w:val="20"/>
        </w:rPr>
        <w:t>2010</w:t>
      </w:r>
      <w:r>
        <w:rPr>
          <w:rFonts w:ascii="Times New Roman;Times;serif" w:hAnsi="Times New Roman;Times;serif"/>
          <w:sz w:val="20"/>
        </w:rPr>
        <w:t xml:space="preserve"> Plan, net of estimated forfeitures, was $0, $0, and $309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June 13, 2019, </w:t>
      </w:r>
      <w:r>
        <w:rPr>
          <w:rFonts w:ascii="Times New Roman;Times;serif" w:hAnsi="Times New Roman;Times;serif"/>
          <w:sz w:val="20"/>
        </w:rPr>
        <w:t xml:space="preserve">the stockholders of Generac Holdings Inc. approved the Company’s </w:t>
      </w:r>
      <w:r>
        <w:rPr>
          <w:rStyle w:val="Emphasis"/>
          <w:rFonts w:ascii="Times New Roman;Times;serif" w:hAnsi="Times New Roman;Times;serif"/>
          <w:sz w:val="20"/>
        </w:rPr>
        <w:t>2019</w:t>
      </w:r>
      <w:r>
        <w:rPr>
          <w:rFonts w:ascii="Times New Roman;Times;serif" w:hAnsi="Times New Roman;Times;serif"/>
          <w:sz w:val="20"/>
        </w:rPr>
        <w:t xml:space="preserve"> Equity Incentive Plan (the </w:t>
      </w:r>
      <w:r>
        <w:rPr>
          <w:rStyle w:val="Emphasis"/>
          <w:rFonts w:ascii="Times New Roman;Times;serif" w:hAnsi="Times New Roman;Times;serif"/>
          <w:sz w:val="20"/>
        </w:rPr>
        <w:t>2019</w:t>
      </w:r>
      <w:r>
        <w:rPr>
          <w:rFonts w:ascii="Times New Roman;Times;serif" w:hAnsi="Times New Roman;Times;serif"/>
          <w:sz w:val="20"/>
        </w:rPr>
        <w:t xml:space="preserve"> Plan). The </w:t>
      </w:r>
      <w:r>
        <w:rPr>
          <w:rStyle w:val="Emphasis"/>
          <w:rFonts w:ascii="Times New Roman;Times;serif" w:hAnsi="Times New Roman;Times;serif"/>
          <w:sz w:val="20"/>
        </w:rPr>
        <w:t>2019</w:t>
      </w:r>
      <w:r>
        <w:rPr>
          <w:rFonts w:ascii="Times New Roman;Times;serif" w:hAnsi="Times New Roman;Times;serif"/>
          <w:sz w:val="20"/>
        </w:rPr>
        <w:t xml:space="preserve"> Plan allows for the grant of up to 2.7 million share-based awards to executives, directors, and employees. Awards available for grant under the </w:t>
      </w:r>
      <w:r>
        <w:rPr>
          <w:rStyle w:val="Emphasis"/>
          <w:rFonts w:ascii="Times New Roman;Times;serif" w:hAnsi="Times New Roman;Times;serif"/>
          <w:sz w:val="20"/>
        </w:rPr>
        <w:t>2019</w:t>
      </w:r>
      <w:r>
        <w:rPr>
          <w:rFonts w:ascii="Times New Roman;Times;serif" w:hAnsi="Times New Roman;Times;serif"/>
          <w:sz w:val="20"/>
        </w:rPr>
        <w:t xml:space="preserve"> Plan include stock options, stock appreciation rights, restricted stock, other share-based awards and performance-based compensation awards. On </w:t>
      </w:r>
      <w:r>
        <w:rPr>
          <w:rStyle w:val="Emphasis"/>
          <w:rFonts w:ascii="Times New Roman;Times;serif" w:hAnsi="Times New Roman;Times;serif"/>
          <w:sz w:val="20"/>
        </w:rPr>
        <w:t xml:space="preserve">June 13, 2024, </w:t>
      </w:r>
      <w:r>
        <w:rPr>
          <w:rFonts w:ascii="Times New Roman;Times;serif" w:hAnsi="Times New Roman;Times;serif"/>
          <w:sz w:val="20"/>
        </w:rPr>
        <w:t xml:space="preserve">the stockholders of Generac Holdings Inc. approved an amendment to the </w:t>
      </w:r>
      <w:r>
        <w:rPr>
          <w:rStyle w:val="Emphasis"/>
          <w:rFonts w:ascii="Times New Roman;Times;serif" w:hAnsi="Times New Roman;Times;serif"/>
          <w:sz w:val="20"/>
        </w:rPr>
        <w:t>2019</w:t>
      </w:r>
      <w:r>
        <w:rPr>
          <w:rFonts w:ascii="Times New Roman;Times;serif" w:hAnsi="Times New Roman;Times;serif"/>
          <w:sz w:val="20"/>
        </w:rPr>
        <w:t xml:space="preserve"> Plan to increase the number of shares available for issuance by 3.9 million. Total share-based compensation expense related to the </w:t>
      </w:r>
      <w:r>
        <w:rPr>
          <w:rStyle w:val="Emphasis"/>
          <w:rFonts w:ascii="Times New Roman;Times;serif" w:hAnsi="Times New Roman;Times;serif"/>
          <w:sz w:val="20"/>
        </w:rPr>
        <w:t>2019</w:t>
      </w:r>
      <w:r>
        <w:rPr>
          <w:rFonts w:ascii="Times New Roman;Times;serif" w:hAnsi="Times New Roman;Times;serif"/>
          <w:sz w:val="20"/>
        </w:rPr>
        <w:t xml:space="preserve"> Plan, net of estimated forfeitures, was $49,947, $49,248, and $35,183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b/>
          <w:sz w:val="20"/>
        </w:rPr>
        <w:t>Stock Options</w:t>
      </w:r>
      <w:r>
        <w:rPr>
          <w:rFonts w:ascii="Times New Roman;Times;serif" w:hAnsi="Times New Roman;Times;serif"/>
          <w:sz w:val="20"/>
        </w:rPr>
        <w:t xml:space="preserve"> - Stock options granted in </w:t>
      </w:r>
      <w:r>
        <w:rPr>
          <w:rStyle w:val="Emphasis"/>
          <w:rFonts w:ascii="Times New Roman;Times;serif" w:hAnsi="Times New Roman;Times;serif"/>
          <w:sz w:val="20"/>
        </w:rPr>
        <w:t>2025</w:t>
      </w:r>
      <w:r>
        <w:rPr>
          <w:rFonts w:ascii="Times New Roman;Times;serif" w:hAnsi="Times New Roman;Times;serif"/>
          <w:sz w:val="20"/>
        </w:rPr>
        <w:t xml:space="preserve"> have an exercise price of $135.79 per share; stock options granted in </w:t>
      </w:r>
      <w:r>
        <w:rPr>
          <w:rStyle w:val="Emphasis"/>
          <w:rFonts w:ascii="Times New Roman;Times;serif" w:hAnsi="Times New Roman;Times;serif"/>
          <w:sz w:val="20"/>
        </w:rPr>
        <w:t>2024</w:t>
      </w:r>
      <w:r>
        <w:rPr>
          <w:rFonts w:ascii="Times New Roman;Times;serif" w:hAnsi="Times New Roman;Times;serif"/>
          <w:sz w:val="20"/>
        </w:rPr>
        <w:t xml:space="preserve"> have an exercise price between $112.45 and $147.41 per share; and stock options granted in </w:t>
      </w:r>
      <w:r>
        <w:rPr>
          <w:rStyle w:val="Emphasis"/>
          <w:rFonts w:ascii="Times New Roman;Times;serif" w:hAnsi="Times New Roman;Times;serif"/>
          <w:sz w:val="20"/>
        </w:rPr>
        <w:t>2023</w:t>
      </w:r>
      <w:r>
        <w:rPr>
          <w:rFonts w:ascii="Times New Roman;Times;serif" w:hAnsi="Times New Roman;Times;serif"/>
          <w:sz w:val="20"/>
        </w:rPr>
        <w:t xml:space="preserve"> have an exercise price between $110.86 and $119.57 per share. Stock options vest in equal installments over four years, subject to the grantee’s continued employment or service and expire ten years after the date of grant.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Stock option exercises can be net-share settled such that the Company withholds shares with value equivalent to the exercise price of the stock option awards plus the employees’ minimum statutory obligation for the applicable income and other employment taxes. Total shares withheld were 0, 9,701, and 31,030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and were based on the value of the stock on the exercise dates. The net-share settlement has the effect of share repurchases by the Company as they reduce the number of shares that would have otherwise been issued.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Employees can also utilize a cashless for cash exercise of stock options, such that all exercised shares will be sold in the market immediately. Cash equivalent to the exercise price of the awards plus the employees’ minimum statutory tax obligations is remitted to the Company, with the remaining cash being transferred to the employee. Total net proceeds to the Company from the cashless for cash exercise of stock options were $4,860, $27,558, and $7,815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and are reflected as a financing activity in the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Total payments made by the Company to the taxing authorities for the employees’ tax obligations related to stock option exercises were $1,154, $13,672, and $4,895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and are reflected as a financing activity in the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grant-date fair value of each option grant is estimated using the Black-Scholes-Merton option pricing model. The fair value is then amortized on a straight-line basis over the requisite service period of the awards, which is generally the vesting period. Use of a valuation model requires management to make certain assumptions with respect to selected model inputs. Expected volatility is calculated based on an analysis of historic volatility of the Company’s stock price. The average expected life is based on the contractual term of the option using the simplified method. The risk-free interest rate is based on U.S. Treasury </w:t>
      </w:r>
      <w:r>
        <w:rPr>
          <w:rStyle w:val="Emphasis"/>
          <w:rFonts w:ascii="Times New Roman;Times;serif" w:hAnsi="Times New Roman;Times;serif"/>
          <w:sz w:val="20"/>
        </w:rPr>
        <w:t>zero</w:t>
      </w:r>
      <w:r>
        <w:rPr>
          <w:rFonts w:ascii="Times New Roman;Times;serif" w:hAnsi="Times New Roman;Times;serif"/>
          <w:sz w:val="20"/>
        </w:rPr>
        <w:t>-coupon issues with a remaining term equal to the expected life assumed at the date of grant. The compensation expense recognized is net of estimated forfeitures. Forfeitures are estimated based on actual share option forfeiture history and are trued up upon vesting based on actual forfeiture activity.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weighted-average assumptions used in the Black-Scholes-Merton option pricing model for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are as follows:</w:t>
      </w:r>
    </w:p>
    <w:p>
      <w:pPr>
        <w:pStyle w:val="TextBody"/>
        <w:bidi w:val="0"/>
        <w:spacing w:before="0" w:after="0"/>
        <w:ind w:left="0" w:right="0" w:hanging="0"/>
        <w:jc w:val="both"/>
        <w:rPr/>
      </w:pPr>
      <w:r>
        <w:rPr/>
        <w:t> </w:t>
      </w:r>
    </w:p>
    <w:tbl>
      <w:tblPr>
        <w:tblW w:w="6485" w:type="dxa"/>
        <w:jc w:val="left"/>
        <w:tblInd w:w="0" w:type="dxa"/>
        <w:tblLayout w:type="fixed"/>
        <w:tblCellMar>
          <w:top w:w="0" w:type="dxa"/>
          <w:left w:w="0" w:type="dxa"/>
          <w:bottom w:w="0" w:type="dxa"/>
          <w:right w:w="0" w:type="dxa"/>
        </w:tblCellMar>
      </w:tblPr>
      <w:tblGrid>
        <w:gridCol w:w="3920"/>
        <w:gridCol w:w="60"/>
        <w:gridCol w:w="125"/>
        <w:gridCol w:w="485"/>
        <w:gridCol w:w="185"/>
        <w:gridCol w:w="60"/>
        <w:gridCol w:w="125"/>
        <w:gridCol w:w="485"/>
        <w:gridCol w:w="185"/>
        <w:gridCol w:w="60"/>
        <w:gridCol w:w="125"/>
        <w:gridCol w:w="485"/>
        <w:gridCol w:w="18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0"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18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grant date fair value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p>
        </w:tc>
        <w:tc>
          <w:tcPr>
            <w:tcW w:w="18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annual dividend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of options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A summary of the Company’s stock option activity and related information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is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61"/>
        <w:gridCol w:w="60"/>
        <w:gridCol w:w="76"/>
        <w:gridCol w:w="1087"/>
        <w:gridCol w:w="80"/>
        <w:gridCol w:w="60"/>
        <w:gridCol w:w="190"/>
        <w:gridCol w:w="1879"/>
        <w:gridCol w:w="60"/>
        <w:gridCol w:w="60"/>
        <w:gridCol w:w="507"/>
        <w:gridCol w:w="2331"/>
        <w:gridCol w:w="60"/>
        <w:gridCol w:w="60"/>
        <w:gridCol w:w="326"/>
        <w:gridCol w:w="1542"/>
        <w:gridCol w:w="66"/>
      </w:tblGrid>
      <w:tr>
        <w:trPr/>
        <w:tc>
          <w:tcPr>
            <w:tcW w:w="1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Intrinsic Value ($ in thousands)</w:t>
            </w:r>
          </w:p>
        </w:tc>
        <w:tc>
          <w:tcPr>
            <w:tcW w:w="66" w:type="dxa"/>
            <w:tcBorders/>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ind w:left="0" w:right="0" w:hanging="0"/>
              <w:jc w:val="left"/>
              <w:rPr/>
            </w:pPr>
            <w:r>
              <w:rPr/>
              <w:t> </w:t>
            </w:r>
          </w:p>
        </w:tc>
        <w:tc>
          <w:tcPr>
            <w:tcW w:w="23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47,764</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23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rStyle w:val="Emphasis"/>
              </w:rPr>
              <w:t> </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ind w:left="0" w:right="0" w:hanging="0"/>
              <w:jc w:val="left"/>
              <w:rPr/>
            </w:pPr>
            <w:r>
              <w:rPr/>
              <w:t> </w:t>
            </w:r>
          </w:p>
        </w:tc>
        <w:tc>
          <w:tcPr>
            <w:tcW w:w="23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75,587</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8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23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rStyle w:val="Emphasis"/>
              </w:rPr>
              <w:t> </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23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rStyle w:val="Emphasis"/>
              </w:rPr>
              <w:t> </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ind w:left="0" w:right="0" w:hanging="0"/>
              <w:jc w:val="left"/>
              <w:rPr/>
            </w:pPr>
            <w:r>
              <w:rPr/>
              <w:t> </w:t>
            </w:r>
          </w:p>
        </w:tc>
        <w:tc>
          <w:tcPr>
            <w:tcW w:w="23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78,310</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8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2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23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rStyle w:val="Emphasis"/>
              </w:rPr>
              <w:t> </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ind w:left="0" w:right="0" w:hanging="0"/>
              <w:jc w:val="left"/>
              <w:rPr/>
            </w:pPr>
            <w:r>
              <w:rPr/>
              <w:t> </w:t>
            </w:r>
          </w:p>
        </w:tc>
        <w:tc>
          <w:tcPr>
            <w:tcW w:w="23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58,823</w:t>
            </w:r>
          </w:p>
        </w:tc>
        <w:tc>
          <w:tcPr>
            <w:tcW w:w="66" w:type="dxa"/>
            <w:tcBorders/>
            <w:shd w:fill="CCEEFF" w:val="clear"/>
            <w:vAlign w:val="center"/>
          </w:tcPr>
          <w:p>
            <w:pPr>
              <w:pStyle w:val="TableContents"/>
              <w:bidi w:val="0"/>
              <w:spacing w:before="0" w:after="283"/>
              <w:jc w:val="left"/>
              <w:rPr/>
            </w:pPr>
            <w:r>
              <w:rPr/>
              <w:t> </w:t>
            </w:r>
          </w:p>
        </w:tc>
      </w:tr>
      <w:tr>
        <w:trPr/>
        <w:tc>
          <w:tcPr>
            <w:tcW w:w="17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8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23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17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December 31, 2025</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ind w:left="0" w:right="0" w:hanging="0"/>
              <w:jc w:val="left"/>
              <w:rPr/>
            </w:pPr>
            <w:r>
              <w:rPr/>
              <w:t> </w:t>
            </w:r>
          </w:p>
        </w:tc>
        <w:tc>
          <w:tcPr>
            <w:tcW w:w="23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55,872</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2025</w:t>
      </w:r>
      <w:r>
        <w:rPr>
          <w:rFonts w:ascii="Times New Roman;Times;serif" w:hAnsi="Times New Roman;Times;serif"/>
          <w:sz w:val="20"/>
        </w:rPr>
        <w:t xml:space="preserve">, there was $9,334 of total unrecognized compensation cost, net of expected forfeitures, related to unvested options. The cost is expected to be recognized over the remaining service period, having a weighted-average period of 2.2 years. Total share-based compensation cost related to stock options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was $6,910, $8,122, and $8,229,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b/>
          <w:sz w:val="20"/>
        </w:rPr>
        <w:t>Restricted Stock</w:t>
      </w:r>
      <w:r>
        <w:rPr>
          <w:rFonts w:ascii="Times New Roman;Times;serif" w:hAnsi="Times New Roman;Times;serif"/>
          <w:sz w:val="20"/>
        </w:rPr>
        <w:t xml:space="preserve"> – Restricted stock awards vest in equal installments over three years, subject to the grantee’s continued employment or service. Certain restricted stock awards also include performance shares, whereby the number of performance shares that can be earned are contingent upon Company performance measures over a three-year period. Performance measures are based on a weighting of a number of financial metrics, from which grantees </w:t>
      </w:r>
      <w:r>
        <w:rPr>
          <w:rStyle w:val="Emphasis"/>
          <w:rFonts w:ascii="Times New Roman;Times;serif" w:hAnsi="Times New Roman;Times;serif"/>
          <w:sz w:val="20"/>
        </w:rPr>
        <w:t xml:space="preserve">may </w:t>
      </w:r>
      <w:r>
        <w:rPr>
          <w:rFonts w:ascii="Times New Roman;Times;serif" w:hAnsi="Times New Roman;Times;serif"/>
          <w:sz w:val="20"/>
        </w:rPr>
        <w:t xml:space="preserve">earn from 0% to 200% of their target performance share award. The performance period for the </w:t>
      </w:r>
      <w:r>
        <w:rPr>
          <w:rStyle w:val="Emphasis"/>
          <w:rFonts w:ascii="Times New Roman;Times;serif" w:hAnsi="Times New Roman;Times;serif"/>
          <w:sz w:val="20"/>
        </w:rPr>
        <w:t>2023</w:t>
      </w:r>
      <w:r>
        <w:rPr>
          <w:rFonts w:ascii="Times New Roman;Times;serif" w:hAnsi="Times New Roman;Times;serif"/>
          <w:sz w:val="20"/>
        </w:rPr>
        <w:t xml:space="preserve"> awards covers the years </w:t>
      </w:r>
      <w:r>
        <w:rPr>
          <w:rStyle w:val="Emphasis"/>
          <w:rFonts w:ascii="Times New Roman;Times;serif" w:hAnsi="Times New Roman;Times;serif"/>
          <w:sz w:val="20"/>
        </w:rPr>
        <w:t>2023</w:t>
      </w:r>
      <w:r>
        <w:rPr>
          <w:rFonts w:ascii="Times New Roman;Times;serif" w:hAnsi="Times New Roman;Times;serif"/>
          <w:sz w:val="20"/>
        </w:rPr>
        <w:t xml:space="preserve"> through </w:t>
      </w:r>
      <w:r>
        <w:rPr>
          <w:rStyle w:val="Emphasis"/>
          <w:rFonts w:ascii="Times New Roman;Times;serif" w:hAnsi="Times New Roman;Times;serif"/>
          <w:sz w:val="20"/>
        </w:rPr>
        <w:t>2025.</w:t>
      </w:r>
      <w:r>
        <w:rPr>
          <w:rFonts w:ascii="Times New Roman;Times;serif" w:hAnsi="Times New Roman;Times;serif"/>
          <w:sz w:val="20"/>
        </w:rPr>
        <w:t xml:space="preserve"> The performance period for the </w:t>
      </w:r>
      <w:r>
        <w:rPr>
          <w:rStyle w:val="Emphasis"/>
          <w:rFonts w:ascii="Times New Roman;Times;serif" w:hAnsi="Times New Roman;Times;serif"/>
          <w:sz w:val="20"/>
        </w:rPr>
        <w:t>2024</w:t>
      </w:r>
      <w:r>
        <w:rPr>
          <w:rFonts w:ascii="Times New Roman;Times;serif" w:hAnsi="Times New Roman;Times;serif"/>
          <w:sz w:val="20"/>
        </w:rPr>
        <w:t xml:space="preserve"> awards covers the years </w:t>
      </w:r>
      <w:r>
        <w:rPr>
          <w:rStyle w:val="Emphasis"/>
          <w:rFonts w:ascii="Times New Roman;Times;serif" w:hAnsi="Times New Roman;Times;serif"/>
          <w:sz w:val="20"/>
        </w:rPr>
        <w:t>2024</w:t>
      </w:r>
      <w:r>
        <w:rPr>
          <w:rFonts w:ascii="Times New Roman;Times;serif" w:hAnsi="Times New Roman;Times;serif"/>
          <w:sz w:val="20"/>
        </w:rPr>
        <w:t xml:space="preserve"> through </w:t>
      </w:r>
      <w:r>
        <w:rPr>
          <w:rStyle w:val="Emphasis"/>
          <w:rFonts w:ascii="Times New Roman;Times;serif" w:hAnsi="Times New Roman;Times;serif"/>
          <w:sz w:val="20"/>
        </w:rPr>
        <w:t>2026.</w:t>
      </w:r>
      <w:r>
        <w:rPr>
          <w:rFonts w:ascii="Times New Roman;Times;serif" w:hAnsi="Times New Roman;Times;serif"/>
          <w:sz w:val="20"/>
        </w:rPr>
        <w:t xml:space="preserve"> The performance period for the </w:t>
      </w:r>
      <w:r>
        <w:rPr>
          <w:rStyle w:val="Emphasis"/>
          <w:rFonts w:ascii="Times New Roman;Times;serif" w:hAnsi="Times New Roman;Times;serif"/>
          <w:sz w:val="20"/>
        </w:rPr>
        <w:t>2025</w:t>
      </w:r>
      <w:r>
        <w:rPr>
          <w:rFonts w:ascii="Times New Roman;Times;serif" w:hAnsi="Times New Roman;Times;serif"/>
          <w:sz w:val="20"/>
        </w:rPr>
        <w:t xml:space="preserve"> awards covers the years </w:t>
      </w:r>
      <w:r>
        <w:rPr>
          <w:rStyle w:val="Emphasis"/>
          <w:rFonts w:ascii="Times New Roman;Times;serif" w:hAnsi="Times New Roman;Times;serif"/>
          <w:sz w:val="20"/>
        </w:rPr>
        <w:t>2025</w:t>
      </w:r>
      <w:r>
        <w:rPr>
          <w:rFonts w:ascii="Times New Roman;Times;serif" w:hAnsi="Times New Roman;Times;serif"/>
          <w:sz w:val="20"/>
        </w:rPr>
        <w:t xml:space="preserve"> through </w:t>
      </w:r>
      <w:r>
        <w:rPr>
          <w:rStyle w:val="Emphasis"/>
          <w:rFonts w:ascii="Times New Roman;Times;serif" w:hAnsi="Times New Roman;Times;serif"/>
          <w:sz w:val="20"/>
        </w:rPr>
        <w:t>2027.</w:t>
      </w:r>
      <w:r>
        <w:rPr>
          <w:rFonts w:ascii="Times New Roman;Times;serif" w:hAnsi="Times New Roman;Times;serif"/>
          <w:sz w:val="20"/>
        </w:rPr>
        <w:t xml:space="preserve"> The Company estimates the number of performance shares that will vest based on projected financial performance. The fair value of restricted awards is determined based on the market value of the Company's stock on the grant date. The fair market value of the restricted awards at the time of the grant is amortized to expense over the period of vesting. The compensation expense recognized for restricted share awards is net of estimated forfeitures and is trued up upon vesting based on actual forfeiture activity.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All restricted stock vesting is net-share settled such that, upon vesting, the Company withholds shares with value equivalent to the employees’ minimum statutory tax obligation, and then pays the cash to the taxing authorities on behalf of the employees. In effect, the Company repurchases these shares and classifies them as treasury stock. Total shares withheld were 91,087, 78,465, and 50,577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and were based on the value of the stock on the vesting dates. Total payments made by the Company to the taxing authorities for the employees’ tax obligations related to restricted stock vesting were $13,130, $11,097, and $6,002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and are reflected as a financing activity within the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 summary of the Company's restricted stock activity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is as follows:</w:t>
      </w:r>
    </w:p>
    <w:p>
      <w:pPr>
        <w:pStyle w:val="TextBody"/>
        <w:bidi w:val="0"/>
        <w:spacing w:before="0" w:after="0"/>
        <w:ind w:left="0" w:right="0" w:hanging="0"/>
        <w:jc w:val="both"/>
        <w:rPr/>
      </w:pPr>
      <w:r>
        <w:rPr/>
        <w:t> </w:t>
      </w:r>
    </w:p>
    <w:tbl>
      <w:tblPr>
        <w:tblW w:w="7639" w:type="dxa"/>
        <w:jc w:val="left"/>
        <w:tblInd w:w="0" w:type="dxa"/>
        <w:tblLayout w:type="fixed"/>
        <w:tblCellMar>
          <w:top w:w="0" w:type="dxa"/>
          <w:left w:w="0" w:type="dxa"/>
          <w:bottom w:w="0" w:type="dxa"/>
          <w:right w:w="0" w:type="dxa"/>
        </w:tblCellMar>
      </w:tblPr>
      <w:tblGrid>
        <w:gridCol w:w="2990"/>
        <w:gridCol w:w="60"/>
        <w:gridCol w:w="60"/>
        <w:gridCol w:w="755"/>
        <w:gridCol w:w="80"/>
        <w:gridCol w:w="60"/>
        <w:gridCol w:w="623"/>
        <w:gridCol w:w="2951"/>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Grant-Date Fair Value</w:t>
            </w:r>
          </w:p>
        </w:tc>
        <w:tc>
          <w:tcPr>
            <w:tcW w:w="6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as of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203.04</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ind w:left="0" w:right="0" w:hanging="0"/>
              <w:jc w:val="left"/>
              <w:rPr/>
            </w:pPr>
            <w:r>
              <w:rPr/>
              <w:t> </w:t>
            </w:r>
          </w:p>
        </w:tc>
        <w:tc>
          <w:tcPr>
            <w:tcW w:w="2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117.62</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ind w:left="0" w:right="0" w:hanging="0"/>
              <w:jc w:val="left"/>
              <w:rPr/>
            </w:pPr>
            <w:r>
              <w:rPr/>
              <w:t> </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175.94</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ind w:left="0" w:right="0" w:hanging="0"/>
              <w:jc w:val="left"/>
              <w:rPr/>
            </w:pPr>
            <w:r>
              <w:rPr/>
              <w:t> </w:t>
            </w:r>
          </w:p>
        </w:tc>
        <w:tc>
          <w:tcPr>
            <w:tcW w:w="2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213.80</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ind w:left="0" w:right="0" w:hanging="0"/>
              <w:jc w:val="left"/>
              <w:rPr/>
            </w:pPr>
            <w:r>
              <w:rPr/>
              <w:t> </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153.01</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2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120.77</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ind w:left="0" w:right="0" w:hanging="0"/>
              <w:jc w:val="left"/>
              <w:rPr/>
            </w:pPr>
            <w:r>
              <w:rPr/>
              <w:t> </w:t>
            </w:r>
          </w:p>
        </w:tc>
        <w:tc>
          <w:tcPr>
            <w:tcW w:w="2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177.28</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ind w:left="0" w:right="0" w:hanging="0"/>
              <w:jc w:val="left"/>
              <w:rPr/>
            </w:pPr>
            <w:r>
              <w:rPr/>
              <w:t> </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130.89</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ind w:left="0" w:right="0" w:hanging="0"/>
              <w:jc w:val="left"/>
              <w:rPr/>
            </w:pPr>
            <w:r>
              <w:rPr/>
              <w:t> </w:t>
            </w:r>
          </w:p>
        </w:tc>
        <w:tc>
          <w:tcPr>
            <w:tcW w:w="2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127.07</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29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139.44</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ind w:left="0" w:right="0" w:hanging="0"/>
              <w:jc w:val="left"/>
              <w:rPr/>
            </w:pPr>
            <w:r>
              <w:rPr/>
              <w:t> </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139.27</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ind w:left="0" w:right="0" w:hanging="0"/>
              <w:jc w:val="left"/>
              <w:rPr/>
            </w:pPr>
            <w:r>
              <w:rPr/>
              <w:t> </w:t>
            </w:r>
          </w:p>
        </w:tc>
        <w:tc>
          <w:tcPr>
            <w:tcW w:w="2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126.10</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ind w:left="0" w:right="0" w:hanging="0"/>
              <w:jc w:val="left"/>
              <w:rPr/>
            </w:pPr>
            <w:r>
              <w:rPr/>
              <w:t> </w:t>
            </w:r>
          </w:p>
        </w:tc>
        <w:tc>
          <w:tcPr>
            <w:tcW w:w="2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2025</w:t>
      </w:r>
      <w:r>
        <w:rPr>
          <w:rFonts w:ascii="Times New Roman;Times;serif" w:hAnsi="Times New Roman;Times;serif"/>
          <w:sz w:val="20"/>
        </w:rPr>
        <w:t xml:space="preserve">, there was $60,662 of unrecognized compensation cost, net of expected forfeitures, related to non-vested restricted stock awards. That cost is expected to be recognized over the remaining service period, having a weighted-average period of 1.9 years. Total share-based compensation cost related to the restricted stock for the years ended </w:t>
      </w:r>
      <w:r>
        <w:rPr>
          <w:rStyle w:val="Emphasis"/>
          <w:rFonts w:ascii="Times New Roman;Times;serif" w:hAnsi="Times New Roman;Times;serif"/>
          <w:sz w:val="20"/>
        </w:rPr>
        <w:t>December 31, </w:t>
      </w:r>
      <w:r>
        <w:rPr>
          <w:rFonts w:ascii="Times New Roman;Times;serif" w:hAnsi="Times New Roman;Times;serif"/>
          <w:sz w:val="20"/>
        </w:rPr>
        <w:t xml:space="preserve">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inclusive of performance shares, was </w:t>
      </w:r>
      <w:r>
        <w:rPr>
          <w:rFonts w:ascii="Times New Roman;Times;serif" w:hAnsi="Times New Roman;Times;serif"/>
          <w:sz w:val="20"/>
          <w:shd w:fill="FFFFFF" w:val="clear"/>
        </w:rPr>
        <w:t>$43</w:t>
      </w:r>
      <w:r>
        <w:rPr>
          <w:rFonts w:ascii="Times New Roman;Times;serif" w:hAnsi="Times New Roman;Times;serif"/>
          <w:sz w:val="20"/>
        </w:rPr>
        <w:t xml:space="preserve"> </w:t>
      </w:r>
      <w:r>
        <w:rPr>
          <w:rStyle w:val="Emphasis"/>
          <w:rFonts w:ascii="Times New Roman;Times;serif" w:hAnsi="Times New Roman;Times;serif"/>
          <w:sz w:val="20"/>
          <w:shd w:fill="FFFFFF" w:val="clear"/>
        </w:rPr>
        <w:t>,037</w:t>
      </w:r>
      <w:r>
        <w:rPr>
          <w:rFonts w:ascii="Times New Roman;Times;serif" w:hAnsi="Times New Roman;Times;serif"/>
          <w:sz w:val="20"/>
        </w:rPr>
        <w:t xml:space="preserve">, $41,126, and $27,263, respectively, which is recorded in operating expenses in the consolidated statements of comprehensive income. </w:t>
      </w:r>
    </w:p>
    <w:p>
      <w:pPr>
        <w:pStyle w:val="TextBody"/>
        <w:bidi w:val="0"/>
        <w:spacing w:before="0" w:after="0"/>
        <w:ind w:left="0" w:right="0" w:hanging="0"/>
        <w:jc w:val="left"/>
        <w:rPr/>
      </w:pPr>
      <w:r>
        <w:rPr/>
        <w:t> </w:t>
      </w:r>
    </w:p>
    <w:p>
      <w:pPr>
        <w:pStyle w:val="TextBody"/>
        <w:bidi w:val="0"/>
        <w:ind w:left="0" w:right="0" w:hanging="0"/>
        <w:jc w:val="both"/>
        <w:rPr/>
      </w:pPr>
      <w:r>
        <w:rPr>
          <w:rFonts w:ascii="Times New Roman;Times;serif" w:hAnsi="Times New Roman;Times;serif"/>
          <w:sz w:val="20"/>
        </w:rPr>
        <w:t xml:space="preserve">During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14,489, 14,814, and 16,174 shares of stock, respectively, were granted to certain members of the Company’s Board as a component of their compensation for their service on the Board, all of which were fully vested at time of grant. A non-employee director can elect to receive his or her director fees in the form of deferred stock units, which voluntarily defers the issuance of the related shares granted until the director separates from the Company, or a triggering event occurs. 9,224, 8,484, and 8,832 of deferred stock units are included in the shares of stock granted to certain members of the Company’s Board for the years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Total share-based compensation cost for shares of stock granted to the Company's Board in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was $1,749, $1,992, and $1,846, respectively, which is recorded in operating expenses in the consolidated statements of comprehensive income.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18.</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Generac products repossessed by the finance company,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indemnify the finance company for any credit losses they incur. The amount financed by dealers which remained outstanding under this arrangement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was $149,737 and $165,432, r</w:t>
      </w:r>
      <w:r>
        <w:rPr>
          <w:rFonts w:ascii="Times New Roman" w:hAnsi="Times New Roman"/>
          <w:b/>
          <w:caps w:val="false"/>
          <w:smallCaps w:val="false"/>
          <w:sz w:val="20"/>
        </w:rPr>
        <w:t>e</w:t>
      </w:r>
      <w:r>
        <w:rPr>
          <w:rFonts w:ascii="Times New Roman" w:hAnsi="Times New Roman"/>
          <w:caps w:val="false"/>
          <w:smallCaps w:val="false"/>
          <w:sz w:val="20"/>
        </w:rPr>
        <w:t>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1, 2022</w:t>
      </w:r>
      <w:r>
        <w:rPr>
          <w:rFonts w:ascii="Times New Roman" w:hAnsi="Times New Roman"/>
          <w:i/>
          <w:caps w:val="false"/>
          <w:smallCaps w:val="false"/>
          <w:sz w:val="20"/>
        </w:rPr>
        <w:t>,</w:t>
      </w:r>
      <w:r>
        <w:rPr>
          <w:rFonts w:ascii="Times New Roman" w:hAnsi="Times New Roman"/>
          <w:caps w:val="false"/>
          <w:smallCaps w:val="false"/>
          <w:sz w:val="20"/>
        </w:rPr>
        <w:t xml:space="preserve"> Power Home Solar, LLC d/b/a Pink Energy (PHS) filed a lawsuit in the Western District of Virginia against Generac Power Systems, Inc., a wholly owned subsidiary of the Company (Generac Power). The complaint alleges breaches of warranty, product liability, and other causes of action against Generac Power relating to the sale and performance of certain clean energy equipment and seeks to recover damages, including consequential damages, that PHS allegedly incurred.  The Company disputes the allegations in the complaint, including that PHS can seek consequential damages or amounts greater than the $25,000 liability cap set forth in the agreement between the parties. Generac Power moved to dismiss the complaint and compel arbitration consistent with the parties’ agreement. PHS later filed a Chapter </w:t>
      </w:r>
      <w:r>
        <w:rPr>
          <w:rStyle w:val="Emphasis"/>
          <w:rFonts w:ascii="Times New Roman" w:hAnsi="Times New Roman"/>
          <w:i/>
          <w:caps w:val="false"/>
          <w:smallCaps w:val="false"/>
          <w:sz w:val="20"/>
        </w:rPr>
        <w:t>7</w:t>
      </w:r>
      <w:r>
        <w:rPr>
          <w:rFonts w:ascii="Times New Roman" w:hAnsi="Times New Roman"/>
          <w:caps w:val="false"/>
          <w:smallCaps w:val="false"/>
          <w:sz w:val="20"/>
        </w:rPr>
        <w:t xml:space="preserve"> bankruptcy petition in the Western District of North Carolina that identified Generac Power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its outstanding creditors. The parties agreed to toll PHS’s deadline to respond to the motion to dismiss and all other pretrial deadlines to allow the bankruptcy trustee to evaluate the complaint. The Trustee decided to pursue PHS’s claims against Generac in arbitration. Generac Power intends to vigorously defend against the claims and contends that PHS cannot recover certain damages on behalf of its customers upon final approval of the settlement in the Multidistrict Litigation noted herein below to the extent the claims relate to the performance of a certain solar system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28, 2022</w:t>
      </w:r>
      <w:r>
        <w:rPr>
          <w:rFonts w:ascii="Times New Roman" w:hAnsi="Times New Roman"/>
          <w:i/>
          <w:caps w:val="false"/>
          <w:smallCaps w:val="false"/>
          <w:sz w:val="20"/>
        </w:rPr>
        <w:t>,</w:t>
      </w:r>
      <w:r>
        <w:rPr>
          <w:rFonts w:ascii="Times New Roman" w:hAnsi="Times New Roman"/>
          <w:caps w:val="false"/>
          <w:smallCaps w:val="false"/>
          <w:sz w:val="20"/>
        </w:rPr>
        <w:t xml:space="preserve"> Daniel Haak filed a putative consumer class action lawsuit against Generac Power in the Middle District of Florida. The complaint alleges breaches of warranty, tort-based, and unjust enrichment claims against Generac Power relating to the sale and performance of certain clean energy products, and seeks to recover damages, including consequential damages, that the plaintiff and putative class allegedly incurred. Additional putative class actions were filed by consumers raising similar claims and allegations in other district court cases. These putative class actions have been consolidated into a Multidistrict Litigation, </w:t>
      </w:r>
      <w:r>
        <w:rPr>
          <w:rFonts w:ascii="Times New Roman" w:hAnsi="Times New Roman"/>
          <w:i/>
          <w:caps w:val="false"/>
          <w:smallCaps w:val="false"/>
          <w:sz w:val="20"/>
        </w:rPr>
        <w:t>In re: Generac Solar Power Systems Marketing, Sales Practices and Products Liability Litigation</w:t>
      </w:r>
      <w:r>
        <w:rPr>
          <w:rFonts w:ascii="Times New Roman" w:hAnsi="Times New Roman"/>
          <w:caps w:val="false"/>
          <w:smallCaps w:val="false"/>
          <w:sz w:val="20"/>
        </w:rPr>
        <w:t xml:space="preserve"> currently pending in the Eastern District of Wisconsin, Case </w:t>
      </w:r>
      <w:r>
        <w:rPr>
          <w:rStyle w:val="Emphasis"/>
          <w:rFonts w:ascii="Times New Roman" w:hAnsi="Times New Roman"/>
          <w:i/>
          <w:caps w:val="false"/>
          <w:smallCaps w:val="false"/>
          <w:sz w:val="20"/>
        </w:rPr>
        <w:t>No.</w:t>
      </w:r>
      <w:r>
        <w:rPr>
          <w:rFonts w:ascii="Times New Roman" w:hAnsi="Times New Roman"/>
          <w:i/>
          <w:caps w:val="false"/>
          <w:smallCaps w:val="false"/>
          <w:sz w:val="20"/>
        </w:rPr>
        <w:t xml:space="preserve"> </w:t>
      </w:r>
      <w:r>
        <w:rPr>
          <w:rStyle w:val="Emphasis"/>
          <w:rFonts w:ascii="Times New Roman" w:hAnsi="Times New Roman"/>
          <w:i/>
          <w:caps w:val="false"/>
          <w:smallCaps w:val="false"/>
          <w:sz w:val="20"/>
        </w:rPr>
        <w:t>23</w:t>
      </w:r>
      <w:r>
        <w:rPr>
          <w:rFonts w:ascii="Times New Roman" w:hAnsi="Times New Roman"/>
          <w:caps w:val="false"/>
          <w:smallCaps w:val="false"/>
          <w:sz w:val="20"/>
        </w:rPr>
        <w:t>-md-</w:t>
      </w:r>
      <w:r>
        <w:rPr>
          <w:rStyle w:val="Emphasis"/>
          <w:rFonts w:ascii="Times New Roman" w:hAnsi="Times New Roman"/>
          <w:i/>
          <w:caps w:val="false"/>
          <w:smallCaps w:val="false"/>
          <w:sz w:val="20"/>
        </w:rPr>
        <w:t>3078.</w:t>
      </w:r>
      <w:r>
        <w:rPr>
          <w:rFonts w:ascii="Times New Roman" w:hAnsi="Times New Roman"/>
          <w:caps w:val="false"/>
          <w:smallCaps w:val="false"/>
          <w:sz w:val="20"/>
        </w:rPr>
        <w:t xml:space="preserve"> Generac Power and plaintiffs participated in a mediation through which the parties agreed to certain monetary and non-monetary terms to resolve the matter on a classwide basis. The parties have obtained preliminary approval for the classwide settlement and will be seeking final approval.  Generac Power has reserved for the contemplated $15,000 settlement fund. Generac Power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concede liability or any charges of wrongdoing in connection with the proposed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2022, </w:t>
      </w:r>
      <w:r>
        <w:rPr>
          <w:rFonts w:ascii="Times New Roman" w:hAnsi="Times New Roman"/>
          <w:caps w:val="false"/>
          <w:smallCaps w:val="false"/>
          <w:sz w:val="20"/>
        </w:rPr>
        <w:t xml:space="preserve">Oakland County Voluntary Employees’ Beneficiary Association and Oakland County Employees’ Retirement System filed a putative securities class action lawsuit against the Company and certain of its officers in the Eastern District of Wisconsin. The court subsequently consolidated a later filed action and appointed a lead plaintiff. The lead plaintiff filed a consolidated complaint alleging violation of federal securities law related to disclosures of certain matters (the </w:t>
      </w:r>
      <w:r>
        <w:rPr>
          <w:rFonts w:ascii="Times New Roman" w:hAnsi="Times New Roman"/>
          <w:i/>
          <w:caps w:val="false"/>
          <w:smallCaps w:val="false"/>
          <w:sz w:val="20"/>
        </w:rPr>
        <w:t>Oakland County</w:t>
      </w:r>
      <w:r>
        <w:rPr>
          <w:rFonts w:ascii="Times New Roman" w:hAnsi="Times New Roman"/>
          <w:caps w:val="false"/>
          <w:smallCaps w:val="false"/>
          <w:sz w:val="20"/>
        </w:rPr>
        <w:t xml:space="preserve"> Lawsuit). On </w:t>
      </w:r>
      <w:r>
        <w:rPr>
          <w:rStyle w:val="Emphasis"/>
          <w:rFonts w:ascii="Times New Roman" w:hAnsi="Times New Roman"/>
          <w:caps w:val="false"/>
          <w:smallCaps w:val="false"/>
          <w:sz w:val="20"/>
        </w:rPr>
        <w:t xml:space="preserve">February 7, 2025, </w:t>
      </w:r>
      <w:r>
        <w:rPr>
          <w:rFonts w:ascii="Times New Roman" w:hAnsi="Times New Roman"/>
          <w:caps w:val="false"/>
          <w:smallCaps w:val="false"/>
          <w:sz w:val="20"/>
        </w:rPr>
        <w:t xml:space="preserve">the court granted the Company’s motion to dismiss and found that plaintiffs failed to adequately plead a securities fraud claim. Plaintiffs filed an amended complaint on </w:t>
      </w:r>
      <w:r>
        <w:rPr>
          <w:rStyle w:val="Emphasis"/>
          <w:rFonts w:ascii="Times New Roman" w:hAnsi="Times New Roman"/>
          <w:caps w:val="false"/>
          <w:smallCaps w:val="false"/>
          <w:sz w:val="20"/>
        </w:rPr>
        <w:t xml:space="preserve">March 10, 2025 </w:t>
      </w:r>
      <w:r>
        <w:rPr>
          <w:rFonts w:ascii="Times New Roman" w:hAnsi="Times New Roman"/>
          <w:caps w:val="false"/>
          <w:smallCaps w:val="false"/>
          <w:sz w:val="20"/>
        </w:rPr>
        <w:t>and the Company has filed a motion to dismiss.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a purported Company shareholder filed a shareholder derivative action against certain of the Company’s officers and directors in the United States District Court for the Eastern District of Wisconsin. The complaint seeks unspecified damages on behalf of the Company and certain other relief, such as certain reforms to corporate governance practices. The complaint (in which the Company is named as a nominal defendant) generally alleges, among other things, breaches of fiduciary duties in connection with the oversight of the Company’s public statements and legal compliance, and that the Company was damaged as a result of the breaches of fiduciary duties, and the defendants were unjustly enriched. The complaint also alleges, among other things, violations of Sections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and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abuse of control, gross mismanagement, and waste of corporate assets. The Company has received several additional derivative actions filed in both state and federal courts raising similar claims and allegations, including issues raised in the </w:t>
      </w:r>
      <w:r>
        <w:rPr>
          <w:rFonts w:ascii="Times New Roman" w:hAnsi="Times New Roman"/>
          <w:i/>
          <w:caps w:val="false"/>
          <w:smallCaps w:val="false"/>
          <w:sz w:val="20"/>
        </w:rPr>
        <w:t>Oakland County</w:t>
      </w:r>
      <w:r>
        <w:rPr>
          <w:rFonts w:ascii="Times New Roman" w:hAnsi="Times New Roman"/>
          <w:caps w:val="false"/>
          <w:smallCaps w:val="false"/>
          <w:sz w:val="20"/>
        </w:rPr>
        <w:t xml:space="preserve"> Lawsuit. The Company disputes the allegations in the shareholder derivative actions and intends to vigorously defend against the claims in the complaints.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Generac Power received a grand jury subpoena from the U.S. Attorney for the Eastern District of Michigan and, as a result, the Company became aware of an enforcement investigation by the U.S. DOJ. The subpoena requests similar documents and information provided by the Company to the U.S. EPA and the CARB in response to civil document requests related to the Company’s compliance with emissions regulations for approximately </w:t>
      </w:r>
      <w:r>
        <w:rPr>
          <w:rStyle w:val="Emphasis"/>
          <w:rFonts w:ascii="Times New Roman" w:hAnsi="Times New Roman"/>
          <w:caps w:val="false"/>
          <w:smallCaps w:val="false"/>
          <w:sz w:val="20"/>
        </w:rPr>
        <w:t>1,850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thousands) portable generators produced by the Company 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sold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October 3, 2025, </w:t>
      </w:r>
      <w:r>
        <w:rPr>
          <w:rFonts w:ascii="Times New Roman" w:hAnsi="Times New Roman"/>
          <w:caps w:val="false"/>
          <w:smallCaps w:val="false"/>
          <w:sz w:val="20"/>
        </w:rPr>
        <w:t xml:space="preserve">the Company received notice from the EPA that it would seek to void certain emissions certifications for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affecting approximately </w:t>
      </w:r>
      <w:r>
        <w:rPr>
          <w:rStyle w:val="Emphasis"/>
          <w:rFonts w:ascii="Times New Roman" w:hAnsi="Times New Roman"/>
          <w:caps w:val="false"/>
          <w:smallCaps w:val="false"/>
          <w:sz w:val="20"/>
        </w:rPr>
        <w:t>4,850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thousands) additional portable generators as the Company previously disclosed in Note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“Commitments and Contingencies,” to its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The Company is cooperating with the DOJ, EPA and CARB regarding these topics and other ancillary requests for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November 30, 2022, </w:t>
      </w:r>
      <w:r>
        <w:rPr>
          <w:rFonts w:ascii="Times New Roman" w:hAnsi="Times New Roman"/>
          <w:caps w:val="false"/>
          <w:smallCaps w:val="false"/>
          <w:sz w:val="20"/>
        </w:rPr>
        <w:t>the CPSC notified the Company of its intention to recommend the imposition of a civil penalty for failing to timely submit a report to the CPSC in relation to certain portable generators that were subject to a voluntary recall previously announced on </w:t>
      </w:r>
      <w:r>
        <w:rPr>
          <w:rStyle w:val="Emphasis"/>
          <w:rFonts w:ascii="Times New Roman" w:hAnsi="Times New Roman"/>
          <w:caps w:val="false"/>
          <w:smallCaps w:val="false"/>
          <w:sz w:val="20"/>
        </w:rPr>
        <w:t xml:space="preserve"> July 29, 2021.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 2023, </w:t>
      </w:r>
      <w:r>
        <w:rPr>
          <w:rFonts w:ascii="Times New Roman" w:hAnsi="Times New Roman"/>
          <w:caps w:val="false"/>
          <w:smallCaps w:val="false"/>
          <w:sz w:val="20"/>
        </w:rPr>
        <w:t xml:space="preserve">the parties entered into a mutual settlement agreement. The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constitute an admission by Generac or a determination by the CPSC that Generac violated the CPSA. The terms of the settlement agreement require the Company to (i) abide by certain customary agency requirements regarding the ongoing commitment to the Company’s internal CPSA compliance practices and program, and (ii) pay a civil fine of $15,800. On </w:t>
      </w:r>
      <w:r>
        <w:rPr>
          <w:rStyle w:val="Emphasis"/>
          <w:rFonts w:ascii="Times New Roman" w:hAnsi="Times New Roman"/>
          <w:caps w:val="false"/>
          <w:smallCaps w:val="false"/>
          <w:sz w:val="20"/>
        </w:rPr>
        <w:t xml:space="preserve">July 21, 2023, </w:t>
      </w:r>
      <w:r>
        <w:rPr>
          <w:rFonts w:ascii="Times New Roman" w:hAnsi="Times New Roman"/>
          <w:caps w:val="false"/>
          <w:smallCaps w:val="false"/>
          <w:sz w:val="20"/>
        </w:rPr>
        <w:t xml:space="preserve">Generac Power received a grand jury subpoena from the U.S. Attorney for the Eastern District of Wisconsin and, as a result, the Company became aware of a continuing inquiry by the DOJ related to its statutory obligations under the CPSA in connection with this matter. Additionally, on </w:t>
      </w:r>
      <w:r>
        <w:rPr>
          <w:rStyle w:val="Emphasis"/>
          <w:rFonts w:ascii="Times New Roman" w:hAnsi="Times New Roman"/>
          <w:caps w:val="false"/>
          <w:smallCaps w:val="false"/>
          <w:sz w:val="20"/>
        </w:rPr>
        <w:t xml:space="preserve">October 23, 2023, </w:t>
      </w:r>
      <w:r>
        <w:rPr>
          <w:rFonts w:ascii="Times New Roman" w:hAnsi="Times New Roman"/>
          <w:caps w:val="false"/>
          <w:smallCaps w:val="false"/>
          <w:sz w:val="20"/>
        </w:rPr>
        <w:t xml:space="preserve">the CPSC notified the Company that it is further investigating whether the Company complied with the reporting requirements to the CPSC in relation to certain portable generators that were subject to a voluntary recall previously announced on </w:t>
      </w:r>
      <w:r>
        <w:rPr>
          <w:rStyle w:val="Emphasis"/>
          <w:rFonts w:ascii="Times New Roman" w:hAnsi="Times New Roman"/>
          <w:caps w:val="false"/>
          <w:smallCaps w:val="false"/>
          <w:sz w:val="20"/>
        </w:rPr>
        <w:t>September 14, 2023</w:t>
      </w:r>
      <w:r>
        <w:rPr>
          <w:rFonts w:ascii="Times New Roman" w:hAnsi="Times New Roman"/>
          <w:i/>
          <w:caps w:val="false"/>
          <w:smallCaps w:val="false"/>
          <w:sz w:val="20"/>
        </w:rPr>
        <w:t>.</w:t>
      </w:r>
      <w:r>
        <w:rPr>
          <w:rFonts w:ascii="Times New Roman" w:hAnsi="Times New Roman"/>
          <w:caps w:val="false"/>
          <w:smallCaps w:val="false"/>
          <w:sz w:val="20"/>
        </w:rPr>
        <w:t xml:space="preserve"> The Company has cooperated fully with both the CPSC and DOJ investigations and believes that the matters have been resolved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action by the CPSC or DOJ.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2022, </w:t>
      </w:r>
      <w:r>
        <w:rPr>
          <w:rFonts w:ascii="Times New Roman" w:hAnsi="Times New Roman"/>
          <w:caps w:val="false"/>
          <w:smallCaps w:val="false"/>
          <w:sz w:val="20"/>
        </w:rPr>
        <w:t xml:space="preserve">Ollnova Technologies Limited, a non-practicing entity, filed a patent infringement lawsuit against ecobee Technologies, ULC. (ecobee) in the United States District Court for the Eastern District of Texas (Case </w:t>
      </w:r>
      <w:r>
        <w:rPr>
          <w:rStyle w:val="Emphasis"/>
          <w:rFonts w:ascii="Times New Roman" w:hAnsi="Times New Roman"/>
          <w:i/>
          <w:caps w:val="false"/>
          <w:smallCaps w:val="false"/>
          <w:sz w:val="20"/>
        </w:rPr>
        <w:t>No.</w:t>
      </w:r>
      <w:r>
        <w:rPr>
          <w:rFonts w:ascii="Times New Roman" w:hAnsi="Times New Roman"/>
          <w:i/>
          <w:caps w:val="false"/>
          <w:smallCaps w:val="false"/>
          <w:sz w:val="20"/>
        </w:rPr>
        <w:t xml:space="preserve"> </w:t>
      </w:r>
      <w:r>
        <w:rPr>
          <w:rStyle w:val="Emphasis"/>
          <w:rFonts w:ascii="Times New Roman" w:hAnsi="Times New Roman"/>
          <w:i/>
          <w:caps w:val="false"/>
          <w:smallCaps w:val="false"/>
          <w:sz w:val="20"/>
        </w:rPr>
        <w:t>22</w:t>
      </w:r>
      <w:r>
        <w:rPr>
          <w:rFonts w:ascii="Times New Roman" w:hAnsi="Times New Roman"/>
          <w:caps w:val="false"/>
          <w:smallCaps w:val="false"/>
          <w:sz w:val="20"/>
        </w:rPr>
        <w:t>-cv-</w:t>
      </w:r>
      <w:r>
        <w:rPr>
          <w:rStyle w:val="Emphasis"/>
          <w:rFonts w:ascii="Times New Roman" w:hAnsi="Times New Roman"/>
          <w:i/>
          <w:caps w:val="false"/>
          <w:smallCaps w:val="false"/>
          <w:sz w:val="20"/>
        </w:rPr>
        <w:t>00072</w:t>
      </w:r>
      <w:r>
        <w:rPr>
          <w:rFonts w:ascii="Times New Roman" w:hAnsi="Times New Roman"/>
          <w:caps w:val="false"/>
          <w:smallCaps w:val="false"/>
          <w:sz w:val="20"/>
        </w:rPr>
        <w:t xml:space="preserve">-JRG). Ollnova claimed that ecobee infringes on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of its patents. Following an </w:t>
      </w:r>
      <w:r>
        <w:rPr>
          <w:rStyle w:val="Emphasis"/>
          <w:rFonts w:ascii="Times New Roman" w:hAnsi="Times New Roman"/>
          <w:caps w:val="false"/>
          <w:smallCaps w:val="false"/>
          <w:sz w:val="20"/>
        </w:rPr>
        <w:t xml:space="preserve">October 5, 2023 </w:t>
      </w:r>
      <w:r>
        <w:rPr>
          <w:rFonts w:ascii="Times New Roman" w:hAnsi="Times New Roman"/>
          <w:caps w:val="false"/>
          <w:smallCaps w:val="false"/>
          <w:sz w:val="20"/>
        </w:rPr>
        <w:t xml:space="preserve">jury verdict finding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Ollnova’s patents invalid and that ecobee infringed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claims of the asserted patents, on </w:t>
      </w:r>
      <w:r>
        <w:rPr>
          <w:rStyle w:val="Emphasis"/>
          <w:rFonts w:ascii="Times New Roman" w:hAnsi="Times New Roman"/>
          <w:caps w:val="false"/>
          <w:smallCaps w:val="false"/>
          <w:sz w:val="20"/>
        </w:rPr>
        <w:t xml:space="preserve">March 1, 2024, </w:t>
      </w:r>
      <w:r>
        <w:rPr>
          <w:rFonts w:ascii="Times New Roman" w:hAnsi="Times New Roman"/>
          <w:caps w:val="false"/>
          <w:smallCaps w:val="false"/>
          <w:sz w:val="20"/>
        </w:rPr>
        <w:t xml:space="preserve">the trial court entered judgment against ecobee for $11,500, as well as an award of prejudgment and post-judgment interest.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recorded a reserve of $12,669 related to this matter.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an additional reserve of $1,826 for estimated prejudgment and post-judgement interest and continues to accrue for post-judgment interest thereafter. ecobee has appealed the trial court’s judgment to the Court of Appeals for the Federal Circuit and that appeal is currently pending.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2023, </w:t>
      </w:r>
      <w:r>
        <w:rPr>
          <w:rFonts w:ascii="Times New Roman" w:hAnsi="Times New Roman"/>
          <w:caps w:val="false"/>
          <w:smallCaps w:val="false"/>
          <w:sz w:val="20"/>
        </w:rPr>
        <w:t xml:space="preserve">Spartronics Vietnam, Inc., a contract manufacturer of Generac Power’s clean energy products, filed multiple lawsuits against Generac Power and sub-suppliers accusing Generac Power of fraud, breaching its supply agreement with Spartronics, tortiously interfering with Spartronics’ relationships with its sub-suppliers, and requesting a determination of rights under the parties’ agreements in state and federal court. Spartronics subsequently filed additional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complaints against Generac Power raising similar claims and allegations. After a court granted Generac Power’s motion to compel arbitration, Spartronics filed a demand for arbitration of its claims and Generac filed a counterclaim. On </w:t>
      </w:r>
      <w:r>
        <w:rPr>
          <w:rStyle w:val="Emphasis"/>
          <w:rFonts w:ascii="Times New Roman" w:hAnsi="Times New Roman"/>
          <w:caps w:val="false"/>
          <w:smallCaps w:val="false"/>
          <w:sz w:val="20"/>
        </w:rPr>
        <w:t xml:space="preserve">August 18, 2025, </w:t>
      </w:r>
      <w:r>
        <w:rPr>
          <w:rFonts w:ascii="Times New Roman" w:hAnsi="Times New Roman"/>
          <w:caps w:val="false"/>
          <w:smallCaps w:val="false"/>
          <w:sz w:val="20"/>
        </w:rPr>
        <w:t xml:space="preserve">Generac Power prevailed in the defense of Spartronics’ arbitration claims and substantially prevailed on its counterclaim seeking possession of pre-paid raw materials and owned tooling. Generac Power also received an award of its legal fees in connection with the action. The award is binding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of an appeal.</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21, 2023, </w:t>
      </w:r>
      <w:r>
        <w:rPr>
          <w:rFonts w:ascii="Times New Roman" w:hAnsi="Times New Roman"/>
          <w:caps w:val="false"/>
          <w:smallCaps w:val="false"/>
          <w:sz w:val="20"/>
        </w:rPr>
        <w:t xml:space="preserve">Christopher Walling filed a putative securities class action lawsuit against the Company and certain of its officers in the Western District of Wisconsin and was later appointed lead plaintiff. The complaint asserts claims for alleged violation of federal securities law related to statements concerning the Company’s financial outlook and the impact of macroeconomic trends on the demand for its products. The plaintiff seeks to represent a class of individuals who purchased or otherwise acquired common stock between </w:t>
      </w:r>
      <w:r>
        <w:rPr>
          <w:rStyle w:val="Emphasis"/>
          <w:rFonts w:ascii="Times New Roman" w:hAnsi="Times New Roman"/>
          <w:caps w:val="false"/>
          <w:smallCaps w:val="false"/>
          <w:sz w:val="20"/>
        </w:rPr>
        <w:t xml:space="preserve">May 3,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3, 2023, </w:t>
      </w:r>
      <w:r>
        <w:rPr>
          <w:rFonts w:ascii="Times New Roman" w:hAnsi="Times New Roman"/>
          <w:caps w:val="false"/>
          <w:smallCaps w:val="false"/>
          <w:sz w:val="20"/>
        </w:rPr>
        <w:t xml:space="preserve">and seeks unspecified compensatory damages and other relief on behalf of a purported class of purchasers of the Company’s stock (the </w:t>
      </w:r>
      <w:r>
        <w:rPr>
          <w:rFonts w:ascii="Times New Roman" w:hAnsi="Times New Roman"/>
          <w:i/>
          <w:caps w:val="false"/>
          <w:smallCaps w:val="false"/>
          <w:sz w:val="20"/>
        </w:rPr>
        <w:t>Walling</w:t>
      </w:r>
      <w:r>
        <w:rPr>
          <w:rFonts w:ascii="Times New Roman" w:hAnsi="Times New Roman"/>
          <w:caps w:val="false"/>
          <w:smallCaps w:val="false"/>
          <w:sz w:val="20"/>
        </w:rPr>
        <w:t xml:space="preserve"> Lawsuit). On </w:t>
      </w:r>
      <w:r>
        <w:rPr>
          <w:rStyle w:val="Emphasis"/>
          <w:rFonts w:ascii="Times New Roman" w:hAnsi="Times New Roman"/>
          <w:caps w:val="false"/>
          <w:smallCaps w:val="false"/>
          <w:sz w:val="20"/>
        </w:rPr>
        <w:t xml:space="preserve">February 3, 2026, </w:t>
      </w:r>
      <w:r>
        <w:rPr>
          <w:rFonts w:ascii="Times New Roman" w:hAnsi="Times New Roman"/>
          <w:caps w:val="false"/>
          <w:smallCaps w:val="false"/>
          <w:sz w:val="20"/>
        </w:rPr>
        <w:t>the court granted the Company’s motion to dismiss the amended complaint and found that plaintiffs failed to adequately plead a securities fraud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a purported Company shareholder filed a derivative action against certain of the Company’s officers and directors in the United States District Court for the Eastern District of Wisconsin. The complaint (in which the Company is named as a nominal defendant) generally alleges, among other things, breaches of fiduciary duties in connection with the oversight of the Company’s public statements and legal compliance, including as to the claims raised in the </w:t>
      </w:r>
      <w:r>
        <w:rPr>
          <w:rFonts w:ascii="Times New Roman" w:hAnsi="Times New Roman"/>
          <w:i/>
          <w:caps w:val="false"/>
          <w:smallCaps w:val="false"/>
          <w:sz w:val="20"/>
        </w:rPr>
        <w:t>Walling</w:t>
      </w:r>
      <w:r>
        <w:rPr>
          <w:rFonts w:ascii="Times New Roman" w:hAnsi="Times New Roman"/>
          <w:caps w:val="false"/>
          <w:smallCaps w:val="false"/>
          <w:sz w:val="20"/>
        </w:rPr>
        <w:t xml:space="preserve"> Lawsuit. The complaint seeks unspecified damages on behalf of the Company and certain other relief, including certain corporate governance reforms. The Company disputes the allegations in the shareholder derivative action and intends to vigorously defend against the claims in the complaint.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5, 2023, seven</w:t>
      </w:r>
      <w:r>
        <w:rPr>
          <w:rFonts w:ascii="Times New Roman" w:hAnsi="Times New Roman"/>
          <w:caps w:val="false"/>
          <w:smallCaps w:val="false"/>
          <w:sz w:val="20"/>
        </w:rPr>
        <w:t xml:space="preserve"> plaintiffs filed a product liability lawsuit in the Philadelphia County Court of Common Pleas against Generac Power, other Generac affiliates, and unrelated entities for damages sustained in an accident involving a </w:t>
      </w:r>
      <w:r>
        <w:rPr>
          <w:rStyle w:val="Emphasis"/>
          <w:rFonts w:ascii="Times New Roman" w:hAnsi="Times New Roman"/>
          <w:caps w:val="false"/>
          <w:smallCaps w:val="false"/>
          <w:sz w:val="20"/>
        </w:rPr>
        <w:t>GP15000E</w:t>
      </w:r>
      <w:r>
        <w:rPr>
          <w:rFonts w:ascii="Times New Roman" w:hAnsi="Times New Roman"/>
          <w:caps w:val="false"/>
          <w:smallCaps w:val="false"/>
          <w:sz w:val="20"/>
        </w:rPr>
        <w:t xml:space="preserve"> portable generator that occurred on </w:t>
      </w:r>
      <w:r>
        <w:rPr>
          <w:rStyle w:val="Emphasis"/>
          <w:rFonts w:ascii="Times New Roman" w:hAnsi="Times New Roman"/>
          <w:caps w:val="false"/>
          <w:smallCaps w:val="false"/>
          <w:sz w:val="20"/>
        </w:rPr>
        <w:t>October 4, 2023 (</w:t>
      </w:r>
      <w:r>
        <w:rPr>
          <w:rFonts w:ascii="Times New Roman" w:hAnsi="Times New Roman"/>
          <w:caps w:val="false"/>
          <w:smallCaps w:val="false"/>
          <w:sz w:val="20"/>
        </w:rPr>
        <w:t xml:space="preserve">Zawaski, et al. v. Generac Power Systems, Inc., et al.). Plaintiffs are pursuing claims against Generac Power for negligence, strict liability, and loss of consortium, seeking compensatory and punitive damages.  On </w:t>
      </w:r>
      <w:r>
        <w:rPr>
          <w:rStyle w:val="Emphasis"/>
          <w:rFonts w:ascii="Times New Roman" w:hAnsi="Times New Roman"/>
          <w:caps w:val="false"/>
          <w:smallCaps w:val="false"/>
          <w:sz w:val="20"/>
        </w:rPr>
        <w:t xml:space="preserve">January 26, 2026, </w:t>
      </w:r>
      <w:r>
        <w:rPr>
          <w:rFonts w:ascii="Times New Roman" w:hAnsi="Times New Roman"/>
          <w:caps w:val="false"/>
          <w:smallCaps w:val="false"/>
          <w:sz w:val="20"/>
        </w:rPr>
        <w:t xml:space="preserve">the Company, together with other co-defendants, agreed to enter a settlement in principle to resolve all asserted claims, while denying any wrongdoing, to eliminate the uncertainty, burden, and expense of protracted litigation. The Company agreed to pay $104,500 in addition to the Company’s excess insurance for the applicable policy year. The Company has recorded a reserve for $206,500 within other accrued liabilities and an insurance receivable for $102,000 in prepaid expenses and other assets in the consolidated balance sheets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9, 2024, </w:t>
      </w:r>
      <w:r>
        <w:rPr>
          <w:rFonts w:ascii="Times New Roman" w:hAnsi="Times New Roman"/>
          <w:caps w:val="false"/>
          <w:smallCaps w:val="false"/>
          <w:sz w:val="20"/>
        </w:rPr>
        <w:t xml:space="preserve">Champion Power Equipment, Inc. (Champion) filed a patent infringement lawsuit against Generac Power in the United States District Court for the Eastern District of Wisconsin (Case </w:t>
      </w:r>
      <w:r>
        <w:rPr>
          <w:rStyle w:val="Emphasis"/>
          <w:rFonts w:ascii="Times New Roman" w:hAnsi="Times New Roman"/>
          <w:i/>
          <w:caps w:val="false"/>
          <w:smallCaps w:val="false"/>
          <w:sz w:val="20"/>
        </w:rPr>
        <w:t>No.</w:t>
      </w:r>
      <w:r>
        <w:rPr>
          <w:rFonts w:ascii="Times New Roman" w:hAnsi="Times New Roman"/>
          <w:i/>
          <w:caps w:val="false"/>
          <w:smallCaps w:val="false"/>
          <w:sz w:val="20"/>
        </w:rPr>
        <w:t xml:space="preserve"> </w:t>
      </w:r>
      <w:r>
        <w:rPr>
          <w:rStyle w:val="Emphasis"/>
          <w:rFonts w:ascii="Times New Roman" w:hAnsi="Times New Roman"/>
          <w:i/>
          <w:caps w:val="false"/>
          <w:smallCaps w:val="false"/>
          <w:sz w:val="20"/>
        </w:rPr>
        <w:t>24</w:t>
      </w:r>
      <w:r>
        <w:rPr>
          <w:rFonts w:ascii="Times New Roman" w:hAnsi="Times New Roman"/>
          <w:caps w:val="false"/>
          <w:smallCaps w:val="false"/>
          <w:sz w:val="20"/>
        </w:rPr>
        <w:t>-cv-</w:t>
      </w:r>
      <w:r>
        <w:rPr>
          <w:rStyle w:val="Emphasis"/>
          <w:rFonts w:ascii="Times New Roman" w:hAnsi="Times New Roman"/>
          <w:i/>
          <w:caps w:val="false"/>
          <w:smallCaps w:val="false"/>
          <w:sz w:val="20"/>
        </w:rPr>
        <w:t>01281</w:t>
      </w:r>
      <w:r>
        <w:rPr>
          <w:rFonts w:ascii="Times New Roman" w:hAnsi="Times New Roman"/>
          <w:caps w:val="false"/>
          <w:smallCaps w:val="false"/>
          <w:sz w:val="20"/>
        </w:rPr>
        <w:t>-LA). Champion claims that certain Generac and Powermate branded multi-fuel portable generators infringe on Champion’s portfolio of dual and multi-fuel patents. Generac Power denies infringement and has filed a counterclaim against Champion claiming that some of Champion’s portable generators infringe on Generac Power’s patents relating to carbon monoxide detection and engine shutoff technologies. Champion in turn filed new patent infringement claims relating to its own carbon monoxide detection and shutoff technology. Generac Power denies the infringement allegations and intends to vigorously defend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18, 2024, two</w:t>
      </w:r>
      <w:r>
        <w:rPr>
          <w:rFonts w:ascii="Times New Roman" w:hAnsi="Times New Roman"/>
          <w:caps w:val="false"/>
          <w:smallCaps w:val="false"/>
          <w:sz w:val="20"/>
        </w:rPr>
        <w:t xml:space="preserve"> individuals filed a putative consumer class action lawsuit against Generac Power and the Company in the Middle District of Florida (Case </w:t>
      </w:r>
      <w:r>
        <w:rPr>
          <w:rStyle w:val="Emphasis"/>
          <w:rFonts w:ascii="Times New Roman" w:hAnsi="Times New Roman"/>
          <w:i/>
          <w:caps w:val="false"/>
          <w:smallCaps w:val="false"/>
          <w:sz w:val="20"/>
        </w:rPr>
        <w:t>No.</w:t>
      </w:r>
      <w:r>
        <w:rPr>
          <w:rFonts w:ascii="Times New Roman" w:hAnsi="Times New Roman"/>
          <w:i/>
          <w:caps w:val="false"/>
          <w:smallCaps w:val="false"/>
          <w:sz w:val="20"/>
        </w:rPr>
        <w:t xml:space="preserve"> </w:t>
      </w:r>
      <w:r>
        <w:rPr>
          <w:rStyle w:val="Emphasis"/>
          <w:rFonts w:ascii="Times New Roman" w:hAnsi="Times New Roman"/>
          <w:i/>
          <w:caps w:val="false"/>
          <w:smallCaps w:val="false"/>
          <w:sz w:val="20"/>
        </w:rPr>
        <w:t>24</w:t>
      </w:r>
      <w:r>
        <w:rPr>
          <w:rFonts w:ascii="Times New Roman" w:hAnsi="Times New Roman"/>
          <w:caps w:val="false"/>
          <w:smallCaps w:val="false"/>
          <w:sz w:val="20"/>
        </w:rPr>
        <w:t>-cv-</w:t>
      </w:r>
      <w:r>
        <w:rPr>
          <w:rStyle w:val="Emphasis"/>
          <w:rFonts w:ascii="Times New Roman" w:hAnsi="Times New Roman"/>
          <w:i/>
          <w:caps w:val="false"/>
          <w:smallCaps w:val="false"/>
          <w:sz w:val="20"/>
        </w:rPr>
        <w:t>02412</w:t>
      </w:r>
      <w:r>
        <w:rPr>
          <w:rFonts w:ascii="Times New Roman" w:hAnsi="Times New Roman"/>
          <w:caps w:val="false"/>
          <w:smallCaps w:val="false"/>
          <w:sz w:val="20"/>
        </w:rPr>
        <w:t xml:space="preserve">). The Amended Complaint, which includes additional plaintiffs, alleges certain defects for home standby generators manufactured or sold to consumers from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Plaintiffs assert breaches of warranty, tort-based, and statutory claims relating to the sale and performance of home standby generators. The court dismissed (</w:t>
      </w:r>
      <w:r>
        <w:rPr>
          <w:rStyle w:val="Emphasis"/>
          <w:rFonts w:ascii="Times New Roman" w:hAnsi="Times New Roman"/>
          <w:caps w:val="false"/>
          <w:smallCaps w:val="false"/>
          <w:sz w:val="20"/>
        </w:rPr>
        <w:t>1</w:t>
      </w:r>
      <w:r>
        <w:rPr>
          <w:rFonts w:ascii="Times New Roman" w:hAnsi="Times New Roman"/>
          <w:caps w:val="false"/>
          <w:smallCaps w:val="false"/>
          <w:sz w:val="20"/>
        </w:rPr>
        <w:t>) all claims against the Company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all non-Florida residents’ claims against Generac Power for lack of personal jurisdiction and limited the Florida plaintiffs’ claims against Generac Power to a claim for breach of express warranty.  The Company disputes the allegations and intends to vigorously defend against the remaining claims in the Amended Complaint, including that the case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proceed as a class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It is presently unlikely that any legal, regulatory or other proceedings pending against or involving the Company will have a material adverse effect on the Company’s financial condition, results of operations or cash flows. However, in many of these matters, it is inherently difficult to determine whether a loss is probable or to estimate the size or range of the possible loss given the variety and potential outcomes of actual and potential claims, the uncertainty of future rulings, the behavior or incentives of adverse parties, and other factors outside the control of the Company. Accordingly, the Company’s loss reserves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change from time to time, and actual losses could exceed the amounts reserved by an amount that could be material to the Company’s consolidated financial position, results of operations or cash flows in any particular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19.</w:t>
            </w:r>
          </w:p>
        </w:tc>
        <w:tc>
          <w:tcPr>
            <w:tcW w:w="29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Valuation and Qualifying Accounts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96"/>
        <w:gridCol w:w="60"/>
        <w:gridCol w:w="275"/>
        <w:gridCol w:w="1307"/>
        <w:gridCol w:w="60"/>
        <w:gridCol w:w="60"/>
        <w:gridCol w:w="280"/>
        <w:gridCol w:w="1327"/>
        <w:gridCol w:w="60"/>
        <w:gridCol w:w="60"/>
        <w:gridCol w:w="257"/>
        <w:gridCol w:w="1126"/>
        <w:gridCol w:w="80"/>
        <w:gridCol w:w="60"/>
        <w:gridCol w:w="400"/>
        <w:gridCol w:w="1557"/>
        <w:gridCol w:w="60"/>
        <w:gridCol w:w="60"/>
        <w:gridCol w:w="219"/>
        <w:gridCol w:w="1036"/>
        <w:gridCol w:w="65"/>
      </w:tblGrid>
      <w:tr>
        <w:trPr/>
        <w:tc>
          <w:tcPr>
            <w:tcW w:w="1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at 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 Charged to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Charges to Reserve, Net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Reserves Established for Acquisitions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at End of Year</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December 31, 2025</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34,504</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Reserves for inventory</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5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69,266</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Valuation of deferred tax assets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6,538</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December 31, 2024</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35,465</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Reserves for inventory</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ind w:left="0" w:right="0" w:hanging="0"/>
              <w:jc w:val="left"/>
              <w:rPr/>
            </w:pPr>
            <w:r>
              <w:rPr/>
              <w:t> </w:t>
            </w:r>
          </w:p>
        </w:tc>
        <w:tc>
          <w:tcPr>
            <w:tcW w:w="15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48,173</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of deferred tax assets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0"/>
              <w:jc w:val="left"/>
              <w:rPr/>
            </w:pPr>
            <w:r>
              <w:rPr/>
              <w:t> </w:t>
            </w:r>
          </w:p>
        </w:tc>
        <w:tc>
          <w:tcPr>
            <w:tcW w:w="15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5,225</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December 31, 2023</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33,925</w:t>
            </w:r>
          </w:p>
        </w:tc>
        <w:tc>
          <w:tcPr>
            <w:tcW w:w="65" w:type="dxa"/>
            <w:tcBorders/>
            <w:shd w:fill="FFFFFF" w:val="clear"/>
            <w:vAlign w:val="center"/>
          </w:tcPr>
          <w:p>
            <w:pPr>
              <w:pStyle w:val="TableContents"/>
              <w:bidi w:val="0"/>
              <w:spacing w:before="0" w:after="283"/>
              <w:jc w:val="left"/>
              <w:rPr/>
            </w:pPr>
            <w:r>
              <w:rPr/>
              <w:t> </w:t>
            </w:r>
          </w:p>
        </w:tc>
      </w:tr>
      <w:tr>
        <w:trPr/>
        <w:tc>
          <w:tcPr>
            <w:tcW w:w="17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Reserves for inventory</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0"/>
              <w:jc w:val="left"/>
              <w:rPr/>
            </w:pPr>
            <w:r>
              <w:rPr/>
              <w:t> </w:t>
            </w:r>
          </w:p>
        </w:tc>
        <w:tc>
          <w:tcPr>
            <w:tcW w:w="15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39,027</w:t>
            </w:r>
          </w:p>
        </w:tc>
        <w:tc>
          <w:tcPr>
            <w:tcW w:w="65" w:type="dxa"/>
            <w:tcBorders/>
            <w:shd w:fill="CCEEFF"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of deferred tax assets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ind w:left="0" w:right="0" w:hanging="0"/>
              <w:jc w:val="left"/>
              <w:rPr/>
            </w:pPr>
            <w:r>
              <w:rPr/>
              <w:t> </w:t>
            </w:r>
          </w:p>
        </w:tc>
        <w:tc>
          <w:tcPr>
            <w:tcW w:w="15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r>
              <w:rPr>
                <w:rStyle w:val="Emphasis"/>
              </w:rPr>
              <w:t>1</w:t>
            </w:r>
            <w:r>
              <w:rPr/>
              <w:t>)</w:t>
            </w:r>
          </w:p>
        </w:tc>
        <w:tc>
          <w:tcPr>
            <w:tcW w:w="99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Deductions from the allowance for credit losses equal accounts receivable written off against the allowance, less recoveries, as well as foreign currency translation adjustments. Deductions from the reserves for inventory excess and obsolete items equal inventory written off against the reserve as items were disposed of, as well as foreign currency translation adjustments.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945" w:type="dxa"/>
        <w:jc w:val="left"/>
        <w:tblInd w:w="0" w:type="dxa"/>
        <w:tblLayout w:type="fixed"/>
        <w:tblCellMar>
          <w:top w:w="0" w:type="dxa"/>
          <w:left w:w="0" w:type="dxa"/>
          <w:bottom w:w="0" w:type="dxa"/>
          <w:right w:w="0" w:type="dxa"/>
        </w:tblCellMar>
      </w:tblPr>
      <w:tblGrid>
        <w:gridCol w:w="320"/>
        <w:gridCol w:w="1625"/>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20.</w:t>
            </w:r>
            <w:r>
              <w:rPr>
                <w:rFonts w:ascii="Times New Roman;Times;serif" w:hAnsi="Times New Roman;Times;serif"/>
                <w:b/>
                <w:sz w:val="20"/>
              </w:rPr>
              <w:t xml:space="preserve"> </w:t>
            </w:r>
          </w:p>
        </w:tc>
        <w:tc>
          <w:tcPr>
            <w:tcW w:w="16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Subsequent Events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 xml:space="preserve">the Company completed the acquisition of Allmand, a leading manufacturer of mobile power equipment for C&amp;I markets, headquartered in Holdrege, Nebraska, for a purchase price of $123,201. Due to the close proximity of the acquisition date and the Company's filing of its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initial accounting for the business combination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complete and is pending identification and measurement of the assets acquired and liabilities assumed. Accordingly, the information required by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will be disclosed in the Company's subsequent Form </w:t>
      </w:r>
      <w:r>
        <w:rPr>
          <w:rStyle w:val="Emphasis"/>
          <w:rFonts w:ascii="Times New Roman" w:hAnsi="Times New Roman"/>
          <w:caps w:val="false"/>
          <w:smallCaps w:val="false"/>
          <w:sz w:val="20"/>
        </w:rPr>
        <w:t>10</w:t>
      </w:r>
      <w:r>
        <w:rPr>
          <w:rFonts w:ascii="Times New Roman" w:hAnsi="Times New Roman"/>
          <w:caps w:val="false"/>
          <w:smallCaps w:val="false"/>
          <w:sz w:val="20"/>
        </w:rPr>
        <w:t>-Q.</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9, 2026</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the Company’s Board of Directors approved a new stock repurchase program that allows for the repurchase of up to $500,000 of the Company’s common stock over the next twenty-four months. The new program replaces the prior share repurchase program, which had approximately $199,340 remaining available for repurchase when the new program was approved. Pursuant to the approved program,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its common stock from time to time, in amounts and at prices the Company deems appropriate, subject to market conditions and other considerations. The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executed using open market purchases, privately negotiated agreements or other transactions. The actual timing, number and value of shares repurchased under the program will be determined by management at its discretion and in compliance with the terms of the Company's credit agreements. The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funded with cash on hand, available borrowings, or proceeds from potential debt or other capital markets sources. The stock repurchase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suspended or discontinued at any time without prior notice.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23" w:name="item9"/>
      <w:bookmarkEnd w:id="23"/>
      <w:r>
        <w:rPr>
          <w:rFonts w:ascii="Times New Roman;Times;serif" w:hAnsi="Times New Roman;Times;serif"/>
          <w:b/>
          <w:sz w:val="20"/>
        </w:rPr>
        <w:t>Item 9. Changes in and Disagreements with Accountants</w:t>
      </w:r>
      <w:r>
        <w:rPr>
          <w:rFonts w:ascii="Times New Roman;Times;serif" w:hAnsi="Times New Roman;Times;serif"/>
          <w:sz w:val="20"/>
        </w:rPr>
        <w:t xml:space="preserve"> </w:t>
      </w:r>
      <w:r>
        <w:rPr>
          <w:rFonts w:ascii="Times New Roman;Times;serif" w:hAnsi="Times New Roman;Times;serif"/>
          <w:b/>
          <w:sz w:val="20"/>
        </w:rPr>
        <w:t>on Accounting and Financial Disclosure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or disagreements with, accountants reportable herein.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4" w:name="item9a"/>
      <w:bookmarkEnd w:id="24"/>
      <w:r>
        <w:rPr>
          <w:rFonts w:ascii="Times New Roman;Times;serif" w:hAnsi="Times New Roman;Times;serif"/>
          <w:b/>
          <w:sz w:val="20"/>
        </w:rPr>
        <w:t>Item 9A.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by us in reports we file or submit under the Securities Exchange Act of 1934 (Exchange Act), is recorded, processed, summarized and reported within the time periods specified in the Securities and Exchange Commission rules and forms. Disclosure controls and procedures include, without limitation, controls and procedures designed to ensure that such information is accumulated and communicated to our management, including our Chief Executive Officer and Chief Financial Officer, as appropriate, to allow for timely decisions regarding required disclosure.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has conducted an evaluation of the design and operation of our disclosure controls and procedures as defined in Rule 13a-15(e) and 15d-15(e) under the Exchange Act as of the end of the period covered by this report on Form 10-K. Based on that evaluation, our Chief Executive Officer and Chief Financial Officer concluded that our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and 15d-15(f) under the Exchange Act. Our internal control over financial reporting is designed under the supervision of our Chief Executive Officer and Chief Financial Officer to provide reasonable assurance regarding the reliability of financial reporting and the preparation of the consolidated financial statements in accordance with U.S. GAAP.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the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inherent limitations to the effectiveness of any internal control over financial reporting, including the possibility of human error or the circumvention or overriding of the controls. Accordingly, even an effective internal control over financial reporting can provide only reasonable assurance of achieving its objective.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supervision and with the participation of our Chief Executive Officer and Chief Financial Officer, our management conducted an assessment of the effectiveness of internal control over financial reporting as of December 31, 2025 based on the criteria established in the 2013 </w:t>
      </w:r>
      <w:r>
        <w:rPr>
          <w:rFonts w:ascii="Times New Roman;Times;serif" w:hAnsi="Times New Roman;Times;serif"/>
          <w:i/>
          <w:sz w:val="20"/>
        </w:rPr>
        <w:t>Internal Control – Integrated Framework</w:t>
      </w:r>
      <w:r>
        <w:rPr>
          <w:rFonts w:ascii="Times New Roman;Times;serif" w:hAnsi="Times New Roman;Times;serif"/>
          <w:sz w:val="20"/>
        </w:rPr>
        <w:t>, issued by the Committee of Sponsoring Organizations of the Treadway Commission (COSO). Based on this assessment, our management has concluded that our internal control over financial reporting was effective as of December 31, 2025.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Deloitte &amp; Touche LLP (PCAOB ID No. 34), the Company’s independent registered public accounting firm, issued an attestation report on the effectiveness of the Company’s internal control over financial reporting as of December 31, 2025, which is included herein.</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 over financial reporting that occurred during the three months ended December 31, 2025 that have materially affected, or are reasonably likely to materially affect, our internal control over financial reporting.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5" w:name="item9b"/>
      <w:bookmarkEnd w:id="25"/>
      <w:r>
        <w:rPr>
          <w:rFonts w:ascii="Times New Roman;Times;serif" w:hAnsi="Times New Roman;Times;serif"/>
          <w:b/>
          <w:sz w:val="20"/>
        </w:rPr>
        <w:t>Item </w:t>
      </w:r>
      <w:r>
        <w:rPr>
          <w:rStyle w:val="Emphasis"/>
          <w:rFonts w:ascii="Times New Roman;Times;serif" w:hAnsi="Times New Roman;Times;serif"/>
          <w:b/>
          <w:sz w:val="20"/>
        </w:rPr>
        <w:t>9B.</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Adoption: On </w:t>
      </w:r>
      <w:r>
        <w:rPr>
          <w:rStyle w:val="Emphasis"/>
          <w:rFonts w:ascii="Times New Roman;Times;serif" w:hAnsi="Times New Roman;Times;serif"/>
          <w:sz w:val="20"/>
        </w:rPr>
        <w:t xml:space="preserve">December 4, 2025, </w:t>
      </w:r>
      <w:r>
        <w:rPr>
          <w:rFonts w:ascii="Times New Roman;Times;serif" w:hAnsi="Times New Roman;Times;serif"/>
          <w:sz w:val="20"/>
        </w:rPr>
        <w:t xml:space="preserve">Aaron Jagdfeld, Chief Executive Officer and director, adopted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that is intended to satisfy the affirmative defense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for the sale of up to 60,000 shares of the Company’s common stock until </w:t>
      </w:r>
      <w:r>
        <w:rPr>
          <w:rStyle w:val="Emphasis"/>
          <w:rFonts w:ascii="Times New Roman;Times;serif" w:hAnsi="Times New Roman;Times;serif"/>
          <w:sz w:val="20"/>
        </w:rPr>
        <w:t>February 26, 2027.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6" w:name="item9c"/>
      <w:bookmarkEnd w:id="26"/>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7" w:name="part3"/>
      <w:bookmarkEnd w:id="27"/>
      <w:r>
        <w:rPr>
          <w:rFonts w:ascii="Times New Roman;Times;serif" w:hAnsi="Times New Roman;Times;serif"/>
          <w:b/>
          <w:sz w:val="20"/>
        </w:rPr>
        <w:t>PART III</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8" w:name="item10"/>
      <w:bookmarkEnd w:id="28"/>
      <w:r>
        <w:rPr>
          <w:rFonts w:ascii="Times New Roman;Times;serif" w:hAnsi="Times New Roman;Times;serif"/>
          <w:b/>
          <w:sz w:val="20"/>
        </w:rPr>
        <w:t>Item </w:t>
      </w:r>
      <w:r>
        <w:rPr>
          <w:rStyle w:val="Emphasis"/>
          <w:rFonts w:ascii="Times New Roman;Times;serif" w:hAnsi="Times New Roman;Times;serif"/>
          <w:b/>
          <w:sz w:val="20"/>
        </w:rPr>
        <w:t>10.</w:t>
      </w:r>
      <w:r>
        <w:rPr>
          <w:rFonts w:ascii="Times New Roman;Times;serif" w:hAnsi="Times New Roman;Times;serif"/>
          <w:b/>
          <w:sz w:val="20"/>
        </w:rPr>
        <w:t xml:space="preserve"> Directors, Executive Officers and Corporate Governance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information required by Item </w:t>
      </w:r>
      <w:r>
        <w:rPr>
          <w:rStyle w:val="Emphasis"/>
          <w:rFonts w:ascii="Times New Roman;Times;serif" w:hAnsi="Times New Roman;Times;serif"/>
          <w:sz w:val="20"/>
        </w:rPr>
        <w:t>10</w:t>
      </w:r>
      <w:r>
        <w:rPr>
          <w:rFonts w:ascii="Times New Roman;Times;serif" w:hAnsi="Times New Roman;Times;serif"/>
          <w:sz w:val="20"/>
        </w:rPr>
        <w:t xml:space="preserve"> </w:t>
      </w:r>
      <w:r>
        <w:rPr>
          <w:rStyle w:val="Emphasis"/>
          <w:rFonts w:ascii="Times New Roman;Times;serif" w:hAnsi="Times New Roman;Times;serif"/>
          <w:sz w:val="20"/>
        </w:rPr>
        <w:t>not</w:t>
      </w:r>
      <w:r>
        <w:rPr>
          <w:rFonts w:ascii="Times New Roman;Times;serif" w:hAnsi="Times New Roman;Times;serif"/>
          <w:sz w:val="20"/>
        </w:rPr>
        <w:t xml:space="preserve"> already provided herein under “Item </w:t>
      </w:r>
      <w:r>
        <w:rPr>
          <w:rStyle w:val="Emphasis"/>
          <w:rFonts w:ascii="Times New Roman;Times;serif" w:hAnsi="Times New Roman;Times;serif"/>
          <w:sz w:val="20"/>
        </w:rPr>
        <w:t>1</w:t>
      </w:r>
      <w:r>
        <w:rPr>
          <w:rFonts w:ascii="Times New Roman;Times;serif" w:hAnsi="Times New Roman;Times;serif"/>
          <w:sz w:val="20"/>
        </w:rPr>
        <w:t xml:space="preserve"> – Business – Information About Our Executive Officers”, will be included in our 2026 Proxy Statement and is incorporated herein by reference.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9" w:name="item11"/>
      <w:bookmarkEnd w:id="29"/>
      <w:r>
        <w:rPr>
          <w:rFonts w:ascii="Times New Roman;Times;serif" w:hAnsi="Times New Roman;Times;serif"/>
          <w:b/>
          <w:sz w:val="20"/>
        </w:rPr>
        <w:t>Item </w:t>
      </w:r>
      <w:r>
        <w:rPr>
          <w:rStyle w:val="Emphasis"/>
          <w:rFonts w:ascii="Times New Roman;Times;serif" w:hAnsi="Times New Roman;Times;serif"/>
          <w:b/>
          <w:sz w:val="20"/>
        </w:rPr>
        <w:t>11.</w:t>
      </w:r>
      <w:r>
        <w:rPr>
          <w:rFonts w:ascii="Times New Roman;Times;serif" w:hAnsi="Times New Roman;Times;serif"/>
          <w:b/>
          <w:sz w:val="20"/>
        </w:rPr>
        <w:t xml:space="preserve"> Executive Compensation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included in our 2026 Proxy Statement and is incorporated herein by reference.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0" w:name="item12"/>
      <w:bookmarkEnd w:id="30"/>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including under the heading “Securities Authorized for Issuance Under Equity Compensation Plans,” will be included in our 2026 Proxy Statement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1" w:name="item13"/>
      <w:bookmarkEnd w:id="31"/>
      <w:r>
        <w:rPr>
          <w:rFonts w:ascii="Times New Roman;Times;serif" w:hAnsi="Times New Roman;Times;serif"/>
          <w:b/>
          <w:sz w:val="20"/>
        </w:rPr>
        <w:t>Item 13. Certain Relationships and Related Transactions, and Director Independence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included in our 2026 Proxy Statement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2" w:name="item14"/>
      <w:bookmarkEnd w:id="32"/>
      <w:r>
        <w:rPr>
          <w:rFonts w:ascii="Times New Roman;Times;serif" w:hAnsi="Times New Roman;Times;serif"/>
          <w:b/>
          <w:sz w:val="20"/>
        </w:rPr>
        <w:t>Item 14. Principal Accountant Fees and Services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included in our 2026 Proxy Statement and is incorporated herein by reference.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33" w:name="part4"/>
      <w:bookmarkEnd w:id="33"/>
      <w:r>
        <w:rPr>
          <w:rFonts w:ascii="Times New Roman;Times;serif" w:hAnsi="Times New Roman;Times;serif"/>
          <w:b/>
          <w:sz w:val="20"/>
        </w:rPr>
        <w:t>PART IV</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4" w:name="item15"/>
      <w:bookmarkEnd w:id="34"/>
      <w:r>
        <w:rPr>
          <w:rFonts w:ascii="Times New Roman;Times;serif" w:hAnsi="Times New Roman;Times;serif"/>
          <w:b/>
          <w:sz w:val="20"/>
        </w:rPr>
        <w:t>Item 15. Exhibits and Financial Statement Schedules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(a)(1)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Part II of this report:</w:t>
      </w:r>
    </w:p>
    <w:p>
      <w:pPr>
        <w:pStyle w:val="TextBody"/>
        <w:bidi w:val="0"/>
        <w:spacing w:before="0" w:after="0"/>
        <w:ind w:left="0" w:right="0" w:hanging="0"/>
        <w:jc w:val="left"/>
        <w:rPr/>
      </w:pPr>
      <w:r>
        <w:rPr/>
        <w:t> </w:t>
      </w:r>
    </w:p>
    <w:tbl>
      <w:tblPr>
        <w:tblW w:w="8800" w:type="dxa"/>
        <w:jc w:val="left"/>
        <w:tblInd w:w="0" w:type="dxa"/>
        <w:tblLayout w:type="fixed"/>
        <w:tblCellMar>
          <w:top w:w="0" w:type="dxa"/>
          <w:left w:w="0" w:type="dxa"/>
          <w:bottom w:w="0" w:type="dxa"/>
          <w:right w:w="0" w:type="dxa"/>
        </w:tblCellMar>
      </w:tblPr>
      <w:tblGrid>
        <w:gridCol w:w="8360"/>
        <w:gridCol w:w="440"/>
      </w:tblGrid>
      <w:tr>
        <w:trPr/>
        <w:tc>
          <w:tcPr>
            <w:tcW w:w="83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360" w:type="dxa"/>
            <w:tcBorders/>
            <w:vAlign w:val="center"/>
          </w:tcPr>
          <w:p>
            <w:pPr>
              <w:pStyle w:val="TableContents"/>
              <w:bidi w:val="0"/>
              <w:spacing w:before="0" w:after="0"/>
              <w:ind w:left="200" w:right="0" w:hanging="200"/>
              <w:jc w:val="left"/>
              <w:rPr/>
            </w:pPr>
            <w:hyperlink w:anchor="report">
              <w:r>
                <w:rPr>
                  <w:rStyle w:val="InternetLink"/>
                  <w:rFonts w:ascii="Times New Roman;Times;serif" w:hAnsi="Times New Roman;Times;serif"/>
                  <w:sz w:val="20"/>
                </w:rPr>
                <w:t>Reports of Independent Registered Public Accounting Firm</w:t>
              </w:r>
            </w:hyperlink>
          </w:p>
        </w:tc>
        <w:tc>
          <w:tcPr>
            <w:tcW w:w="440" w:type="dxa"/>
            <w:tcBorders/>
            <w:vAlign w:val="center"/>
          </w:tcPr>
          <w:p>
            <w:pPr>
              <w:pStyle w:val="TableContents"/>
              <w:bidi w:val="0"/>
              <w:spacing w:before="0" w:after="0"/>
              <w:ind w:left="0" w:right="0" w:hanging="0"/>
              <w:jc w:val="center"/>
              <w:rPr/>
            </w:pPr>
            <w:hyperlink w:anchor="report">
              <w:r>
                <w:rPr>
                  <w:rStyle w:val="InternetLink"/>
                  <w:rFonts w:ascii="Times New Roman;Times;serif" w:hAnsi="Times New Roman;Times;serif"/>
                  <w:sz w:val="20"/>
                </w:rPr>
                <w:t>41</w:t>
              </w:r>
            </w:hyperlink>
          </w:p>
        </w:tc>
      </w:tr>
      <w:tr>
        <w:trPr/>
        <w:tc>
          <w:tcPr>
            <w:tcW w:w="8360" w:type="dxa"/>
            <w:tcBorders/>
            <w:vAlign w:val="center"/>
          </w:tcPr>
          <w:p>
            <w:pPr>
              <w:pStyle w:val="TableContents"/>
              <w:bidi w:val="0"/>
              <w:spacing w:before="0" w:after="0"/>
              <w:ind w:left="200" w:right="0" w:hanging="200"/>
              <w:jc w:val="left"/>
              <w:rPr/>
            </w:pPr>
            <w:hyperlink w:anchor="bs">
              <w:r>
                <w:rPr>
                  <w:rStyle w:val="InternetLink"/>
                  <w:rFonts w:ascii="Times New Roman;Times;serif" w:hAnsi="Times New Roman;Times;serif"/>
                  <w:sz w:val="20"/>
                </w:rPr>
                <w:t>Consolidated balance sheets as of December 31, 2025 and 2024</w:t>
              </w:r>
            </w:hyperlink>
          </w:p>
        </w:tc>
        <w:tc>
          <w:tcPr>
            <w:tcW w:w="440" w:type="dxa"/>
            <w:tcBorders/>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sz w:val="20"/>
                </w:rPr>
                <w:t>44</w:t>
              </w:r>
            </w:hyperlink>
          </w:p>
        </w:tc>
      </w:tr>
      <w:tr>
        <w:trPr/>
        <w:tc>
          <w:tcPr>
            <w:tcW w:w="8360" w:type="dxa"/>
            <w:tcBorders/>
            <w:vAlign w:val="center"/>
          </w:tcPr>
          <w:p>
            <w:pPr>
              <w:pStyle w:val="TableContents"/>
              <w:bidi w:val="0"/>
              <w:spacing w:before="0" w:after="0"/>
              <w:ind w:left="200" w:right="0" w:hanging="200"/>
              <w:jc w:val="left"/>
              <w:rPr/>
            </w:pPr>
            <w:hyperlink w:anchor="income">
              <w:r>
                <w:rPr>
                  <w:rStyle w:val="InternetLink"/>
                  <w:rFonts w:ascii="Times New Roman;Times;serif" w:hAnsi="Times New Roman;Times;serif"/>
                  <w:sz w:val="20"/>
                </w:rPr>
                <w:t>Consolidated statements of comprehensive income for years ended December 31, 2025, 2024 and 2023</w:t>
              </w:r>
            </w:hyperlink>
          </w:p>
        </w:tc>
        <w:tc>
          <w:tcPr>
            <w:tcW w:w="440" w:type="dxa"/>
            <w:tcBorders/>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sz w:val="20"/>
                </w:rPr>
                <w:t>45</w:t>
              </w:r>
            </w:hyperlink>
          </w:p>
        </w:tc>
      </w:tr>
      <w:tr>
        <w:trPr/>
        <w:tc>
          <w:tcPr>
            <w:tcW w:w="8360" w:type="dxa"/>
            <w:tcBorders/>
            <w:vAlign w:val="center"/>
          </w:tcPr>
          <w:p>
            <w:pPr>
              <w:pStyle w:val="TableContents"/>
              <w:bidi w:val="0"/>
              <w:spacing w:before="0" w:after="0"/>
              <w:ind w:left="200" w:right="0" w:hanging="200"/>
              <w:jc w:val="left"/>
              <w:rPr/>
            </w:pPr>
            <w:hyperlink w:anchor="equity">
              <w:r>
                <w:rPr>
                  <w:rStyle w:val="InternetLink"/>
                  <w:rFonts w:ascii="Times New Roman;Times;serif" w:hAnsi="Times New Roman;Times;serif"/>
                  <w:sz w:val="20"/>
                </w:rPr>
                <w:t>Consolidated statements of stockholders’ equity for years ended December 31, 2025, 2024 and 2023</w:t>
              </w:r>
            </w:hyperlink>
          </w:p>
        </w:tc>
        <w:tc>
          <w:tcPr>
            <w:tcW w:w="440" w:type="dxa"/>
            <w:tcBorders/>
            <w:vAlign w:val="center"/>
          </w:tcPr>
          <w:p>
            <w:pPr>
              <w:pStyle w:val="TableContents"/>
              <w:bidi w:val="0"/>
              <w:spacing w:before="0" w:after="0"/>
              <w:ind w:left="0" w:right="0" w:hanging="0"/>
              <w:jc w:val="center"/>
              <w:rPr/>
            </w:pPr>
            <w:hyperlink w:anchor="equity">
              <w:r>
                <w:rPr>
                  <w:rStyle w:val="InternetLink"/>
                  <w:rFonts w:ascii="Times New Roman;Times;serif" w:hAnsi="Times New Roman;Times;serif"/>
                  <w:sz w:val="20"/>
                </w:rPr>
                <w:t>46</w:t>
              </w:r>
            </w:hyperlink>
          </w:p>
        </w:tc>
      </w:tr>
      <w:tr>
        <w:trPr/>
        <w:tc>
          <w:tcPr>
            <w:tcW w:w="8360" w:type="dxa"/>
            <w:tcBorders/>
            <w:vAlign w:val="center"/>
          </w:tcPr>
          <w:p>
            <w:pPr>
              <w:pStyle w:val="TableContents"/>
              <w:bidi w:val="0"/>
              <w:spacing w:before="0" w:after="0"/>
              <w:ind w:left="200" w:right="0" w:hanging="200"/>
              <w:jc w:val="left"/>
              <w:rPr/>
            </w:pPr>
            <w:hyperlink w:anchor="cf">
              <w:r>
                <w:rPr>
                  <w:rStyle w:val="InternetLink"/>
                  <w:rFonts w:ascii="Times New Roman;Times;serif" w:hAnsi="Times New Roman;Times;serif"/>
                  <w:sz w:val="20"/>
                </w:rPr>
                <w:t>Consolidated statements of cash flows for the years ended December 31, 2025, 2024 and 2023</w:t>
              </w:r>
            </w:hyperlink>
          </w:p>
        </w:tc>
        <w:tc>
          <w:tcPr>
            <w:tcW w:w="440" w:type="dxa"/>
            <w:tcBorders/>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sz w:val="20"/>
                </w:rPr>
                <w:t>47</w:t>
              </w:r>
            </w:hyperlink>
          </w:p>
        </w:tc>
      </w:tr>
      <w:tr>
        <w:trPr/>
        <w:tc>
          <w:tcPr>
            <w:tcW w:w="8360" w:type="dxa"/>
            <w:tcBorders/>
            <w:vAlign w:val="center"/>
          </w:tcPr>
          <w:p>
            <w:pPr>
              <w:pStyle w:val="TableContents"/>
              <w:bidi w:val="0"/>
              <w:spacing w:before="0" w:after="0"/>
              <w:ind w:left="200" w:right="0" w:hanging="200"/>
              <w:jc w:val="left"/>
              <w:rPr/>
            </w:pPr>
            <w:hyperlink w:anchor="notes">
              <w:r>
                <w:rPr>
                  <w:rStyle w:val="InternetLink"/>
                  <w:rFonts w:ascii="Times New Roman;Times;serif" w:hAnsi="Times New Roman;Times;serif"/>
                  <w:sz w:val="20"/>
                </w:rPr>
                <w:t>Notes to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48</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(a)(2) Financial Statement Schedules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(a)(3) Exhibits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below exhibits index is the list of the exhibits being filed or furnished with or incorporated by reference into this Annual Report on Form 10-K:</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p>
            <w:pPr>
              <w:pStyle w:val="TableContents"/>
              <w:bidi w:val="0"/>
              <w:spacing w:before="0" w:after="0"/>
              <w:ind w:left="0" w:right="0" w:hanging="0"/>
              <w:jc w:val="center"/>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sz w:val="20"/>
                </w:rPr>
                <w:t>Third Amended and Restated Certificate of Incorporation of Generac Holdings Inc. (incorporated by reference to Exhibit 3.1 of the Company’s Annual Report on Form 10-K for the fiscal year ended December 31, 2009).</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sz w:val="20"/>
                </w:rPr>
                <w:t>Amended and Restated Bylaws of Generac Holdings Inc. (incorporated by reference to Exhibit 3.2 of the Company’s Current Report on Form 8-K filed with the SEC on March 10, 2023).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sz w:val="20"/>
                </w:rPr>
                <w:t>Form of Common Stock Certificate (incorporated by reference to Exhibit 4.1 of the Registration Statement on Form S-1 filed with the SEC on January 25, 2010).</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sz w:val="20"/>
                </w:rPr>
                <w:t>Description of Securities (incorporated by reference to Exhibit 4.2 of the Annual Report on Form 10-K filed with the SEC on February 25, 2020).</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sz w:val="20"/>
                </w:rPr>
                <w:t>Credit Agreement, Dated as of February 9, 2012, As Amended and Restated as of May 30, 2012, As Further Amended and Restated as of May 31, 2013, among Generac Power Systems, Inc., Generac Acquisition Corp., the lenders party thereto, JPMorgan Chase Bank, N.A., as Administrative Agent and Bank of America, N.A. and Goldman Sachs Bank USA, as syndication agent (incorporated by reference to Exhibit 10.2 to the Company’s Current Report on Form 8-K filed with the SEC on June 4, 2013).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8">
              <w:r>
                <w:rPr>
                  <w:rStyle w:val="InternetLink"/>
                </w:rPr>
                <w:t>First Amendment dated as of May 18, 2015, to Credit Agreement, dated as of February 9, 2012, as amended and restated as of May 30, 2012, as further amended and restated as of May 31, 2013, among Generac Power Systems, Inc., Generac Acquisition Corp., the lenders party thereto, JPMorgan Chase Bank, N.A. as administrative agent and Bank of America, N.A. and Goldman Sachs Bank USA, as syndication agents and Deutsche Bank Securities Inc., Morgan Stanley Senior Funding, Inc. and Wells Fargo Bank, N.A. as document agents (incorporated by reference to Exhibit 10.2 to the Company's Quarterly Report on Form 10-Q filed with the SEC on August 7, 2015).</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9">
              <w:r>
                <w:rPr>
                  <w:rStyle w:val="InternetLink"/>
                  <w:rFonts w:ascii="Times New Roman;Times;serif" w:hAnsi="Times New Roman;Times;serif"/>
                  <w:sz w:val="20"/>
                </w:rPr>
                <w:t>Replacement Term Loan Amendment dated as of November 2, 2016, among Generac Power Systems, Inc., Generac Acquisition Corp., the lenders party thereto, JPMorgan Chase Bank, N.A., as Administrative Agent, and the other agents named therein (incorporated by reference to Exhibit 10.1 to the Company’s Current Report on Form 8-K filed with the SEC on November 3, 2016).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0">
              <w:r>
                <w:rPr>
                  <w:rStyle w:val="InternetLink"/>
                  <w:rFonts w:ascii="Times New Roman;Times;serif" w:hAnsi="Times New Roman;Times;serif"/>
                  <w:sz w:val="20"/>
                </w:rPr>
                <w:t>2017 Replacement Term Loan Amendment dated as of May 11, 2017, among Generac Power Systems, Inc., Generac Acquisition Corp., the lenders party thereto, JPMorgan Chase Bank, N.A., as Administrative Agent, and the other agents named therein (incorporated by reference to Exhibit 10.1 to the Company’s Current Report on Form 8-K filed with the SEC on May 15, 2017).</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10.5</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1">
              <w:r>
                <w:rPr>
                  <w:rStyle w:val="InternetLink"/>
                  <w:rFonts w:ascii="Times New Roman;Times;serif" w:hAnsi="Times New Roman;Times;serif"/>
                  <w:sz w:val="20"/>
                </w:rPr>
                <w:t>2017-2 Replacement Term Loan Amendment dated as of December 8, 2017, among Generac Power Systems, Inc., Generac Acquisition Corp., the lenders party thereto, JPMorgan Chase Bank, N.A., as Administrative Agent, and the other agents named therein (incorporated by reference to Exhibit 10.1 to the Company’s Current Report on Form 8-K filed with the SEC on December 11, 2017).</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10.6</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2">
              <w:r>
                <w:rPr>
                  <w:rStyle w:val="InternetLink"/>
                  <w:rFonts w:ascii="Times New Roman;Times;serif" w:hAnsi="Times New Roman;Times;serif"/>
                  <w:sz w:val="20"/>
                </w:rPr>
                <w:t>2018 Replacement Term Loan Amendment, dated as of June 8, 2018, among Generac Power Systems, Inc., Generac Acquisition Corp., the lenders party thereto, JPMorgan Chase Bank, N.A., as Administrative Agent, and the other agents named therein (incorporated by reference to Exhibit 10.1 of the Current Report on Form 8-K filed with the SEC on June 14, 2018).</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3">
              <w:r>
                <w:rPr>
                  <w:rStyle w:val="InternetLink"/>
                  <w:rFonts w:ascii="Times New Roman;Times;serif" w:hAnsi="Times New Roman;Times;serif"/>
                  <w:sz w:val="20"/>
                </w:rPr>
                <w:t>2019 Replacement Term Loan Amendment, dated as of December 13, 2019, among Generac Power Systems, Inc., Generac Acquisition Corp., the lenders party thereto, JPMorgan Chase Bank, N.A., as Administrative Agent, and the other agents named therein (incorporated by reference to Exhibit 10.1 of the Current Report on Form 8-K filed with the SEC on December 16, 2019).</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2" w:space="0" w:color="000000"/>
            </w:tcBorders>
            <w:vAlign w:val="center"/>
          </w:tcPr>
          <w:p>
            <w:pPr>
              <w:pStyle w:val="TableContents"/>
              <w:bidi w:val="0"/>
              <w:spacing w:before="0" w:after="283"/>
              <w:jc w:val="left"/>
              <w:rPr>
                <w:b/>
              </w:rPr>
            </w:pPr>
            <w:r>
              <w:rPr>
                <w:b/>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2" w:space="0" w:color="000000"/>
            </w:tcBorders>
            <w:vAlign w:val="center"/>
          </w:tcPr>
          <w:p>
            <w:pPr>
              <w:pStyle w:val="TableContents"/>
              <w:bidi w:val="0"/>
              <w:spacing w:before="0" w:after="283"/>
              <w:jc w:val="center"/>
              <w:rPr>
                <w:b/>
              </w:rPr>
            </w:pPr>
            <w:r>
              <w:rPr>
                <w:b/>
              </w:rPr>
              <w:t>Description</w:t>
            </w:r>
          </w:p>
        </w:tc>
      </w:tr>
      <w:tr>
        <w:trPr/>
        <w:tc>
          <w:tcPr>
            <w:tcW w:w="875" w:type="dxa"/>
            <w:tcBorders/>
            <w:tcMar>
              <w:bottom w:w="0" w:type="dxa"/>
            </w:tcMar>
            <w:vAlign w:val="center"/>
          </w:tcPr>
          <w:p>
            <w:pPr>
              <w:pStyle w:val="TableContents"/>
              <w:bidi w:val="0"/>
              <w:spacing w:before="0" w:after="283"/>
              <w:jc w:val="left"/>
              <w:rPr/>
            </w:pPr>
            <w:r>
              <w:rPr/>
              <w:t>10.8</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4">
              <w:r>
                <w:rPr>
                  <w:rStyle w:val="InternetLink"/>
                </w:rPr>
                <w:t>Second Amendment, dated as of July 1, 2025, to that certain Credit Agreement, dated as of February 9, 2012, as amended and restated as of May 30, 2012, as further amended and restated as of May 31, 2013, as amended by the First Amendment dated as of May </w:t>
              </w:r>
            </w:hyperlink>
            <w:hyperlink r:id="rId15">
              <w:r>
                <w:rPr>
                  <w:rStyle w:val="InternetLink"/>
                </w:rPr>
                <w:t>18, 2015, as further amended by the Replacement Term Loan Amendment, dated as of November 2, 2016, as further amended by the 2017 Replacement Term Loan Amendment, dated as of May 11, 2017, as further amended by the 2017-2 Replacement Term Loan Amendment, dated December 8, 2017, as further amended by the 2018 Replacement Term Loan Amendment, dated June 8, 2018, and as further amended by the 2019 Replacement Term Loan Amendment, dated December 13, 2019, among Generac Power Systems, Inc., Generac Acquisition Corp., the other Loan Parties (as defined therein) party thereto, the lenders party thereto, JPMorgan Chase Bank, N.A., as Administrative Agent and the other agents named therein (incorporated by reference to Exhibit 10.2 of the Current Report on Form 8-K filed with the SEC on May 28, 2021).</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10.9</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6">
              <w:r>
                <w:rPr>
                  <w:rStyle w:val="InternetLink"/>
                  <w:u w:val="single"/>
                </w:rPr>
                <w:t>Third Amendment, dated as of June 29, 2022, amending and restating that certain Credit Agreement, dated as of February 9, 2012, as amended and restated as of May 30, 2012, as further amended and restated as of May 31, 2013, as amended by the First Amendment, dated as of May 18, 2015, as further amended by the Replacement Term Loan Amendment, dated as of November 2, 2016, as further amended by the 2017 Replacement Term Loan Amendment, dated as of May 11, 2017, as further amended by the 2017-2 Replacement Term Loan Amendment, dated December 8, 2017, as further amended by the 2018 Replacement Term Loan Amendment, dated June 8, 2018, as further amended by the 2019 Replacement Term Loan Amendment, dated December 13, 2019 and as further amended by the Second Amendment, dated May 27, 2021, among Generac Power Systems, Inc., Generac Acquisition Corp., the other Loan Parties (as defined therein) party thereto, the lenders party thereto, JPMorgan Chase Bank, N.A., as Administrative Agent and the other agents named therein (incorporated by reference to Exhibit 10.1 of the Current Report on Form 8-K filed with the SEC on June 30, 2022.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10.10</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7">
              <w:r>
                <w:rPr>
                  <w:rStyle w:val="InternetLink"/>
                </w:rPr>
                <w:t>First Amendment, dated as of January 31, 2023, to that certain Credit Agreement, dated as of February 9, 2012, as amended and restated as of May 30, 2012, as further amended and restated as of May 31, 2013, as amended by the First Amendment, dated as of May 18, 2015, as further amended by the Replacement Term Loan Amendment, dated as of November 2, 2016, as further amended by the 2017 Replacement Term Loan Amendment, dated as of May 11, 2017, as further amended by the 2017-2 Replacement Term Loan Amendment, dated December 8, 2017, as further amended by the 2018 Replacement Term Loan Amendment, dated June 8, 2018, as further amended by the 2019 Replacement Term Loan Amendment, dated December 13, 2019, as further amended by the Second Amendment, dated May 27, 2021, and as further amended and restated by the Third Amendment, dated June 29, 2022, among Generac Power Systems, Inc., Generac Acquisition Corp., the other Loan Parties (as defined therein) party thereto, the lenders party thereto, JPMorgan Chase Bank, N.A., as Administrative Agent and the other agents named therein (incorporated by reference to Exhibit 10.10 of the Annual Report on Form 10-K filed with the SEC on February 22, 2023).</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18">
              <w:r>
                <w:rPr>
                  <w:rStyle w:val="InternetLink"/>
                  <w:rFonts w:ascii="Times New Roman;Times;serif" w:hAnsi="Times New Roman;Times;serif"/>
                  <w:sz w:val="20"/>
                </w:rPr>
                <w:t>Restatement Agreement, dated as of May 31, 2013, to that certain Credit Agreement, dated as of February 9, 2012, as amended and restated as of May 30, 2012, among Generac Power Systems, Inc., Generac Acquisition Corp., the lenders party thereto, JPMorgan Chase Bank, N.A., as Administrative Agent, and Bank of America, N.A. and Goldman Sachs Bank USA, as syndication agents (incorporated by reference to Exhibit 10.1 to the Company’s Current Report on Form 8-K filed with the SEC on June 4, 2013).</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   </w:t>
            </w:r>
            <w:r>
              <w:rPr/>
              <w:t>10.12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9">
              <w:r>
                <w:rPr>
                  <w:rStyle w:val="InternetLink"/>
                  <w:u w:val="single"/>
                </w:rPr>
                <w:t>2024 Replacement Term Loan Amendment, dated as of July 3, 2024, to that certain Credit Agreement, dated as of February 9, 2012, as amended and restated as of May 30, 2012, as further amended and restated as of May 31, 2013, as amended by the First Amendment dated as of May 18, 2015, as amended by the Replacement Term Loan Amendment dated as of November 2, 2016, as amended by the 2017 Replacement Term Loan Amendment dated as of May 11, 2017, as amended by the 2017-2 Replacement Term Loan Amendment dated as of December 8, 2017, as amended by the 2018 Replacement Term Loan Amendment dated as of June 8, 2018, as amended by the 2019 Replacement Term Loan Amendment dated as of December 13, 2019, as amended by the Second Amendment dated as of May 27, 2021, as amended and restated by the Third Amendment dated as of June 29, 2022 and as amended by the First Amendment dated as of January 31, 2023, among Generac Acquisition Corp., Generac Power Systems, Inc., several lenders, and JPMorgan Chase Bank, N.A., as administrative agent (incorporated by reference to Exhibit 10.1 to the Company’s Current Report on Form 8-K filed with the SEC on July 5, 2024).</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0">
              <w:r>
                <w:rPr>
                  <w:rStyle w:val="InternetLink"/>
                  <w:rFonts w:ascii="Times New Roman;Times;serif" w:hAnsi="Times New Roman;Times;serif"/>
                  <w:sz w:val="20"/>
                </w:rPr>
                <w:t>Guarantee and Collateral Agreement, dated as of February 9, 2012, as amended and restated as of May 30, 2012, among Generac Holdings Inc., Generac Acquisition Corp., Generac Power Systems, Inc., certain subsidiaries of Generac Power Systems, Inc. and JPMorgan Chase Bank, N.A., as Administrative Agent (incorporated by reference to Exhibit 10.2 of the Company’s Current Report on Form 8-K filed with the SEC on May 31, 2012).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1">
              <w:r>
                <w:rPr>
                  <w:rStyle w:val="InternetLink"/>
                  <w:rFonts w:ascii="Times New Roman;Times;serif" w:hAnsi="Times New Roman;Times;serif"/>
                  <w:sz w:val="20"/>
                </w:rPr>
                <w:t>First Amendment to Guarantee and Collateral Agreement dated as of May 31, 2013, among Generac Holdings Inc., Generac Acquisition Corp., Generac Power Systems, Inc., certain subsidiaries of Generac Power Systems, Inc. and JPMorgan Chase Bank, N.A., as Administrative Agent (incorporated by reference to Exhibit 10.3 to the Company’s Current Report on Form 8-K filed with the SEC on June 4, 2013).</w:t>
              </w:r>
            </w:hyperlink>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2" w:space="0" w:color="000000"/>
            </w:tcBorders>
            <w:vAlign w:val="center"/>
          </w:tcPr>
          <w:p>
            <w:pPr>
              <w:pStyle w:val="TableContents"/>
              <w:bidi w:val="0"/>
              <w:spacing w:before="0" w:after="283"/>
              <w:jc w:val="left"/>
              <w:rPr>
                <w:b/>
              </w:rPr>
            </w:pPr>
            <w:r>
              <w:rPr>
                <w:b/>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2" w:space="0" w:color="000000"/>
            </w:tcBorders>
            <w:vAlign w:val="center"/>
          </w:tcPr>
          <w:p>
            <w:pPr>
              <w:pStyle w:val="TableContents"/>
              <w:bidi w:val="0"/>
              <w:spacing w:before="0" w:after="283"/>
              <w:jc w:val="center"/>
              <w:rPr>
                <w:b/>
              </w:rPr>
            </w:pPr>
            <w:r>
              <w:rPr>
                <w:b/>
              </w:rPr>
              <w:t>Description</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2">
              <w:r>
                <w:rPr>
                  <w:rStyle w:val="InternetLink"/>
                  <w:rFonts w:ascii="Times New Roman;Times;serif" w:hAnsi="Times New Roman;Times;serif"/>
                  <w:sz w:val="20"/>
                </w:rPr>
                <w:t>Credit Agreement, dated as of May 30, 2012, among Generac Power Systems, Inc., its Domestic Subsidiaries listed as Borrowers on the signature pages thereto, Generac Acquisition Corp., the lenders party thereto, Bank of America, N.A. as Administrative Agent, JPMorgan Chase Bank, N.A. and Goldman Sachs Bank USA, as syndication agents, and Wells Fargo Bank, National Association, as Documentation Agent (incorporated by reference to Exhibit 10.3 of the Company’s Current Report on Form 8-K filed with the SEC on May 31, 2012).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10.16</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3">
              <w:r>
                <w:rPr>
                  <w:rStyle w:val="InternetLink"/>
                  <w:rFonts w:ascii="Times New Roman;Times;serif" w:hAnsi="Times New Roman;Times;serif"/>
                  <w:sz w:val="20"/>
                </w:rPr>
                <w:t>Amendment No. 1 dated as of May 31, 2013, among Generac Power Systems, Inc., its Domestic Subsidiaries listed as Borrowers on the signature pages thereto, Generac Acquisition Corp., the lenders party thereto, Bank of America, N.A. as Administrative Agent, JPMorgan Chase Bank, N.A. and Goldman Sachs Bank USA, as syndication agents, and Wells Fargo Bank, National Association, as Documentation Agent (incorporated by reference to Exhibit 10.4 to the Company’s Current Report on Form 8-K filed with the SEC on June 4, 2013).</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10.17</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4">
              <w:r>
                <w:rPr>
                  <w:rStyle w:val="InternetLink"/>
                  <w:rFonts w:ascii="Times New Roman;Times;serif" w:hAnsi="Times New Roman;Times;serif"/>
                  <w:sz w:val="20"/>
                </w:rPr>
                <w:t>Amendment No. 2 dated as of May 29, 2015, among Generac Power Systems, Inc., its Domestic Subsidiaries listed as Borrowers on the signature pages thereto, Generac Acquisition Corp., the lenders party thereto, Bank of America, N.A. as Administrative Agent, and the other agents named therein (incorporated by reference to Exhibit 10.1 of the Company’s Current Report on Form 8-K filed with the SEC on June 1, 2015).</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10.18</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5">
              <w:r>
                <w:rPr>
                  <w:rStyle w:val="InternetLink"/>
                  <w:rFonts w:ascii="Times New Roman;Times;serif" w:hAnsi="Times New Roman;Times;serif"/>
                  <w:sz w:val="20"/>
                </w:rPr>
                <w:t>Second Amended and Restated Credit Agreement, dated as of June 12, 2018, among Generac Power Systems, Inc., its Subsidiaries listed as Borrowers on the signature pages thereto, Generac Acquisition Corp., the lenders party thereto, Bank of America, N.A. as Administrative Agent, JPMorgan Chase Bank, N.A., as Syndication Agent, and Wells Fargo Bank, National Association, as Documentation Agent (incorporated by reference to Exhibit 10.2 of the Current Report on Form 8-K filed with the SEC on June 14, 2018).</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10.19</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6">
              <w:r>
                <w:rPr>
                  <w:rStyle w:val="InternetLink"/>
                </w:rPr>
                <w:t>Third Amended and Restated Credit Agreement, dated as of May 27, 2021, among Generac Power Systems, Inc., its Subsidiaries listed as Borrowers on the signature pages thereto, Generac Acquisition Corp., the lenders party thereto, Bank of America, N.A. as Administrative Agent, JPMorgan Chase Bank, N.A. as Syndication Agent, and Wells Fargo Bank, National Association as Documentation Agent (incorporated by reference to Exhibit 10.1 of the Current Report on Form 8-K filed with the SEC on May 28, 2021).</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10.20</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7">
              <w:r>
                <w:rPr>
                  <w:rStyle w:val="InternetLink"/>
                  <w:rFonts w:ascii="Times New Roman;Times;serif" w:hAnsi="Times New Roman;Times;serif"/>
                  <w:sz w:val="20"/>
                </w:rPr>
                <w:t>Guarantee and Collateral Agreement, dated as of May 30, 2012, among Generac Holdings Inc., Generac Acquisition Corp., Generac Power Systems, Inc., certain subsidiaries of Generac Power Systems, Inc. and Bank of America, N.A., as Administrative Agent (incorporated by reference to Exhibit 10.4 of the Company’s Current Report on Form 8-K filed with the SEC on May 31, 2012).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8">
              <w:r>
                <w:rPr>
                  <w:rStyle w:val="InternetLink"/>
                  <w:rFonts w:ascii="Times New Roman;Times;serif" w:hAnsi="Times New Roman;Times;serif"/>
                  <w:sz w:val="20"/>
                </w:rPr>
                <w:t>First Amendment to Guarantee and Collateral Agreement dated as of May 31, 2013, among Generac Holdings Inc., Generac Acquisition Corp., Generac Power Systems, Inc., certain subsidiaries of Generac Power Systems, Inc. and Bank of America, N.A., as Administrative Agent (incorporated by reference to Exhibit 10.5 to the Company’s Current Report on Form 8-K filed with the SEC on June 4, 2013).</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r>
              <w:fldChar w:fldCharType="begin"/>
            </w:r>
            <w:r>
              <w:rPr>
                <w:rStyle w:val="InternetLink"/>
                <w:sz w:val="20"/>
                <w:rFonts w:ascii="Times New Roman;Times;serif" w:hAnsi="Times New Roman;Times;serif"/>
              </w:rPr>
              <w:instrText xml:space="preserve"> HYPERLINK "http://www.sec.gov/Archives/edgar/data/1474735/000104746912004891/a2208974zdef14a.htm" \l "la47301_appendix_a"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Generac Holdings Inc. Amended and Restated 2010 Equity Incentive Plan (incorporated by reference to Appendix A to the Definitive Proxy Statement on Schedule 14A of the Company filed with the SEC on April 27, 2012)</w:t>
            </w:r>
            <w:r>
              <w:rPr>
                <w:rStyle w:val="InternetLink"/>
                <w:sz w:val="20"/>
                <w:rFonts w:ascii="Times New Roman;Times;serif" w:hAnsi="Times New Roman;Times;serif"/>
              </w:rPr>
              <w:fldChar w:fldCharType="end"/>
            </w:r>
            <w:hyperlink r:id="rId29">
              <w:r>
                <w:rPr>
                  <w:rStyle w:val="InternetLink"/>
                  <w:rFonts w:ascii="Times New Roman;Times;serif" w:hAnsi="Times New Roman;Times;serif"/>
                  <w:sz w:val="20"/>
                </w:rPr>
                <w:t>.</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0">
              <w:r>
                <w:rPr>
                  <w:rStyle w:val="InternetLink"/>
                  <w:rFonts w:ascii="Times New Roman;Times;serif" w:hAnsi="Times New Roman;Times;serif"/>
                  <w:sz w:val="20"/>
                </w:rPr>
                <w:t>Generac Holdings Inc. Annual Performance Bonus Plan (incorporated by reference to Exhibit 10.63 of the Registration Statement on Form S-1 filed with the SEC on January 25, 2010).</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1">
              <w:r>
                <w:rPr>
                  <w:rStyle w:val="InternetLink"/>
                  <w:rFonts w:ascii="Times New Roman;Times;serif" w:hAnsi="Times New Roman;Times;serif"/>
                  <w:sz w:val="20"/>
                </w:rPr>
                <w:t>Amended and Restated Employment Agreement dated November 5, 2018, between Generac and Aaron Jagdfeld (incorporated by reference to Exhibit 10.1 of the Company’s Quarterly Report on Form 10-Q filed with the SEC on November 6, 2018).</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10.26+</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2">
              <w:r>
                <w:rPr>
                  <w:rStyle w:val="InternetLink"/>
                  <w:rFonts w:ascii="Times New Roman;Times;serif" w:hAnsi="Times New Roman;Times;serif"/>
                  <w:sz w:val="20"/>
                </w:rPr>
                <w:t>Form of Nonqualified Stock Option Award Agreement (incorporated by reference to Exhibit 10.45 of the Registration Statement on Form S-1 filed with the SEC on January 25, 2010).</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10.28+</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3">
              <w:r>
                <w:rPr>
                  <w:rStyle w:val="InternetLink"/>
                  <w:rFonts w:ascii="Times New Roman;Times;serif" w:hAnsi="Times New Roman;Times;serif"/>
                  <w:sz w:val="20"/>
                </w:rPr>
                <w:t>Amended Form of Nonqualified Stock Option Award Agreement pursuant to the 2010 Equity Incentive Plan (incorporated by reference to Exhibit 10.4 of the Quarterly Report on Form 10-Q filed with the SEC on May 8, 2012).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10.29+</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4">
              <w:r>
                <w:rPr>
                  <w:rStyle w:val="InternetLink"/>
                  <w:rFonts w:ascii="Times New Roman;Times;serif" w:hAnsi="Times New Roman;Times;serif"/>
                  <w:sz w:val="20"/>
                </w:rPr>
                <w:t>Amended Form of Nonqualified Stock Option Award Agreement pursuant to the 2010 Equity Incentive Plan (incorporated by reference to Exhibit 10.24 of the Annual Report on Form 10-K filed with the SEC on February 26, 2019).</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2" w:space="0" w:color="000000"/>
            </w:tcBorders>
            <w:vAlign w:val="center"/>
          </w:tcPr>
          <w:p>
            <w:pPr>
              <w:pStyle w:val="TableContents"/>
              <w:bidi w:val="0"/>
              <w:spacing w:before="0" w:after="283"/>
              <w:jc w:val="left"/>
              <w:rPr>
                <w:b/>
              </w:rPr>
            </w:pPr>
            <w:r>
              <w:rPr>
                <w:b/>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2" w:space="0" w:color="000000"/>
            </w:tcBorders>
            <w:vAlign w:val="center"/>
          </w:tcPr>
          <w:p>
            <w:pPr>
              <w:pStyle w:val="TableContents"/>
              <w:bidi w:val="0"/>
              <w:spacing w:before="0" w:after="283"/>
              <w:jc w:val="center"/>
              <w:rPr>
                <w:b/>
              </w:rPr>
            </w:pPr>
            <w:r>
              <w:rPr>
                <w:b/>
              </w:rPr>
              <w:t>Description</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10.30+</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5">
              <w:r>
                <w:rPr>
                  <w:rStyle w:val="InternetLink"/>
                  <w:rFonts w:ascii="Times New Roman;Times;serif" w:hAnsi="Times New Roman;Times;serif"/>
                  <w:sz w:val="20"/>
                </w:rPr>
                <w:t>Amended Form of Restricted Stock Award Agreement pursuant to the 2010 Equity Incentive Plan (incorporated by reference to Exhibit 10.25 of the Annual Report on Form 10-K filed with the SEC on February 26, 2019).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6">
              <w:r>
                <w:rPr>
                  <w:rStyle w:val="InternetLink"/>
                  <w:rFonts w:ascii="Times New Roman;Times;serif" w:hAnsi="Times New Roman;Times;serif"/>
                  <w:sz w:val="20"/>
                </w:rPr>
                <w:t>Form of Director Indemnification Agreement (incorporated by reference to Exhibit 10.51 of the Registration Statement on Form S-1 filed with the SEC on January 11, 2010).</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7">
              <w:r>
                <w:rPr>
                  <w:rStyle w:val="InternetLink"/>
                  <w:rFonts w:ascii="Times New Roman;Times;serif" w:hAnsi="Times New Roman;Times;serif"/>
                  <w:sz w:val="20"/>
                </w:rPr>
                <w:t>Form of Officer Indemnification Agreement (incorporated by reference to Exhibit 10.52 of the Registration Statement on Form S-1 filed with the SEC on January 11, 2010).</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8">
              <w:r>
                <w:rPr>
                  <w:rStyle w:val="InternetLink"/>
                  <w:rFonts w:ascii="Times New Roman;Times;serif" w:hAnsi="Times New Roman;Times;serif"/>
                  <w:sz w:val="20"/>
                </w:rPr>
                <w:t>Amended Form of Performance Share Award Agreement pursuant to the 2010 Equity Incentive Plan (incorporated by reference to Exhibit 10.29 of the Annual Report on Form 10-K filed with the SEC on February 26, 2019).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hyperlink r:id="rId39">
              <w:r>
                <w:rPr>
                  <w:rStyle w:val="InternetLink"/>
                  <w:u w:val="single"/>
                </w:rPr>
                <w:t>Generac Non-Employee Director Compensation Policy approved September 11, 2025 and effective January 1, 2026 (incorporated by reference to Exhibit 10.2 of the Quarterly Report on Form 10-Q filed with the SEC on November 4, 2025).</w:t>
              </w:r>
            </w:hyperlink>
            <w:hyperlink r:id="rId40">
              <w:r>
                <w:rPr>
                  <w:rStyle w:val="InternetLink"/>
                </w:rPr>
                <w:t> </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41">
              <w:r>
                <w:rPr>
                  <w:rStyle w:val="InternetLink"/>
                  <w:rFonts w:ascii="Times New Roman;Times;serif" w:hAnsi="Times New Roman;Times;serif"/>
                  <w:sz w:val="20"/>
                </w:rPr>
                <w:t>Generac Power Systems, Inc. Executive Change in Control Policy, effective November 5, 2018 (incorporated by reference to Exhibit 10.2 of the Quarterly Report on Form 10-Q filed with the SEC on November 6, 2018).</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10.36+</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42">
              <w:r>
                <w:rPr>
                  <w:rStyle w:val="InternetLink"/>
                  <w:rFonts w:ascii="Times New Roman;Times;serif" w:hAnsi="Times New Roman;Times;serif"/>
                  <w:sz w:val="20"/>
                </w:rPr>
                <w:t>Generac Holdings Inc. 2019 Equity Incentive Plan (incorporated by reference to Appendix A to the Definitive Proxy Statement on Schedule 14A of the Company filed with the SEC on April 26, 2019).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10.37+</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43">
              <w:r>
                <w:rPr>
                  <w:rStyle w:val="InternetLink"/>
                  <w:rFonts w:ascii="Times New Roman;Times;serif" w:hAnsi="Times New Roman;Times;serif"/>
                  <w:sz w:val="20"/>
                </w:rPr>
                <w:t>Form of Restricted Stock Award Agreement pursuant to the Generac Holdings Inc. 2019 Equity Incentive Plan (incorporated by reference to Exhibit 10.1 of the Quarterly Report on Form 10-Q filed with the SEC on November 5, 2019).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10.38+</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44">
              <w:r>
                <w:rPr>
                  <w:rStyle w:val="InternetLink"/>
                  <w:rFonts w:ascii="Times New Roman;Times;serif" w:hAnsi="Times New Roman;Times;serif"/>
                  <w:sz w:val="20"/>
                </w:rPr>
                <w:t>Form of Nonqualified Stock Option Award Agreement pursuant to the Generac Holdings Inc. 2019 Equity Incentive Plan (incorporated by reference to Exhibit 10.2 of the Quarterly Report on Form 10-Q filed with the SEC on November 5, 2019).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10.39+</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45">
              <w:r>
                <w:rPr>
                  <w:rStyle w:val="InternetLink"/>
                  <w:rFonts w:ascii="Times New Roman;Times;serif" w:hAnsi="Times New Roman;Times;serif"/>
                  <w:sz w:val="20"/>
                </w:rPr>
                <w:t>Form of Performance Share Unit Award Agreement pursuant to the Generac Holdings Inc. 2019 Equity Incentive Plan (incorporated by reference to Exhibit 10.3 of the Quarterly Report on Form 10-Q filed with the SEC on November 5, 2019).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color w:val="000000"/>
              </w:rPr>
            </w:pPr>
            <w:r>
              <w:rPr>
                <w:color w:val="000000"/>
              </w:rPr>
              <w:t>10.40+</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46">
              <w:r>
                <w:rPr>
                  <w:rStyle w:val="InternetLink"/>
                </w:rPr>
                <w:t>Amended Form of Restricted Stock Award Agreement pursuant to the Generac Holdings Inc. 2019 Equity Incentive Plan (incorporated by reference to Exhibit 10.39 of the Annual report on Form 10-K filed with the SEC on February 21, 2024).</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color w:val="000000"/>
              </w:rPr>
            </w:pPr>
            <w:r>
              <w:rPr>
                <w:color w:val="000000"/>
              </w:rPr>
              <w:t>10.41+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47">
              <w:r>
                <w:rPr>
                  <w:rStyle w:val="InternetLink"/>
                </w:rPr>
                <w:t>Amended Form of Nonqualified Stock Option Award Agreement pursuant to the Generac Holdings Inc. 2019 Equity Incentive Plan (incorporated by reference to Exhibit 10.40 of the Annual Report on Form 10-K filed with the SEC on February 21, 2024).</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color w:val="000000"/>
              </w:rPr>
            </w:pPr>
            <w:r>
              <w:rPr>
                <w:color w:val="000000"/>
              </w:rPr>
              <w:t>10.42+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48">
              <w:r>
                <w:rPr>
                  <w:rStyle w:val="InternetLink"/>
                </w:rPr>
                <w:t>Amended Form of Performance Share Unit Award Agreement pursuant to the Generac Holdings Inc. 2019 Equity Incentive Plan (incorporated by reference to Exhibit 10.41 of the Annual Report on Form 10-K filed with the SEC on February 21, 2024).</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10.43+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49">
              <w:r>
                <w:rPr>
                  <w:rStyle w:val="InternetLink"/>
                  <w:u w:val="single"/>
                </w:rPr>
                <w:t>Amended and Restated 2019 Equity Incentive Plan (incorporated by reference to Appendix A to the Definitive Proxy Statement on Schedule 14A of the Company filed with the SEC on April 29, 2024).</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10.44+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50">
              <w:r>
                <w:rPr>
                  <w:rStyle w:val="InternetLink"/>
                </w:rPr>
                <w:t>Amended Form of Restricted Stock Award Agreement pursuant to the Generac Holdings Inc. 2019 Equity Incentive Plan (incorporated by reference to Exhibit 10.44 of the Annual Report on Form 10-K filed with the SEC on February 19, 2025).</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10.45+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51">
              <w:r>
                <w:rPr>
                  <w:rStyle w:val="InternetLink"/>
                </w:rPr>
                <w:t>Amended Form of Nonqualified Stock Option Award Agreement pursuant to the Generac Holdings Inc. 2019 Equity Incentive Plan (incorporated by reference to Exhibit 10.45 of the Annual Report on Form 10-K filed with the SEC on February 19, 2025).</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10.46+</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52">
              <w:r>
                <w:rPr>
                  <w:rStyle w:val="InternetLink"/>
                </w:rPr>
                <w:t>Amended Form of Performance Share Unit Award Agreement pursuant to the Generac Holdings Inc. 2019 Equity Incentive Plan (incorporated by reference to Exhibit 10.46 of the Annual Report on Form 10-K filed with the SEC on February 19, 2025).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shd w:fill="FFFFFF" w:val="clear"/>
              </w:rPr>
            </w:pPr>
            <w:r>
              <w:rPr>
                <w:shd w:fill="FFFFFF" w:val="clear"/>
              </w:rPr>
              <w:t>19+</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53">
              <w:r>
                <w:rPr>
                  <w:rStyle w:val="InternetLink"/>
                  <w:shd w:fill="FFFFFF" w:val="clear"/>
                </w:rPr>
                <w:t>Generac Holdings, Inc. Insider Trading Policy</w:t>
              </w:r>
            </w:hyperlink>
            <w:hyperlink r:id="rId54">
              <w:r>
                <w:rPr>
                  <w:rStyle w:val="InternetLink"/>
                  <w:shd w:fill="FFFFFF" w:val="clear"/>
                </w:rPr>
                <w:t> (incorporated by reference to Exhibit 19.1 of the Annual Report on Form 10-K filed with the SEC on February 19, 2025).</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21.1*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w:anchor="ex_873991.htm">
              <w:r>
                <w:rPr>
                  <w:rStyle w:val="InternetLink"/>
                  <w:rFonts w:ascii="Times New Roman;Times;serif" w:hAnsi="Times New Roman;Times;serif"/>
                  <w:sz w:val="20"/>
                </w:rPr>
                <w:t>List of Subsidiaries of Generac Holdings Inc.</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w:anchor="ex_873992.htm">
              <w:r>
                <w:rPr>
                  <w:rStyle w:val="InternetLink"/>
                  <w:rFonts w:ascii="Times New Roman;Times;serif" w:hAnsi="Times New Roman;Times;serif"/>
                  <w:sz w:val="20"/>
                </w:rPr>
                <w:t>Consent of Deloitte &amp; Touche LLP, Independent Registered Public Accounting Firm.</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31.1*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w:anchor="ex_873993.htm">
              <w:r>
                <w:rPr>
                  <w:rStyle w:val="InternetLink"/>
                  <w:rFonts w:ascii="Times New Roman;Times;serif" w:hAnsi="Times New Roman;Times;serif"/>
                  <w:sz w:val="20"/>
                </w:rPr>
                <w:t>Certification of Chief Executive Officer pursuant to Securities Exchange Act Rules 13a-14(a) and 15d-14(a), pursuant to Section 302 of the Sarbanes-Oxley Act of 2002.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w:anchor="ex_873994.htm">
              <w:r>
                <w:rPr>
                  <w:rStyle w:val="InternetLink"/>
                  <w:rFonts w:ascii="Times New Roman;Times;serif" w:hAnsi="Times New Roman;Times;serif"/>
                  <w:sz w:val="20"/>
                </w:rPr>
                <w:t>Certification of Chief Financial Officer pursuant to Securities Exchange Act Rules 13a-14(a) and 15d-14(a), pursuant to Section 302 of the Sarbanes-Oxley Act of 2002.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w:anchor="ex_873995.htm">
              <w:r>
                <w:rPr>
                  <w:rStyle w:val="InternetLink"/>
                  <w:rFonts w:ascii="Times New Roman;Times;serif" w:hAnsi="Times New Roman;Times;serif"/>
                  <w:sz w:val="20"/>
                </w:rPr>
                <w:t>Certification of Chief Executive Officer pursuant to 18 U.S.C. Section 1350, as adopted by Section 906 of the Sarbanes-Oxley Act of 2002.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ex_873996.htm">
              <w:r>
                <w:rPr>
                  <w:rStyle w:val="InternetLink"/>
                  <w:rFonts w:ascii="Times New Roman;Times;serif" w:hAnsi="Times New Roman;Times;serif"/>
                  <w:sz w:val="20"/>
                </w:rPr>
                <w:t>Certification of Chief Financial Officer pursuant to 18 U.S.C. Section 1350, as adopted by Section 906 of the Sarbanes-Oxley Act of 2002.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sz w:val="20"/>
                </w:rPr>
                <w:t>Generac Holdings Inc. Mandatory Restatement Compensation Recovery Policy (incorporated by reference to Exhibit 97 of the Annual Report on Form 10-K filed with the SEC on February 21, 2024).</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information from the Company’s Annual Report on Form 10-K for the fiscal year ended December 31, 2025, filed with the SEC on February 18, 2026, formatted in Inline eXtensible Business Reporting Language (iXBRL): (i) Consolidated Balance Sheets as of December 31, 2025 and December 31, 2024; (ii) Consolidated Statements of Comprehensive Income for the Fiscal Years Ended December 31, 2025, December 31, 2024 and December 31, 2023; (iii) Consolidated Statements of Stockholders' Equity for the Fiscal Years Ended December 31, 2025, December 31, 2024 and December 31, 2023; (iv) Consolidated Statements of Cash Flows for the Fiscal Years Ended December 31, 2025, December 31, 2024 and December 31, 2023; (v) Notes to Consolidated Financial Statements.</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and contained in Exhibit 101)</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w:t>
            </w:r>
          </w:p>
          <w:p>
            <w:pPr>
              <w:pStyle w:val="TableContents"/>
              <w:bidi w:val="0"/>
              <w:jc w:val="left"/>
              <w:rPr>
                <w:rFonts w:ascii="Times New Roman;Times;serif" w:hAnsi="Times New Roman;Times;serif"/>
                <w:sz w:val="20"/>
              </w:rPr>
            </w:pPr>
            <w:r>
              <w:rPr>
                <w:rFonts w:ascii="Times New Roman;Times;serif" w:hAnsi="Times New Roman;Times;serif"/>
                <w:sz w:val="20"/>
              </w:rPr>
              <w:t>*               Filed herewith.</w:t>
            </w:r>
          </w:p>
          <w:p>
            <w:pPr>
              <w:pStyle w:val="TableContents"/>
              <w:bidi w:val="0"/>
              <w:spacing w:before="0" w:after="0"/>
              <w:ind w:left="706" w:right="0" w:hanging="706"/>
              <w:jc w:val="left"/>
              <w:rPr>
                <w:rFonts w:ascii="Times New Roman;Times;serif" w:hAnsi="Times New Roman;Times;serif"/>
                <w:sz w:val="20"/>
              </w:rPr>
            </w:pPr>
            <w:r>
              <w:rPr>
                <w:rFonts w:ascii="Times New Roman;Times;serif" w:hAnsi="Times New Roman;Times;serif"/>
                <w:sz w:val="20"/>
              </w:rPr>
              <w:t>**             Furnished herewith.</w:t>
            </w:r>
          </w:p>
          <w:p>
            <w:pPr>
              <w:pStyle w:val="TableContents"/>
              <w:bidi w:val="0"/>
              <w:spacing w:before="0" w:after="0"/>
              <w:ind w:left="700" w:right="0" w:hanging="700"/>
              <w:jc w:val="left"/>
              <w:rPr>
                <w:rFonts w:ascii="Times New Roman;Times;serif" w:hAnsi="Times New Roman;Times;serif"/>
                <w:sz w:val="20"/>
              </w:rPr>
            </w:pPr>
            <w:r>
              <w:rPr>
                <w:rFonts w:ascii="Times New Roman;Times;serif" w:hAnsi="Times New Roman;Times;serif"/>
                <w:sz w:val="20"/>
              </w:rPr>
              <w:t>+               Indicates management contract or compensatory plan or arrangement.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5" w:name="item16"/>
      <w:bookmarkEnd w:id="35"/>
      <w:r>
        <w:rPr>
          <w:rFonts w:ascii="Times New Roman;Times;serif" w:hAnsi="Times New Roman;Times;serif"/>
          <w:b/>
          <w:sz w:val="20"/>
        </w:rPr>
        <w:t>Item 16. Form 10-K Summary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510" w:type="dxa"/>
        <w:jc w:val="left"/>
        <w:tblInd w:w="0" w:type="dxa"/>
        <w:tblLayout w:type="fixed"/>
        <w:tblCellMar>
          <w:top w:w="0" w:type="dxa"/>
          <w:left w:w="0" w:type="dxa"/>
          <w:bottom w:w="0" w:type="dxa"/>
          <w:right w:w="0" w:type="dxa"/>
        </w:tblCellMar>
      </w:tblPr>
      <w:tblGrid>
        <w:gridCol w:w="60"/>
        <w:gridCol w:w="320"/>
        <w:gridCol w:w="4130"/>
      </w:tblGrid>
      <w:tr>
        <w:trPr/>
        <w:tc>
          <w:tcPr>
            <w:tcW w:w="60"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Generac Holdings Inc.</w:t>
            </w:r>
          </w:p>
        </w:tc>
      </w:tr>
      <w:tr>
        <w:trPr/>
        <w:tc>
          <w:tcPr>
            <w:tcW w:w="60"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Aaron Jagdfeld</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Aaron Jagdfeld</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center"/>
              <w:rPr/>
            </w:pPr>
            <w:r>
              <w:rPr/>
              <w:t> </w:t>
            </w:r>
            <w:r>
              <w:rPr>
                <w:rFonts w:ascii="Times New Roman;Times;serif" w:hAnsi="Times New Roman;Times;serif"/>
                <w:i/>
                <w:sz w:val="20"/>
              </w:rPr>
              <w:t xml:space="preserve">Chairman, President and Chief Executive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18, 2026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and on behalf of the Registrant in the capacities and on the dates indicated.</w:t>
      </w:r>
    </w:p>
    <w:p>
      <w:pPr>
        <w:pStyle w:val="TextBody"/>
        <w:bidi w:val="0"/>
        <w:spacing w:before="0" w:after="0"/>
        <w:ind w:left="0" w:right="0" w:hanging="0"/>
        <w:jc w:val="left"/>
        <w:rPr/>
      </w:pPr>
      <w:r>
        <w:rPr/>
        <w:t> </w:t>
      </w:r>
    </w:p>
    <w:tbl>
      <w:tblPr>
        <w:tblW w:w="8475" w:type="dxa"/>
        <w:jc w:val="left"/>
        <w:tblInd w:w="0" w:type="dxa"/>
        <w:tblLayout w:type="fixed"/>
        <w:tblCellMar>
          <w:top w:w="0" w:type="dxa"/>
          <w:left w:w="0" w:type="dxa"/>
          <w:bottom w:w="0" w:type="dxa"/>
          <w:right w:w="0" w:type="dxa"/>
        </w:tblCellMar>
      </w:tblPr>
      <w:tblGrid>
        <w:gridCol w:w="2765"/>
        <w:gridCol w:w="3935"/>
        <w:gridCol w:w="1775"/>
      </w:tblGrid>
      <w:tr>
        <w:trPr/>
        <w:tc>
          <w:tcPr>
            <w:tcW w:w="2765" w:type="dxa"/>
            <w:tcBorders/>
            <w:vAlign w:val="center"/>
          </w:tcPr>
          <w:p>
            <w:pPr>
              <w:pStyle w:val="TableContents"/>
              <w:bidi w:val="0"/>
              <w:spacing w:before="0" w:after="283"/>
              <w:jc w:val="center"/>
              <w:rPr>
                <w:b/>
                <w:u w:val="single"/>
              </w:rPr>
            </w:pPr>
            <w:r>
              <w:rPr>
                <w:b/>
                <w:u w:val="single"/>
              </w:rPr>
              <w:t>Signature</w:t>
            </w:r>
          </w:p>
        </w:tc>
        <w:tc>
          <w:tcPr>
            <w:tcW w:w="3935" w:type="dxa"/>
            <w:tcBorders/>
            <w:vAlign w:val="center"/>
          </w:tcPr>
          <w:p>
            <w:pPr>
              <w:pStyle w:val="TableContents"/>
              <w:bidi w:val="0"/>
              <w:spacing w:before="0" w:after="283"/>
              <w:jc w:val="center"/>
              <w:rPr>
                <w:b/>
                <w:u w:val="single"/>
              </w:rPr>
            </w:pPr>
            <w:r>
              <w:rPr>
                <w:b/>
                <w:u w:val="single"/>
              </w:rPr>
              <w:t>Title</w:t>
            </w:r>
          </w:p>
        </w:tc>
        <w:tc>
          <w:tcPr>
            <w:tcW w:w="1775" w:type="dxa"/>
            <w:tcBorders/>
            <w:vAlign w:val="center"/>
          </w:tcPr>
          <w:p>
            <w:pPr>
              <w:pStyle w:val="TableContents"/>
              <w:bidi w:val="0"/>
              <w:spacing w:before="0" w:after="283"/>
              <w:jc w:val="center"/>
              <w:rPr>
                <w:b/>
                <w:u w:val="single"/>
              </w:rPr>
            </w:pPr>
            <w:r>
              <w:rPr>
                <w:b/>
                <w:u w:val="single"/>
              </w:rPr>
              <w:t>Date</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283"/>
              <w:jc w:val="center"/>
              <w:rPr/>
            </w:pPr>
            <w:r>
              <w:rPr/>
              <w:t>/s/</w:t>
            </w:r>
            <w:r>
              <w:rPr>
                <w:caps/>
              </w:rPr>
              <w:t xml:space="preserve"> Aaron Jagdfeld</w:t>
            </w:r>
          </w:p>
        </w:tc>
        <w:tc>
          <w:tcPr>
            <w:tcW w:w="3935" w:type="dxa"/>
            <w:tcBorders/>
            <w:vAlign w:val="center"/>
          </w:tcPr>
          <w:p>
            <w:pPr>
              <w:pStyle w:val="TableContents"/>
              <w:bidi w:val="0"/>
              <w:spacing w:before="0" w:after="283"/>
              <w:jc w:val="center"/>
              <w:rPr/>
            </w:pPr>
            <w:r>
              <w:rPr/>
              <w:t>Chairman, President and Chief Executive</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Aaron Jagdfeld</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Officer</w:t>
            </w:r>
          </w:p>
        </w:tc>
        <w:tc>
          <w:tcPr>
            <w:tcW w:w="1775" w:type="dxa"/>
            <w:tcBorders/>
            <w:vAlign w:val="center"/>
          </w:tcPr>
          <w:p>
            <w:pPr>
              <w:pStyle w:val="TableContents"/>
              <w:bidi w:val="0"/>
              <w:spacing w:before="0" w:after="0"/>
              <w:ind w:left="0" w:right="0" w:hanging="0"/>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York A. Ragen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and</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York A. Ragen</w:t>
            </w:r>
          </w:p>
        </w:tc>
        <w:tc>
          <w:tcPr>
            <w:tcW w:w="3935" w:type="dxa"/>
            <w:tcBorders/>
            <w:vAlign w:val="center"/>
          </w:tcPr>
          <w:p>
            <w:pPr>
              <w:pStyle w:val="TableContents"/>
              <w:bidi w:val="0"/>
              <w:spacing w:before="0" w:after="283"/>
              <w:jc w:val="center"/>
              <w:rPr/>
            </w:pPr>
            <w:r>
              <w:rPr/>
              <w:t>Chief Accounting Officer</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bennett morgan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Bennett Morgan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MARCIA J. AVEDON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Marcia J. Avedon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ROBERT D. DIXON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Robert D. Dixon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WILLIAM JENKINS</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William Jenkins</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Andrew G. Lampereur</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Andrew G. Lampereur</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NAM TRAN NGUYEN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Nam Tran Nguyen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DAVID A. RAMON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283"/>
              <w:jc w:val="center"/>
              <w:rPr/>
            </w:pPr>
            <w:r>
              <w:rPr/>
              <w:t>David A. Ramon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KATHRYN BOHL</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Kathryn Bohl</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283"/>
              <w:jc w:val="center"/>
              <w:rPr/>
            </w:pPr>
            <w:r>
              <w:rPr/>
              <w:t>/s/ DOMINICK ZARCONE</w:t>
            </w:r>
          </w:p>
        </w:tc>
        <w:tc>
          <w:tcPr>
            <w:tcW w:w="3935" w:type="dxa"/>
            <w:tcBorders/>
            <w:vAlign w:val="center"/>
          </w:tcPr>
          <w:p>
            <w:pPr>
              <w:pStyle w:val="TableContents"/>
              <w:bidi w:val="0"/>
              <w:spacing w:before="0" w:after="283"/>
              <w:jc w:val="center"/>
              <w:rPr/>
            </w:pPr>
            <w:r>
              <w:rPr/>
              <w:t>Director</w:t>
            </w:r>
          </w:p>
        </w:tc>
        <w:tc>
          <w:tcPr>
            <w:tcW w:w="1775" w:type="dxa"/>
            <w:tcBorders/>
            <w:vAlign w:val="center"/>
          </w:tcPr>
          <w:p>
            <w:pPr>
              <w:pStyle w:val="TableContents"/>
              <w:bidi w:val="0"/>
              <w:spacing w:before="0" w:after="283"/>
              <w:jc w:val="center"/>
              <w:rPr/>
            </w:pPr>
            <w:r>
              <w:rPr/>
              <w:t>February 18, 2026</w:t>
            </w:r>
          </w:p>
        </w:tc>
      </w:tr>
      <w:tr>
        <w:trPr/>
        <w:tc>
          <w:tcPr>
            <w:tcW w:w="2765" w:type="dxa"/>
            <w:tcBorders/>
            <w:vAlign w:val="center"/>
          </w:tcPr>
          <w:p>
            <w:pPr>
              <w:pStyle w:val="TableContents"/>
              <w:bidi w:val="0"/>
              <w:spacing w:before="0" w:after="0"/>
              <w:jc w:val="center"/>
              <w:rPr/>
            </w:pPr>
            <w:r>
              <w:rPr/>
              <w:t xml:space="preserve">Dominick Zarcone </w:t>
            </w:r>
          </w:p>
          <w:p>
            <w:pPr>
              <w:pStyle w:val="TableContents"/>
              <w:bidi w:val="0"/>
              <w:spacing w:before="0" w:after="0"/>
              <w:jc w:val="center"/>
              <w:rPr/>
            </w:pPr>
            <w:r>
              <w:rPr/>
              <w:t xml:space="preserve">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pPr>
      <w:r>
        <w:rPr/>
        <w:t> </w:t>
      </w:r>
    </w:p>
    <w:p>
      <w:pPr>
        <w:pStyle w:val="TextBody"/>
        <w:bidi w:val="0"/>
        <w:jc w:val="center"/>
        <w:rPr>
          <w:rFonts w:ascii="Times New Roman" w:hAnsi="Times New Roman"/>
          <w:sz w:val="20"/>
        </w:rPr>
      </w:pPr>
      <w:r>
        <w:rPr>
          <w:rFonts w:ascii="Times New Roman" w:hAnsi="Times New Roman"/>
          <w:sz w:val="20"/>
        </w:rPr>
        <w:t xml:space="preserve">81 </w:t>
      </w:r>
    </w:p>
    <w:p>
      <w:pPr>
        <w:pStyle w:val="TextBody"/>
        <w:bidi w:val="0"/>
        <w:spacing w:before="0" w:after="0"/>
        <w:ind w:left="0" w:right="0" w:hanging="0"/>
        <w:jc w:val="right"/>
        <w:rPr>
          <w:rFonts w:ascii="Times New Roman" w:hAnsi="Times New Roman"/>
          <w:b/>
          <w:sz w:val="20"/>
        </w:rPr>
      </w:pPr>
      <w:bookmarkStart w:id="36" w:name="ex_873991.htm"/>
      <w:bookmarkStart w:id="37" w:name="ksex_873991"/>
      <w:bookmarkEnd w:id="36"/>
      <w:bookmarkEnd w:id="37"/>
      <w:r>
        <w:rPr>
          <w:rFonts w:ascii="Times New Roman" w:hAnsi="Times New Roman"/>
          <w:b/>
          <w:sz w:val="20"/>
        </w:rPr>
        <w:t>Exhibit 21.1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LISTING OF SUBSIDIARIES OF GENERAC HOLDINGS INC.</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9535" w:type="dxa"/>
        <w:jc w:val="left"/>
        <w:tblInd w:w="0" w:type="dxa"/>
        <w:tblLayout w:type="fixed"/>
        <w:tblCellMar>
          <w:top w:w="0" w:type="dxa"/>
          <w:left w:w="0" w:type="dxa"/>
          <w:bottom w:w="28" w:type="dxa"/>
          <w:right w:w="0" w:type="dxa"/>
        </w:tblCellMar>
      </w:tblPr>
      <w:tblGrid>
        <w:gridCol w:w="5000"/>
        <w:gridCol w:w="60"/>
        <w:gridCol w:w="4475"/>
      </w:tblGrid>
      <w:tr>
        <w:trPr/>
        <w:tc>
          <w:tcPr>
            <w:tcW w:w="5000" w:type="dxa"/>
            <w:tcBorders>
              <w:bottom w:val="single" w:sz="2" w:space="0" w:color="000000"/>
            </w:tcBorders>
            <w:vAlign w:val="center"/>
          </w:tcPr>
          <w:p>
            <w:pPr>
              <w:pStyle w:val="TableContents"/>
              <w:bidi w:val="0"/>
              <w:spacing w:before="0" w:after="283"/>
              <w:jc w:val="left"/>
              <w:rPr>
                <w:b/>
              </w:rPr>
            </w:pPr>
            <w:r>
              <w:rPr>
                <w:b/>
              </w:rPr>
              <w:t>Subsidiaries of the Registrant</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2" w:space="0" w:color="000000"/>
            </w:tcBorders>
            <w:vAlign w:val="center"/>
          </w:tcPr>
          <w:p>
            <w:pPr>
              <w:pStyle w:val="TableContents"/>
              <w:bidi w:val="0"/>
              <w:spacing w:before="0" w:after="283"/>
              <w:jc w:val="left"/>
              <w:rPr>
                <w:b/>
              </w:rPr>
            </w:pPr>
            <w:r>
              <w:rPr>
                <w:b/>
              </w:rPr>
              <w:t>State or Other Jurisdiction of Incorporation</w:t>
            </w:r>
          </w:p>
        </w:tc>
      </w:tr>
      <w:tr>
        <w:trPr/>
        <w:tc>
          <w:tcPr>
            <w:tcW w:w="500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Generac Power Systems,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U.S.</w:t>
            </w:r>
          </w:p>
        </w:tc>
      </w:tr>
      <w:tr>
        <w:trPr/>
        <w:tc>
          <w:tcPr>
            <w:tcW w:w="500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Generac Mobile Products,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U.S.</w:t>
            </w:r>
          </w:p>
        </w:tc>
      </w:tr>
      <w:tr>
        <w:trPr/>
        <w:tc>
          <w:tcPr>
            <w:tcW w:w="500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 Development Group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U.S.</w:t>
            </w:r>
          </w:p>
        </w:tc>
      </w:tr>
      <w:tr>
        <w:trPr/>
        <w:tc>
          <w:tcPr>
            <w:tcW w:w="5000" w:type="dxa"/>
            <w:tcBorders/>
            <w:tcMar>
              <w:bottom w:w="0" w:type="dxa"/>
            </w:tcMar>
            <w:vAlign w:val="center"/>
          </w:tcPr>
          <w:p>
            <w:pPr>
              <w:pStyle w:val="TableContents"/>
              <w:bidi w:val="0"/>
              <w:spacing w:before="0" w:after="283"/>
              <w:jc w:val="left"/>
              <w:rPr/>
            </w:pPr>
            <w:r>
              <w:rPr/>
              <w:t>Generac Ventures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Wisconsin, U.S.</w:t>
            </w:r>
          </w:p>
        </w:tc>
      </w:tr>
      <w:tr>
        <w:trPr/>
        <w:tc>
          <w:tcPr>
            <w:tcW w:w="5000" w:type="dxa"/>
            <w:tcBorders/>
            <w:tcMar>
              <w:bottom w:w="0" w:type="dxa"/>
            </w:tcMar>
            <w:vAlign w:val="center"/>
          </w:tcPr>
          <w:p>
            <w:pPr>
              <w:pStyle w:val="TableContents"/>
              <w:bidi w:val="0"/>
              <w:spacing w:before="0" w:after="283"/>
              <w:jc w:val="left"/>
              <w:rPr/>
            </w:pPr>
            <w:r>
              <w:rPr/>
              <w:t>Generac Acquisition Corp.</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MAC,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Powermate,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Generac Grid Services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Pika Energy,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Power Management Holdings (U.S.),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Enbala U.S. Power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Generac TEP I,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Sunnova TEP V-A,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Energy Systems Holdings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5000" w:type="dxa"/>
            <w:tcBorders/>
            <w:tcMar>
              <w:bottom w:w="0" w:type="dxa"/>
            </w:tcMar>
            <w:vAlign w:val="center"/>
          </w:tcPr>
          <w:p>
            <w:pPr>
              <w:pStyle w:val="TableContents"/>
              <w:bidi w:val="0"/>
              <w:spacing w:before="0" w:after="283"/>
              <w:jc w:val="left"/>
              <w:rPr/>
            </w:pPr>
            <w:r>
              <w:rPr/>
              <w:t>Generac Power Plan,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Vermont, U.S.</w:t>
            </w:r>
          </w:p>
        </w:tc>
      </w:tr>
      <w:tr>
        <w:trPr/>
        <w:tc>
          <w:tcPr>
            <w:tcW w:w="5000" w:type="dxa"/>
            <w:tcBorders/>
            <w:tcMar>
              <w:bottom w:w="0" w:type="dxa"/>
            </w:tcMar>
            <w:vAlign w:val="center"/>
          </w:tcPr>
          <w:p>
            <w:pPr>
              <w:pStyle w:val="TableContents"/>
              <w:bidi w:val="0"/>
              <w:spacing w:before="0" w:after="283"/>
              <w:jc w:val="left"/>
              <w:rPr/>
            </w:pPr>
            <w:r>
              <w:rPr/>
              <w:t>Generac Services,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Vermont, U.S.</w:t>
            </w:r>
          </w:p>
        </w:tc>
      </w:tr>
      <w:tr>
        <w:trPr/>
        <w:tc>
          <w:tcPr>
            <w:tcW w:w="5000" w:type="dxa"/>
            <w:tcBorders/>
            <w:tcMar>
              <w:bottom w:w="0" w:type="dxa"/>
            </w:tcMar>
            <w:vAlign w:val="center"/>
          </w:tcPr>
          <w:p>
            <w:pPr>
              <w:pStyle w:val="TableContents"/>
              <w:bidi w:val="0"/>
              <w:spacing w:before="0" w:after="283"/>
              <w:jc w:val="left"/>
              <w:rPr/>
            </w:pPr>
            <w:r>
              <w:rPr/>
              <w:t>PR-NA Industries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Florida, U.S.</w:t>
            </w:r>
          </w:p>
        </w:tc>
      </w:tr>
      <w:tr>
        <w:trPr/>
        <w:tc>
          <w:tcPr>
            <w:tcW w:w="5000" w:type="dxa"/>
            <w:tcBorders/>
            <w:tcMar>
              <w:bottom w:w="0" w:type="dxa"/>
            </w:tcMar>
            <w:vAlign w:val="center"/>
          </w:tcPr>
          <w:p>
            <w:pPr>
              <w:pStyle w:val="TableContents"/>
              <w:bidi w:val="0"/>
              <w:spacing w:before="0" w:after="283"/>
              <w:jc w:val="left"/>
              <w:rPr/>
            </w:pPr>
            <w:r>
              <w:rPr/>
              <w:t>Motortech Americas,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Louisiana, U.S.</w:t>
            </w:r>
          </w:p>
        </w:tc>
      </w:tr>
      <w:tr>
        <w:trPr/>
        <w:tc>
          <w:tcPr>
            <w:tcW w:w="5000" w:type="dxa"/>
            <w:tcBorders/>
            <w:tcMar>
              <w:bottom w:w="0" w:type="dxa"/>
            </w:tcMar>
            <w:vAlign w:val="center"/>
          </w:tcPr>
          <w:p>
            <w:pPr>
              <w:pStyle w:val="TableContents"/>
              <w:bidi w:val="0"/>
              <w:spacing w:before="0" w:after="283"/>
              <w:jc w:val="left"/>
              <w:rPr/>
            </w:pPr>
            <w:r>
              <w:rPr/>
              <w:t>East Coast Energy Systems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Massachusetts, U.S.</w:t>
            </w:r>
          </w:p>
        </w:tc>
      </w:tr>
      <w:tr>
        <w:trPr/>
        <w:tc>
          <w:tcPr>
            <w:tcW w:w="5000" w:type="dxa"/>
            <w:tcBorders/>
            <w:tcMar>
              <w:bottom w:w="0" w:type="dxa"/>
            </w:tcMar>
            <w:vAlign w:val="center"/>
          </w:tcPr>
          <w:p>
            <w:pPr>
              <w:pStyle w:val="TableContents"/>
              <w:bidi w:val="0"/>
              <w:spacing w:before="0" w:after="283"/>
              <w:jc w:val="left"/>
              <w:rPr/>
            </w:pPr>
            <w:r>
              <w:rPr/>
              <w:t>Electronic Environments Co.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Massachusetts, U.S.</w:t>
            </w:r>
          </w:p>
        </w:tc>
      </w:tr>
      <w:tr>
        <w:trPr/>
        <w:tc>
          <w:tcPr>
            <w:tcW w:w="5000" w:type="dxa"/>
            <w:tcBorders/>
            <w:tcMar>
              <w:bottom w:w="0" w:type="dxa"/>
            </w:tcMar>
            <w:vAlign w:val="center"/>
          </w:tcPr>
          <w:p>
            <w:pPr>
              <w:pStyle w:val="TableContents"/>
              <w:bidi w:val="0"/>
              <w:spacing w:before="0" w:after="283"/>
              <w:jc w:val="left"/>
              <w:rPr/>
            </w:pPr>
            <w:r>
              <w:rPr/>
              <w:t>Wolverine Power Systems,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Michigan, U.S. </w:t>
            </w:r>
          </w:p>
        </w:tc>
      </w:tr>
      <w:tr>
        <w:trPr/>
        <w:tc>
          <w:tcPr>
            <w:tcW w:w="5000" w:type="dxa"/>
            <w:tcBorders/>
            <w:tcMar>
              <w:bottom w:w="0" w:type="dxa"/>
            </w:tcMar>
            <w:vAlign w:val="center"/>
          </w:tcPr>
          <w:p>
            <w:pPr>
              <w:pStyle w:val="TableContents"/>
              <w:bidi w:val="0"/>
              <w:spacing w:before="0" w:after="283"/>
              <w:jc w:val="left"/>
              <w:rPr/>
            </w:pPr>
            <w:r>
              <w:rPr/>
              <w:t>Energy Systems New York,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New York, U.S.</w:t>
            </w:r>
          </w:p>
        </w:tc>
      </w:tr>
      <w:tr>
        <w:trPr/>
        <w:tc>
          <w:tcPr>
            <w:tcW w:w="5000" w:type="dxa"/>
            <w:tcBorders/>
            <w:tcMar>
              <w:bottom w:w="0" w:type="dxa"/>
            </w:tcMar>
            <w:vAlign w:val="center"/>
          </w:tcPr>
          <w:p>
            <w:pPr>
              <w:pStyle w:val="TableContents"/>
              <w:bidi w:val="0"/>
              <w:spacing w:before="0" w:after="283"/>
              <w:jc w:val="left"/>
              <w:rPr/>
            </w:pPr>
            <w:r>
              <w:rPr/>
              <w:t>West Coast Energy Systems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California, U.S.</w:t>
            </w:r>
          </w:p>
        </w:tc>
      </w:tr>
      <w:tr>
        <w:trPr/>
        <w:tc>
          <w:tcPr>
            <w:tcW w:w="5000" w:type="dxa"/>
            <w:tcBorders/>
            <w:tcMar>
              <w:bottom w:w="0" w:type="dxa"/>
            </w:tcMar>
            <w:vAlign w:val="center"/>
          </w:tcPr>
          <w:p>
            <w:pPr>
              <w:pStyle w:val="TableContents"/>
              <w:bidi w:val="0"/>
              <w:spacing w:before="0" w:after="283"/>
              <w:jc w:val="left"/>
              <w:rPr/>
            </w:pPr>
            <w:r>
              <w:rPr/>
              <w:t>Energy Systems Texas,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Texas, U.S.</w:t>
            </w:r>
          </w:p>
        </w:tc>
      </w:tr>
      <w:tr>
        <w:trPr/>
        <w:tc>
          <w:tcPr>
            <w:tcW w:w="5000" w:type="dxa"/>
            <w:tcBorders/>
            <w:tcMar>
              <w:bottom w:w="0" w:type="dxa"/>
            </w:tcMar>
            <w:vAlign w:val="center"/>
          </w:tcPr>
          <w:p>
            <w:pPr>
              <w:pStyle w:val="TableContents"/>
              <w:bidi w:val="0"/>
              <w:spacing w:before="0" w:after="283"/>
              <w:jc w:val="left"/>
              <w:rPr/>
            </w:pPr>
            <w:r>
              <w:rPr/>
              <w:t>ecobee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Nevada, U.S.</w:t>
            </w:r>
          </w:p>
        </w:tc>
      </w:tr>
      <w:tr>
        <w:trPr/>
        <w:tc>
          <w:tcPr>
            <w:tcW w:w="5000" w:type="dxa"/>
            <w:tcBorders/>
            <w:tcMar>
              <w:bottom w:w="0" w:type="dxa"/>
            </w:tcMar>
            <w:vAlign w:val="center"/>
          </w:tcPr>
          <w:p>
            <w:pPr>
              <w:pStyle w:val="TableContents"/>
              <w:bidi w:val="0"/>
              <w:spacing w:before="0" w:after="283"/>
              <w:jc w:val="left"/>
              <w:rPr/>
            </w:pPr>
            <w:r>
              <w:rPr/>
              <w:t>Deep Sea Electronics,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Illinois, U.S.</w:t>
            </w:r>
          </w:p>
        </w:tc>
      </w:tr>
      <w:tr>
        <w:trPr/>
        <w:tc>
          <w:tcPr>
            <w:tcW w:w="5000" w:type="dxa"/>
            <w:tcBorders/>
            <w:tcMar>
              <w:bottom w:w="0" w:type="dxa"/>
            </w:tcMar>
            <w:vAlign w:val="center"/>
          </w:tcPr>
          <w:p>
            <w:pPr>
              <w:pStyle w:val="TableContents"/>
              <w:bidi w:val="0"/>
              <w:spacing w:before="0" w:after="283"/>
              <w:jc w:val="left"/>
              <w:rPr/>
            </w:pPr>
            <w:r>
              <w:rPr/>
              <w:t>Pramac Generac Australia PTY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Australia</w:t>
            </w:r>
          </w:p>
        </w:tc>
      </w:tr>
      <w:tr>
        <w:trPr/>
        <w:tc>
          <w:tcPr>
            <w:tcW w:w="5000" w:type="dxa"/>
            <w:tcBorders/>
            <w:tcMar>
              <w:bottom w:w="0" w:type="dxa"/>
            </w:tcMar>
            <w:vAlign w:val="center"/>
          </w:tcPr>
          <w:p>
            <w:pPr>
              <w:pStyle w:val="TableContents"/>
              <w:bidi w:val="0"/>
              <w:spacing w:before="0" w:after="283"/>
              <w:jc w:val="left"/>
              <w:rPr/>
            </w:pPr>
            <w:r>
              <w:rPr/>
              <w:t>Generac Juffali Generators WLL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Bahrain</w:t>
            </w:r>
          </w:p>
        </w:tc>
      </w:tr>
      <w:tr>
        <w:trPr/>
        <w:tc>
          <w:tcPr>
            <w:tcW w:w="5000" w:type="dxa"/>
            <w:tcBorders/>
            <w:tcMar>
              <w:bottom w:w="0" w:type="dxa"/>
            </w:tcMar>
            <w:vAlign w:val="center"/>
          </w:tcPr>
          <w:p>
            <w:pPr>
              <w:pStyle w:val="TableContents"/>
              <w:bidi w:val="0"/>
              <w:spacing w:before="0" w:after="283"/>
              <w:jc w:val="left"/>
              <w:rPr/>
            </w:pPr>
            <w:r>
              <w:rPr/>
              <w:t>PR Middle East WLL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Bahrain</w:t>
            </w:r>
          </w:p>
        </w:tc>
      </w:tr>
      <w:tr>
        <w:trPr/>
        <w:tc>
          <w:tcPr>
            <w:tcW w:w="5000" w:type="dxa"/>
            <w:tcBorders/>
            <w:tcMar>
              <w:bottom w:w="0" w:type="dxa"/>
            </w:tcMar>
            <w:vAlign w:val="center"/>
          </w:tcPr>
          <w:p>
            <w:pPr>
              <w:pStyle w:val="TableContents"/>
              <w:bidi w:val="0"/>
              <w:spacing w:before="0" w:after="283"/>
              <w:jc w:val="left"/>
              <w:rPr/>
            </w:pPr>
            <w:r>
              <w:rPr/>
              <w:t>Generac do Brasil Ltda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Brazil</w:t>
            </w:r>
          </w:p>
        </w:tc>
      </w:tr>
      <w:tr>
        <w:trPr/>
        <w:tc>
          <w:tcPr>
            <w:tcW w:w="5000" w:type="dxa"/>
            <w:tcBorders/>
            <w:tcMar>
              <w:bottom w:w="0" w:type="dxa"/>
            </w:tcMar>
            <w:vAlign w:val="center"/>
          </w:tcPr>
          <w:p>
            <w:pPr>
              <w:pStyle w:val="TableContents"/>
              <w:bidi w:val="0"/>
              <w:spacing w:before="0" w:after="283"/>
              <w:jc w:val="left"/>
              <w:rPr/>
            </w:pPr>
            <w:r>
              <w:rPr/>
              <w:t>GPR Brazil Equipamentos Ltda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Brazil</w:t>
            </w:r>
          </w:p>
        </w:tc>
      </w:tr>
      <w:tr>
        <w:trPr/>
        <w:tc>
          <w:tcPr>
            <w:tcW w:w="5000" w:type="dxa"/>
            <w:tcBorders/>
            <w:tcMar>
              <w:bottom w:w="0" w:type="dxa"/>
            </w:tcMar>
            <w:vAlign w:val="center"/>
          </w:tcPr>
          <w:p>
            <w:pPr>
              <w:pStyle w:val="TableContents"/>
              <w:bidi w:val="0"/>
              <w:spacing w:before="0" w:after="283"/>
              <w:jc w:val="left"/>
              <w:rPr/>
            </w:pPr>
            <w:r>
              <w:rPr/>
              <w:t>Neurio Technology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5000" w:type="dxa"/>
            <w:tcBorders/>
            <w:tcMar>
              <w:bottom w:w="0" w:type="dxa"/>
            </w:tcMar>
            <w:vAlign w:val="center"/>
          </w:tcPr>
          <w:p>
            <w:pPr>
              <w:pStyle w:val="TableContents"/>
              <w:bidi w:val="0"/>
              <w:spacing w:before="0" w:after="283"/>
              <w:jc w:val="left"/>
              <w:rPr/>
            </w:pPr>
            <w:r>
              <w:rPr/>
              <w:t>ecobee Technologies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5000" w:type="dxa"/>
            <w:tcBorders/>
            <w:tcMar>
              <w:bottom w:w="0" w:type="dxa"/>
            </w:tcMar>
            <w:vAlign w:val="center"/>
          </w:tcPr>
          <w:p>
            <w:pPr>
              <w:pStyle w:val="TableContents"/>
              <w:bidi w:val="0"/>
              <w:spacing w:before="0" w:after="283"/>
              <w:jc w:val="left"/>
              <w:rPr/>
            </w:pPr>
            <w:r>
              <w:rPr/>
              <w:t>Generac Industrial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5000" w:type="dxa"/>
            <w:tcBorders/>
            <w:tcMar>
              <w:bottom w:w="0" w:type="dxa"/>
            </w:tcMar>
            <w:vAlign w:val="center"/>
          </w:tcPr>
          <w:p>
            <w:pPr>
              <w:pStyle w:val="TableContents"/>
              <w:bidi w:val="0"/>
              <w:spacing w:before="0" w:after="283"/>
              <w:jc w:val="left"/>
              <w:rPr/>
            </w:pPr>
            <w:r>
              <w:rPr/>
              <w:t>Pramac Fu Lee Foshan Power Equipment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China</w:t>
            </w:r>
          </w:p>
        </w:tc>
      </w:tr>
      <w:tr>
        <w:trPr/>
        <w:tc>
          <w:tcPr>
            <w:tcW w:w="5000" w:type="dxa"/>
            <w:tcBorders/>
            <w:tcMar>
              <w:bottom w:w="0" w:type="dxa"/>
            </w:tcMar>
            <w:vAlign w:val="center"/>
          </w:tcPr>
          <w:p>
            <w:pPr>
              <w:pStyle w:val="TableContents"/>
              <w:bidi w:val="0"/>
              <w:spacing w:before="0" w:after="283"/>
              <w:jc w:val="left"/>
              <w:rPr/>
            </w:pPr>
            <w:r>
              <w:rPr/>
              <w:t>Suzhou Generac Power Systems Co.,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China</w:t>
            </w:r>
          </w:p>
        </w:tc>
      </w:tr>
      <w:tr>
        <w:trPr/>
        <w:tc>
          <w:tcPr>
            <w:tcW w:w="5000" w:type="dxa"/>
            <w:tcBorders/>
            <w:tcMar>
              <w:bottom w:w="0" w:type="dxa"/>
            </w:tcMar>
            <w:vAlign w:val="center"/>
          </w:tcPr>
          <w:p>
            <w:pPr>
              <w:pStyle w:val="TableContents"/>
              <w:bidi w:val="0"/>
              <w:spacing w:before="0" w:after="283"/>
              <w:jc w:val="left"/>
              <w:rPr/>
            </w:pPr>
            <w:r>
              <w:rPr/>
              <w:t>Powerator (Foshan) Import &amp; Export Trade Co.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China</w:t>
            </w:r>
          </w:p>
        </w:tc>
      </w:tr>
      <w:tr>
        <w:trPr/>
        <w:tc>
          <w:tcPr>
            <w:tcW w:w="5000" w:type="dxa"/>
            <w:tcBorders/>
            <w:tcMar>
              <w:bottom w:w="0" w:type="dxa"/>
            </w:tcMar>
            <w:vAlign w:val="center"/>
          </w:tcPr>
          <w:p>
            <w:pPr>
              <w:pStyle w:val="TableContents"/>
              <w:bidi w:val="0"/>
              <w:spacing w:before="0" w:after="283"/>
              <w:jc w:val="left"/>
              <w:rPr/>
            </w:pPr>
            <w:r>
              <w:rPr/>
              <w:t>Generac Colombia S.A.S.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Colombia</w:t>
            </w:r>
          </w:p>
        </w:tc>
      </w:tr>
      <w:tr>
        <w:trPr/>
        <w:tc>
          <w:tcPr>
            <w:tcW w:w="5000" w:type="dxa"/>
            <w:tcBorders/>
            <w:tcMar>
              <w:bottom w:w="0" w:type="dxa"/>
            </w:tcMar>
            <w:vAlign w:val="center"/>
          </w:tcPr>
          <w:p>
            <w:pPr>
              <w:pStyle w:val="TableContents"/>
              <w:bidi w:val="0"/>
              <w:spacing w:before="0" w:after="283"/>
              <w:jc w:val="left"/>
              <w:rPr/>
            </w:pPr>
            <w:r>
              <w:rPr/>
              <w:t>PR Europe SAS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France</w:t>
            </w:r>
          </w:p>
        </w:tc>
      </w:tr>
      <w:tr>
        <w:trPr/>
        <w:tc>
          <w:tcPr>
            <w:tcW w:w="5000" w:type="dxa"/>
            <w:tcBorders/>
            <w:tcMar>
              <w:bottom w:w="0" w:type="dxa"/>
            </w:tcMar>
            <w:vAlign w:val="center"/>
          </w:tcPr>
          <w:p>
            <w:pPr>
              <w:pStyle w:val="TableContents"/>
              <w:bidi w:val="0"/>
              <w:spacing w:before="0" w:after="283"/>
              <w:jc w:val="left"/>
              <w:rPr/>
            </w:pPr>
            <w:r>
              <w:rPr/>
              <w:t>Services &amp; Gestion France Sarl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France</w:t>
            </w:r>
          </w:p>
        </w:tc>
      </w:tr>
      <w:tr>
        <w:trPr/>
        <w:tc>
          <w:tcPr>
            <w:tcW w:w="5000" w:type="dxa"/>
            <w:tcBorders/>
            <w:tcMar>
              <w:bottom w:w="0" w:type="dxa"/>
            </w:tcMar>
            <w:vAlign w:val="center"/>
          </w:tcPr>
          <w:p>
            <w:pPr>
              <w:pStyle w:val="TableContents"/>
              <w:bidi w:val="0"/>
              <w:spacing w:before="0" w:after="283"/>
              <w:jc w:val="left"/>
              <w:rPr/>
            </w:pPr>
            <w:r>
              <w:rPr/>
              <w:t>Pramac GmbH</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Germany</w:t>
            </w:r>
          </w:p>
        </w:tc>
      </w:tr>
      <w:tr>
        <w:trPr/>
        <w:tc>
          <w:tcPr>
            <w:tcW w:w="5000" w:type="dxa"/>
            <w:tcBorders/>
            <w:tcMar>
              <w:bottom w:w="0" w:type="dxa"/>
            </w:tcMar>
            <w:vAlign w:val="center"/>
          </w:tcPr>
          <w:p>
            <w:pPr>
              <w:pStyle w:val="TableContents"/>
              <w:bidi w:val="0"/>
              <w:spacing w:before="0" w:after="283"/>
              <w:jc w:val="left"/>
              <w:rPr/>
            </w:pPr>
            <w:r>
              <w:rPr/>
              <w:t>Motortech GmbH</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Germany</w:t>
            </w:r>
          </w:p>
        </w:tc>
      </w:tr>
      <w:tr>
        <w:trPr/>
        <w:tc>
          <w:tcPr>
            <w:tcW w:w="5000" w:type="dxa"/>
            <w:tcBorders/>
            <w:tcMar>
              <w:bottom w:w="0" w:type="dxa"/>
            </w:tcMar>
            <w:vAlign w:val="center"/>
          </w:tcPr>
          <w:p>
            <w:pPr>
              <w:pStyle w:val="TableContents"/>
              <w:bidi w:val="0"/>
              <w:spacing w:before="0" w:after="283"/>
              <w:jc w:val="left"/>
              <w:rPr/>
            </w:pPr>
            <w:r>
              <w:rPr/>
              <w:t>Pramac Storage Systems GmbH</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Germany</w:t>
            </w:r>
          </w:p>
        </w:tc>
      </w:tr>
      <w:tr>
        <w:trPr/>
        <w:tc>
          <w:tcPr>
            <w:tcW w:w="5000" w:type="dxa"/>
            <w:tcBorders/>
            <w:tcMar>
              <w:bottom w:w="0" w:type="dxa"/>
            </w:tcMar>
            <w:vAlign w:val="center"/>
          </w:tcPr>
          <w:p>
            <w:pPr>
              <w:pStyle w:val="TableContents"/>
              <w:bidi w:val="0"/>
              <w:spacing w:before="0" w:after="283"/>
              <w:jc w:val="left"/>
              <w:rPr/>
            </w:pPr>
            <w:r>
              <w:rPr/>
              <w:t>Generac Captiva Private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India</w:t>
            </w:r>
          </w:p>
        </w:tc>
      </w:tr>
      <w:tr>
        <w:trPr/>
        <w:tc>
          <w:tcPr>
            <w:tcW w:w="5000" w:type="dxa"/>
            <w:tcBorders/>
            <w:tcMar>
              <w:bottom w:w="0" w:type="dxa"/>
            </w:tcMar>
            <w:vAlign w:val="center"/>
          </w:tcPr>
          <w:p>
            <w:pPr>
              <w:pStyle w:val="TableContents"/>
              <w:bidi w:val="0"/>
              <w:spacing w:before="0" w:after="283"/>
              <w:jc w:val="left"/>
              <w:rPr/>
            </w:pPr>
            <w:r>
              <w:rPr/>
              <w:t>Deep Sea Electronics India Private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India</w:t>
            </w:r>
          </w:p>
        </w:tc>
      </w:tr>
      <w:tr>
        <w:trPr/>
        <w:tc>
          <w:tcPr>
            <w:tcW w:w="5000" w:type="dxa"/>
            <w:tcBorders/>
            <w:tcMar>
              <w:bottom w:w="0" w:type="dxa"/>
            </w:tcMar>
            <w:vAlign w:val="center"/>
          </w:tcPr>
          <w:p>
            <w:pPr>
              <w:pStyle w:val="TableContents"/>
              <w:bidi w:val="0"/>
              <w:spacing w:before="0" w:after="283"/>
              <w:jc w:val="left"/>
              <w:rPr/>
            </w:pPr>
            <w:r>
              <w:rPr/>
              <w:t>PR Industrial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Italy</w:t>
            </w:r>
          </w:p>
        </w:tc>
      </w:tr>
      <w:tr>
        <w:trPr/>
        <w:tc>
          <w:tcPr>
            <w:tcW w:w="5000" w:type="dxa"/>
            <w:tcBorders/>
            <w:tcMar>
              <w:bottom w:w="0" w:type="dxa"/>
            </w:tcMar>
            <w:vAlign w:val="center"/>
          </w:tcPr>
          <w:p>
            <w:pPr>
              <w:pStyle w:val="TableContents"/>
              <w:bidi w:val="0"/>
              <w:spacing w:before="0" w:after="283"/>
              <w:jc w:val="left"/>
              <w:rPr/>
            </w:pPr>
            <w:r>
              <w:rPr/>
              <w:t>PRO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Italy</w:t>
            </w:r>
          </w:p>
        </w:tc>
      </w:tr>
      <w:tr>
        <w:trPr/>
        <w:tc>
          <w:tcPr>
            <w:tcW w:w="5000" w:type="dxa"/>
            <w:tcBorders/>
            <w:tcMar>
              <w:bottom w:w="0" w:type="dxa"/>
            </w:tcMar>
            <w:vAlign w:val="center"/>
          </w:tcPr>
          <w:p>
            <w:pPr>
              <w:pStyle w:val="TableContents"/>
              <w:bidi w:val="0"/>
              <w:spacing w:before="0" w:after="283"/>
              <w:jc w:val="left"/>
              <w:rPr/>
            </w:pPr>
            <w:r>
              <w:rPr/>
              <w:t>IFC,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Italy</w:t>
            </w:r>
          </w:p>
        </w:tc>
      </w:tr>
      <w:tr>
        <w:trPr/>
        <w:tc>
          <w:tcPr>
            <w:tcW w:w="5000" w:type="dxa"/>
            <w:tcBorders/>
            <w:tcMar>
              <w:bottom w:w="0" w:type="dxa"/>
            </w:tcMar>
            <w:vAlign w:val="center"/>
          </w:tcPr>
          <w:p>
            <w:pPr>
              <w:pStyle w:val="TableContents"/>
              <w:bidi w:val="0"/>
              <w:spacing w:before="0" w:after="283"/>
              <w:jc w:val="left"/>
              <w:rPr/>
            </w:pPr>
            <w:r>
              <w:rPr/>
              <w:t>La Serena Sculture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Italy</w:t>
            </w:r>
          </w:p>
        </w:tc>
      </w:tr>
      <w:tr>
        <w:trPr/>
        <w:tc>
          <w:tcPr>
            <w:tcW w:w="5000" w:type="dxa"/>
            <w:tcBorders/>
            <w:tcMar>
              <w:bottom w:w="0" w:type="dxa"/>
            </w:tcMar>
            <w:vAlign w:val="center"/>
          </w:tcPr>
          <w:p>
            <w:pPr>
              <w:pStyle w:val="TableContents"/>
              <w:bidi w:val="0"/>
              <w:spacing w:before="0" w:after="283"/>
              <w:jc w:val="left"/>
              <w:rPr/>
            </w:pPr>
            <w:r>
              <w:rPr/>
              <w:t>Generac Mexico Administracion,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Generac Mexico,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Selmec Equipos Industriales,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Generac Servicios Mantenimiento,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Servicios Administrativos Selmec,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Generac Hidalgo,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GMH 2020, S. de R.L.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5000" w:type="dxa"/>
            <w:tcBorders/>
            <w:tcMar>
              <w:bottom w:w="0" w:type="dxa"/>
            </w:tcMar>
            <w:vAlign w:val="center"/>
          </w:tcPr>
          <w:p>
            <w:pPr>
              <w:pStyle w:val="TableContents"/>
              <w:bidi w:val="0"/>
              <w:spacing w:before="0" w:after="283"/>
              <w:jc w:val="left"/>
              <w:rPr/>
            </w:pPr>
            <w:r>
              <w:rPr/>
              <w:t>Pramac Sp. Z.o.o.</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Poland</w:t>
            </w:r>
          </w:p>
        </w:tc>
      </w:tr>
      <w:tr>
        <w:trPr/>
        <w:tc>
          <w:tcPr>
            <w:tcW w:w="5000" w:type="dxa"/>
            <w:tcBorders/>
            <w:tcMar>
              <w:bottom w:w="0" w:type="dxa"/>
            </w:tcMar>
            <w:vAlign w:val="center"/>
          </w:tcPr>
          <w:p>
            <w:pPr>
              <w:pStyle w:val="TableContents"/>
              <w:bidi w:val="0"/>
              <w:spacing w:before="0" w:after="283"/>
              <w:jc w:val="left"/>
              <w:rPr/>
            </w:pPr>
            <w:r>
              <w:rPr/>
              <w:t>Motortech Polska Sp. Z.o.o.</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Poland</w:t>
            </w:r>
          </w:p>
        </w:tc>
      </w:tr>
      <w:tr>
        <w:trPr/>
        <w:tc>
          <w:tcPr>
            <w:tcW w:w="5000" w:type="dxa"/>
            <w:tcBorders/>
            <w:tcMar>
              <w:bottom w:w="0" w:type="dxa"/>
            </w:tcMar>
            <w:vAlign w:val="center"/>
          </w:tcPr>
          <w:p>
            <w:pPr>
              <w:pStyle w:val="TableContents"/>
              <w:bidi w:val="0"/>
              <w:spacing w:before="0" w:after="283"/>
              <w:jc w:val="left"/>
              <w:rPr/>
            </w:pPr>
            <w:r>
              <w:rPr/>
              <w:t>Pramac Generators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Romania</w:t>
            </w:r>
          </w:p>
        </w:tc>
      </w:tr>
      <w:tr>
        <w:trPr/>
        <w:tc>
          <w:tcPr>
            <w:tcW w:w="5000" w:type="dxa"/>
            <w:tcBorders/>
            <w:tcMar>
              <w:bottom w:w="0" w:type="dxa"/>
            </w:tcMar>
            <w:vAlign w:val="center"/>
          </w:tcPr>
          <w:p>
            <w:pPr>
              <w:pStyle w:val="TableContents"/>
              <w:bidi w:val="0"/>
              <w:spacing w:before="0" w:after="283"/>
              <w:jc w:val="left"/>
              <w:rPr/>
            </w:pPr>
            <w:r>
              <w:rPr/>
              <w:t>Pramac RUS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Russia</w:t>
            </w:r>
          </w:p>
        </w:tc>
      </w:tr>
      <w:tr>
        <w:trPr/>
        <w:tc>
          <w:tcPr>
            <w:tcW w:w="5000" w:type="dxa"/>
            <w:tcBorders/>
            <w:tcMar>
              <w:bottom w:w="0" w:type="dxa"/>
            </w:tcMar>
            <w:vAlign w:val="center"/>
          </w:tcPr>
          <w:p>
            <w:pPr>
              <w:pStyle w:val="TableContents"/>
              <w:bidi w:val="0"/>
              <w:spacing w:before="0" w:after="283"/>
              <w:jc w:val="left"/>
              <w:rPr/>
            </w:pPr>
            <w:r>
              <w:rPr/>
              <w:t>GPR Iberica SAU</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Spain</w:t>
            </w:r>
          </w:p>
        </w:tc>
      </w:tr>
      <w:tr>
        <w:trPr/>
        <w:tc>
          <w:tcPr>
            <w:tcW w:w="5000" w:type="dxa"/>
            <w:tcBorders/>
            <w:tcMar>
              <w:bottom w:w="0" w:type="dxa"/>
            </w:tcMar>
            <w:vAlign w:val="center"/>
          </w:tcPr>
          <w:p>
            <w:pPr>
              <w:pStyle w:val="TableContents"/>
              <w:bidi w:val="0"/>
              <w:spacing w:before="0" w:after="283"/>
              <w:jc w:val="left"/>
              <w:rPr/>
            </w:pPr>
            <w:r>
              <w:rPr/>
              <w:t>Pramac Generac South Africa (Pty)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South Africa </w:t>
            </w:r>
          </w:p>
        </w:tc>
      </w:tr>
      <w:tr>
        <w:trPr/>
        <w:tc>
          <w:tcPr>
            <w:tcW w:w="5000" w:type="dxa"/>
            <w:tcBorders/>
            <w:tcMar>
              <w:bottom w:w="0" w:type="dxa"/>
            </w:tcMar>
            <w:vAlign w:val="center"/>
          </w:tcPr>
          <w:p>
            <w:pPr>
              <w:pStyle w:val="TableContents"/>
              <w:bidi w:val="0"/>
              <w:spacing w:before="0" w:after="283"/>
              <w:jc w:val="left"/>
              <w:rPr/>
            </w:pPr>
            <w:r>
              <w:rPr/>
              <w:t>PR Middle East Fze</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Arab Emirates</w:t>
            </w:r>
          </w:p>
        </w:tc>
      </w:tr>
      <w:tr>
        <w:trPr/>
        <w:tc>
          <w:tcPr>
            <w:tcW w:w="5000" w:type="dxa"/>
            <w:tcBorders/>
            <w:tcMar>
              <w:bottom w:w="0" w:type="dxa"/>
            </w:tcMar>
            <w:vAlign w:val="center"/>
          </w:tcPr>
          <w:p>
            <w:pPr>
              <w:pStyle w:val="TableContents"/>
              <w:bidi w:val="0"/>
              <w:spacing w:before="0" w:after="283"/>
              <w:jc w:val="left"/>
              <w:rPr/>
            </w:pPr>
            <w:r>
              <w:rPr/>
              <w:t>Generac UK Acquisition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Generac UK DSE Topco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Generac UK DSE Midco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Generac UK DSE Bidco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Deep Sea Electronics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Generac Holdings UK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Generac Global UK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Ottomotores Nominees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Pramac - Generac UK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Pramac Racing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DSE Development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Off Grid Energy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5000" w:type="dxa"/>
            <w:tcBorders/>
            <w:tcMar>
              <w:bottom w:w="0" w:type="dxa"/>
            </w:tcMar>
            <w:vAlign w:val="center"/>
          </w:tcPr>
          <w:p>
            <w:pPr>
              <w:pStyle w:val="TableContents"/>
              <w:bidi w:val="0"/>
              <w:spacing w:before="0" w:after="283"/>
              <w:jc w:val="left"/>
              <w:rPr/>
            </w:pPr>
            <w:r>
              <w:rPr/>
              <w:t>Cocoon Labs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38" w:name="ex_873992.htm"/>
      <w:bookmarkStart w:id="39" w:name="ksex_873992"/>
      <w:bookmarkEnd w:id="38"/>
      <w:bookmarkEnd w:id="39"/>
      <w:r>
        <w:rPr>
          <w:rFonts w:ascii="Times New Roman" w:hAnsi="Times New Roman"/>
          <w:b/>
          <w:sz w:val="20"/>
        </w:rPr>
        <w:t>Exhibit 23.1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consent to the incorporation by reference in Registration Statement Nos. 333-164851, 333-183109, 333-197944, 333-233050, and 333-283011 on Form S-8 of our reports dated February 18, 2026, relating to the financial statements of Generac Holdings Inc., and the effectiveness of Generac Holdings Inc.'s internal control over financial reporting, appearing in this Annual Report on Form 10-K for the year ended </w:t>
      </w:r>
      <w:bookmarkStart w:id="40" w:name="led93990F20259211761070099093"/>
      <w:bookmarkEnd w:id="40"/>
      <w:r>
        <w:rPr>
          <w:rFonts w:ascii="Times New Roman;Times;serif" w:hAnsi="Times New Roman;Times;serif"/>
          <w:sz w:val="20"/>
        </w:rPr>
        <w:t>December 31,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18, 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1" w:name="ex_873993.htm"/>
      <w:bookmarkStart w:id="42" w:name="ksex_873993"/>
      <w:bookmarkEnd w:id="41"/>
      <w:bookmarkEnd w:id="42"/>
      <w:r>
        <w:rPr>
          <w:rFonts w:ascii="Times New Roman" w:hAnsi="Times New Roman"/>
          <w:b/>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w:t>
        <w:br/>
        <w:t>SECURITIES EXCHANGE ACT RULES 13a-14(a) AND 15d-14(a), AS ADOPTED</w:t>
        <w:br/>
        <w:t>PURSUANT TO SECTION 302 OF THE SARBANES-OXLEY ACT OF 2002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Aaron Jagdfeld, certify that:</w:t>
      </w:r>
    </w:p>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Generac Holdings Inc.;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780" w:type="dxa"/>
        <w:jc w:val="left"/>
        <w:tblInd w:w="0" w:type="dxa"/>
        <w:tblLayout w:type="fixed"/>
        <w:tblCellMar>
          <w:top w:w="0" w:type="dxa"/>
          <w:left w:w="0" w:type="dxa"/>
          <w:bottom w:w="0" w:type="dxa"/>
          <w:right w:w="0" w:type="dxa"/>
        </w:tblCellMar>
      </w:tblPr>
      <w:tblGrid>
        <w:gridCol w:w="1985"/>
        <w:gridCol w:w="60"/>
        <w:gridCol w:w="60"/>
        <w:gridCol w:w="545"/>
        <w:gridCol w:w="60"/>
        <w:gridCol w:w="4070"/>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18, 2026</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67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Chairman, President and Chief Executive Officer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3" w:name="ex_873994.htm"/>
      <w:bookmarkStart w:id="44" w:name="ksex_873994"/>
      <w:bookmarkEnd w:id="43"/>
      <w:bookmarkEnd w:id="44"/>
      <w:r>
        <w:rPr>
          <w:rFonts w:ascii="Times New Roman" w:hAnsi="Times New Roman"/>
          <w:b/>
          <w:sz w:val="20"/>
        </w:rPr>
        <w:t>Exhibit 31.2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FINANCIAL OFFICER PURSUANT TO</w:t>
        <w:br/>
        <w:t>SECURITIES EXCHANGE ACT RULES 13a-14(a) AND 15d-14(a), AS ADOPTED</w:t>
        <w:br/>
        <w:t>PURSUANT TO SECTION 302 OF THE SARBANES-OXLEY ACT OF 2002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York A. Ragen, certify that:</w:t>
      </w:r>
    </w:p>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Generac Holdings Inc.;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95" w:type="dxa"/>
        <w:jc w:val="left"/>
        <w:tblInd w:w="0" w:type="dxa"/>
        <w:tblLayout w:type="fixed"/>
        <w:tblCellMar>
          <w:top w:w="0" w:type="dxa"/>
          <w:left w:w="0" w:type="dxa"/>
          <w:bottom w:w="0" w:type="dxa"/>
          <w:right w:w="0" w:type="dxa"/>
        </w:tblCellMar>
      </w:tblPr>
      <w:tblGrid>
        <w:gridCol w:w="1985"/>
        <w:gridCol w:w="60"/>
        <w:gridCol w:w="60"/>
        <w:gridCol w:w="545"/>
        <w:gridCol w:w="60"/>
        <w:gridCol w:w="1985"/>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18, 2026</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590"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283"/>
              <w:jc w:val="left"/>
              <w:rPr/>
            </w:pPr>
            <w:r>
              <w:rPr/>
              <w:t>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5" w:name="ex_873995.htm"/>
      <w:bookmarkStart w:id="46" w:name="ksex_873995"/>
      <w:bookmarkEnd w:id="45"/>
      <w:bookmarkEnd w:id="46"/>
      <w:r>
        <w:rPr>
          <w:rFonts w:ascii="Times New Roman" w:hAnsi="Times New Roman"/>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br/>
        <w:t>PURSUANT TO 18 U.S.C. SECTION 1350, AS ADOPTED</w:t>
        <w:br/>
        <w:t xml:space="preserve">BY 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rFonts w:ascii="Times New Roman;Times;serif" w:hAnsi="Times New Roman;Times;serif"/>
          <w:sz w:val="20"/>
        </w:rPr>
        <w:t>Pursuant to Section 1350, Chapter 63 of Title 18, United States Code, as adopted by Section 906 of the Sarbanes-Oxley Act of 2002, the undersigned, as Chief Executive Officer of Generac Holdings Inc. (the “Company”), does hereby certify that to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annual report on Form 10-K for the fiscal year ended </w:t>
            </w:r>
            <w:bookmarkStart w:id="47" w:name="led93990F20259211761069978351"/>
            <w:bookmarkEnd w:id="47"/>
            <w:r>
              <w:rPr>
                <w:rFonts w:ascii="Times New Roman;Times;serif" w:hAnsi="Times New Roman;Times;serif"/>
                <w:sz w:val="20"/>
              </w:rPr>
              <w:t>December 31, 2025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information contained in the Company's annual report on Form 10-K for the fiscal year ended </w:t>
            </w:r>
            <w:bookmarkStart w:id="48" w:name="led93990F202592117610699783511"/>
            <w:bookmarkEnd w:id="48"/>
            <w:r>
              <w:rPr>
                <w:rFonts w:ascii="Times New Roman;Times;serif" w:hAnsi="Times New Roman;Times;serif"/>
                <w:sz w:val="20"/>
              </w:rPr>
              <w:t>December 31, 2025 fairly presents, in all material respects, the financial condition and results of operations of the Company.</w:t>
            </w:r>
          </w:p>
        </w:tc>
      </w:tr>
    </w:tbl>
    <w:p>
      <w:pPr>
        <w:pStyle w:val="TextBody"/>
        <w:bidi w:val="0"/>
        <w:spacing w:before="0" w:after="0"/>
        <w:ind w:left="0" w:right="0" w:hanging="0"/>
        <w:jc w:val="left"/>
        <w:rPr/>
      </w:pPr>
      <w:r>
        <w:rPr/>
        <w:t> </w:t>
      </w:r>
    </w:p>
    <w:tbl>
      <w:tblPr>
        <w:tblW w:w="6780" w:type="dxa"/>
        <w:jc w:val="left"/>
        <w:tblInd w:w="0" w:type="dxa"/>
        <w:tblLayout w:type="fixed"/>
        <w:tblCellMar>
          <w:top w:w="0" w:type="dxa"/>
          <w:left w:w="0" w:type="dxa"/>
          <w:bottom w:w="0" w:type="dxa"/>
          <w:right w:w="0" w:type="dxa"/>
        </w:tblCellMar>
      </w:tblPr>
      <w:tblGrid>
        <w:gridCol w:w="1985"/>
        <w:gridCol w:w="60"/>
        <w:gridCol w:w="60"/>
        <w:gridCol w:w="545"/>
        <w:gridCol w:w="60"/>
        <w:gridCol w:w="4070"/>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18, 2026</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67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Chairman, President and Chief Executive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9" w:name="ex_873996.htm"/>
      <w:bookmarkStart w:id="50" w:name="ksex_873996"/>
      <w:bookmarkEnd w:id="49"/>
      <w:bookmarkEnd w:id="50"/>
      <w:r>
        <w:rPr>
          <w:rFonts w:ascii="Times New Roman" w:hAnsi="Times New Roman"/>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br/>
        <w:t>PURSUANT TO 18 U.S.C. SECTION 1350, AS ADOPTED</w:t>
        <w:br/>
        <w:t xml:space="preserve">BY 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rFonts w:ascii="Times New Roman;Times;serif" w:hAnsi="Times New Roman;Times;serif"/>
          <w:sz w:val="20"/>
        </w:rPr>
        <w:t>Pursuant to Section 1350, Chapter 63 of Title 18, United States Code, as adopted by Section 906 of the Sarbanes-Oxley Act of 2002, the undersigned, as Chief Financial Officer of Generac Holdings Inc. (the “Company”), does hereby certify that to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annual report on Form 10-K for the fiscal year ended </w:t>
            </w:r>
            <w:bookmarkStart w:id="51" w:name="led93990F20259211761069921210"/>
            <w:bookmarkEnd w:id="51"/>
            <w:r>
              <w:rPr>
                <w:rFonts w:ascii="Times New Roman;Times;serif" w:hAnsi="Times New Roman;Times;serif"/>
                <w:sz w:val="20"/>
              </w:rPr>
              <w:t>December 31, 2025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information contained in the Company's annual report on Form 10-K for the fiscal year ended </w:t>
            </w:r>
            <w:bookmarkStart w:id="52" w:name="led93990F202592117610699212101"/>
            <w:bookmarkEnd w:id="52"/>
            <w:r>
              <w:rPr>
                <w:rFonts w:ascii="Times New Roman;Times;serif" w:hAnsi="Times New Roman;Times;serif"/>
                <w:sz w:val="20"/>
              </w:rPr>
              <w:t>December 31, 2025 fairly presents, in all material respects, the financial condition and results of operations of the Company.</w:t>
            </w:r>
          </w:p>
        </w:tc>
      </w:tr>
    </w:tbl>
    <w:p>
      <w:pPr>
        <w:pStyle w:val="TextBody"/>
        <w:bidi w:val="0"/>
        <w:spacing w:before="0" w:after="0"/>
        <w:ind w:left="0" w:right="0" w:hanging="0"/>
        <w:jc w:val="left"/>
        <w:rPr/>
      </w:pPr>
      <w:r>
        <w:rPr/>
        <w:t> </w:t>
      </w:r>
    </w:p>
    <w:tbl>
      <w:tblPr>
        <w:tblW w:w="4650" w:type="dxa"/>
        <w:jc w:val="left"/>
        <w:tblInd w:w="0" w:type="dxa"/>
        <w:tblLayout w:type="fixed"/>
        <w:tblCellMar>
          <w:top w:w="0" w:type="dxa"/>
          <w:left w:w="0" w:type="dxa"/>
          <w:bottom w:w="0" w:type="dxa"/>
          <w:right w:w="0" w:type="dxa"/>
        </w:tblCellMar>
      </w:tblPr>
      <w:tblGrid>
        <w:gridCol w:w="1985"/>
        <w:gridCol w:w="60"/>
        <w:gridCol w:w="60"/>
        <w:gridCol w:w="545"/>
        <w:gridCol w:w="60"/>
        <w:gridCol w:w="1940"/>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18, 2026</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54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74735/000104746910002937/a2197602zex-3_1.htm" TargetMode="External"/><Relationship Id="rId4" Type="http://schemas.openxmlformats.org/officeDocument/2006/relationships/hyperlink" Target="http://www.sec.gov/Archives/edgar/data/1474735/000143774923006220/ex_487119.htm" TargetMode="External"/><Relationship Id="rId5" Type="http://schemas.openxmlformats.org/officeDocument/2006/relationships/hyperlink" Target="http://www.sec.gov/Archives/edgar/data/1474735/000104746910000285/a2196063zex-4_1.htm" TargetMode="External"/><Relationship Id="rId6" Type="http://schemas.openxmlformats.org/officeDocument/2006/relationships/hyperlink" Target="http://www.sec.gov/Archives/edgar/data/1474735/000143774920003516/ex_172898.htm" TargetMode="External"/><Relationship Id="rId7" Type="http://schemas.openxmlformats.org/officeDocument/2006/relationships/hyperlink" Target="http://www.sec.gov/Archives/edgar/data/1474735/000110465913046543/a13-14243_1ex10d2.htm" TargetMode="External"/><Relationship Id="rId8" Type="http://schemas.openxmlformats.org/officeDocument/2006/relationships/hyperlink" Target="http://www.sec.gov/Archives/edgar/data/1474735/000143774916041001/ex10-1.htm" TargetMode="External"/><Relationship Id="rId9" Type="http://schemas.openxmlformats.org/officeDocument/2006/relationships/hyperlink" Target="http://www.sec.gov/Archives/edgar/data/1474735/000143774916041001/ex10-1.htm" TargetMode="External"/><Relationship Id="rId10" Type="http://schemas.openxmlformats.org/officeDocument/2006/relationships/hyperlink" Target="http://www.sec.gov/Archives/edgar/data/1474735/000143774917009034/ex10-1.htm" TargetMode="External"/><Relationship Id="rId11" Type="http://schemas.openxmlformats.org/officeDocument/2006/relationships/hyperlink" Target="http://www.sec.gov/Archives/edgar/data/1474735/000143774917020473/ex_101827.htm" TargetMode="External"/><Relationship Id="rId12" Type="http://schemas.openxmlformats.org/officeDocument/2006/relationships/hyperlink" Target="http://www.sec.gov/Archives/edgar/data/1474735/000143774918011755/ex_116401.htm" TargetMode="External"/><Relationship Id="rId13" Type="http://schemas.openxmlformats.org/officeDocument/2006/relationships/hyperlink" Target="http://www.sec.gov/Archives/edgar/data/1474735/000143774919024445/ex_167459.htm" TargetMode="External"/><Relationship Id="rId14" Type="http://schemas.openxmlformats.org/officeDocument/2006/relationships/hyperlink" Target="http://www.sec.gov/Archives/edgar/data/1474735/000143774925021956/ex_835740.htm" TargetMode="External"/><Relationship Id="rId15" Type="http://schemas.openxmlformats.org/officeDocument/2006/relationships/hyperlink" Target="http://www.sec.gov/Archives/edgar/data/0001474735/000143774921013716/ex_253880.htm" TargetMode="External"/><Relationship Id="rId16" Type="http://schemas.openxmlformats.org/officeDocument/2006/relationships/hyperlink" Target="http://www.sec.gov/Archives/edgar/data/1474735/000143774922016225/ex_391195.htm" TargetMode="External"/><Relationship Id="rId17" Type="http://schemas.openxmlformats.org/officeDocument/2006/relationships/hyperlink" Target="http://www.sec.gov/Archives/edgar/data/1474735/000143774923004153/ex_476961.htm" TargetMode="External"/><Relationship Id="rId18" Type="http://schemas.openxmlformats.org/officeDocument/2006/relationships/hyperlink" Target="http://www.sec.gov/Archives/edgar/data/1474735/000110465913046543/a13-14243_1ex10d1.htm" TargetMode="External"/><Relationship Id="rId19" Type="http://schemas.openxmlformats.org/officeDocument/2006/relationships/hyperlink" Target="http://www.sec.gov/Archives/edgar/data/1474735/000143774924033337/ex_730671.htm" TargetMode="External"/><Relationship Id="rId20" Type="http://schemas.openxmlformats.org/officeDocument/2006/relationships/hyperlink" Target="http://www.sec.gov/Archives/edgar/data/1474735/000110465912041005/a12-13434_1ex10d2.htm" TargetMode="External"/><Relationship Id="rId21" Type="http://schemas.openxmlformats.org/officeDocument/2006/relationships/hyperlink" Target="http://www.sec.gov/Archives/edgar/data/1474735/000110465913046543/a13-14243_1ex10d3.htm" TargetMode="External"/><Relationship Id="rId22" Type="http://schemas.openxmlformats.org/officeDocument/2006/relationships/hyperlink" Target="http://www.sec.gov/Archives/edgar/data/1474735/000110465912041005/a12-13434_1ex10d3.htm" TargetMode="External"/><Relationship Id="rId23" Type="http://schemas.openxmlformats.org/officeDocument/2006/relationships/hyperlink" Target="http://www.sec.gov/Archives/edgar/data/1474735/000110465913046543/a13-14243_1ex10d4.htm" TargetMode="External"/><Relationship Id="rId24" Type="http://schemas.openxmlformats.org/officeDocument/2006/relationships/hyperlink" Target="http://www.sec.gov/Archives/edgar/data/1474735/000143774915011443/ex10-1.htm" TargetMode="External"/><Relationship Id="rId25" Type="http://schemas.openxmlformats.org/officeDocument/2006/relationships/hyperlink" Target="http://www.sec.gov/Archives/edgar/data/1474735/000143774918011755/ex_116402.htm" TargetMode="External"/><Relationship Id="rId26" Type="http://schemas.openxmlformats.org/officeDocument/2006/relationships/hyperlink" Target="http://www.sec.gov/Archives/edgar/data/0001474735/000143774921013716/ex_253879.htm" TargetMode="External"/><Relationship Id="rId27" Type="http://schemas.openxmlformats.org/officeDocument/2006/relationships/hyperlink" Target="http://www.sec.gov/Archives/edgar/data/1474735/000110465912041005/a12-13434_1ex10d4.htm" TargetMode="External"/><Relationship Id="rId28" Type="http://schemas.openxmlformats.org/officeDocument/2006/relationships/hyperlink" Target="http://www.sec.gov/Archives/edgar/data/1474735/000110465913046543/a13-14243_1ex10d5.htm" TargetMode="External"/><Relationship Id="rId29" Type="http://schemas.openxmlformats.org/officeDocument/2006/relationships/hyperlink" Target="http://www.sec.gov/Archives/edgar/data/1474735/000104746910000285/a2196063zex-10_63.htm" TargetMode="External"/><Relationship Id="rId30" Type="http://schemas.openxmlformats.org/officeDocument/2006/relationships/hyperlink" Target="http://www.sec.gov/Archives/edgar/data/1474735/000104746910000285/a2196063zex-10_63.htm" TargetMode="External"/><Relationship Id="rId31" Type="http://schemas.openxmlformats.org/officeDocument/2006/relationships/hyperlink" Target="http://www.sec.gov/Archives/edgar/data/1474735/000143774918019673/ex_128192.htm" TargetMode="External"/><Relationship Id="rId32" Type="http://schemas.openxmlformats.org/officeDocument/2006/relationships/hyperlink" Target="http://www.sec.gov/Archives/edgar/data/1474735/000104746910000285/a2196063zex-10_45.htm" TargetMode="External"/><Relationship Id="rId33" Type="http://schemas.openxmlformats.org/officeDocument/2006/relationships/hyperlink" Target="http://www.sec.gov/Archives/edgar/data/1474735/000147473512000025/exh10_4.htm" TargetMode="External"/><Relationship Id="rId34" Type="http://schemas.openxmlformats.org/officeDocument/2006/relationships/hyperlink" Target="http://www.sec.gov/Archives/edgar/data/1474735/000143774919003397/ex_135458.htm" TargetMode="External"/><Relationship Id="rId35" Type="http://schemas.openxmlformats.org/officeDocument/2006/relationships/hyperlink" Target="http://www.sec.gov/Archives/edgar/data/1474735/000143774919003397/ex_135459.htm" TargetMode="External"/><Relationship Id="rId36" Type="http://schemas.openxmlformats.org/officeDocument/2006/relationships/hyperlink" Target="http://www.sec.gov/Archives/edgar/data/1474735/000104746910000097/a2195969zex-10_51.htm" TargetMode="External"/><Relationship Id="rId37" Type="http://schemas.openxmlformats.org/officeDocument/2006/relationships/hyperlink" Target="http://www.sec.gov/Archives/edgar/data/1474735/000104746910000097/a2195969zex-10_52.htm" TargetMode="External"/><Relationship Id="rId38" Type="http://schemas.openxmlformats.org/officeDocument/2006/relationships/hyperlink" Target="http://www.sec.gov/Archives/edgar/data/1474735/000143774919003397/ex_135477.htm" TargetMode="External"/><Relationship Id="rId39" Type="http://schemas.openxmlformats.org/officeDocument/2006/relationships/hyperlink" Target="http://www.sec.gov/Archives/edgar/data/1474735/000143774925033048/ex_879791.htm" TargetMode="External"/><Relationship Id="rId40" Type="http://schemas.openxmlformats.org/officeDocument/2006/relationships/hyperlink" Target="http://www.sec.gov/Archives/edgar/data/1474735/000143774925033048/ex_879791.htm" TargetMode="External"/><Relationship Id="rId41" Type="http://schemas.openxmlformats.org/officeDocument/2006/relationships/hyperlink" Target="http://www.sec.gov/Archives/edgar/data/1474735/000143774918019673/ex_128193.htm" TargetMode="External"/><Relationship Id="rId42" Type="http://schemas.openxmlformats.org/officeDocument/2006/relationships/hyperlink" Target="http://www.sec.gov/Archives/edgar/data/1474735/000104746919002640/a2238541zdef14a.htm" TargetMode="External"/><Relationship Id="rId43" Type="http://schemas.openxmlformats.org/officeDocument/2006/relationships/hyperlink" Target="http://www.sec.gov/Archives/edgar/data/1474735/000143774919021621/ex_160684.htm" TargetMode="External"/><Relationship Id="rId44" Type="http://schemas.openxmlformats.org/officeDocument/2006/relationships/hyperlink" Target="http://www.sec.gov/Archives/edgar/data/1474735/000143774919021621/ex_160685.htm" TargetMode="External"/><Relationship Id="rId45" Type="http://schemas.openxmlformats.org/officeDocument/2006/relationships/hyperlink" Target="http://www.sec.gov/Archives/edgar/data/1474735/000143774919021621/ex_160686.htm" TargetMode="External"/><Relationship Id="rId46" Type="http://schemas.openxmlformats.org/officeDocument/2006/relationships/hyperlink" Target="http://www.sec.gov/Archives/edgar/data/1474735/000143774924005040/ex_628303.htm" TargetMode="External"/><Relationship Id="rId47" Type="http://schemas.openxmlformats.org/officeDocument/2006/relationships/hyperlink" Target="http://www.sec.gov/Archives/edgar/data/1474735/000143774924005040/ex_628304.htm" TargetMode="External"/><Relationship Id="rId48" Type="http://schemas.openxmlformats.org/officeDocument/2006/relationships/hyperlink" Target="http://www.sec.gov/Archives/edgar/data/1474735/000143774924005040/ex_628305.htm" TargetMode="External"/><Relationship Id="rId49" Type="http://schemas.openxmlformats.org/officeDocument/2006/relationships/hyperlink" Target="http://www.sec.gov/Archives/edgar/data/1474735/000110465924053993/tm2333314-d4_def14a.htm" TargetMode="External"/><Relationship Id="rId50" Type="http://schemas.openxmlformats.org/officeDocument/2006/relationships/hyperlink" Target="http://www.sec.gov/Archives/edgar/data/1474735/000143774925004353/ex_773335.htm" TargetMode="External"/><Relationship Id="rId51" Type="http://schemas.openxmlformats.org/officeDocument/2006/relationships/hyperlink" Target="http://www.sec.gov/Archives/edgar/data/1474735/000143774925004353/ex_773336.htm" TargetMode="External"/><Relationship Id="rId52" Type="http://schemas.openxmlformats.org/officeDocument/2006/relationships/hyperlink" Target="http://www.sec.gov/Archives/edgar/data/1474735/000143774925004353/ex_773337.htm" TargetMode="External"/><Relationship Id="rId53" Type="http://schemas.openxmlformats.org/officeDocument/2006/relationships/hyperlink" Target="http://www.sec.gov/Archives/edgar/data/1474735/000143774925004353/ex_764648.htm" TargetMode="External"/><Relationship Id="rId54" Type="http://schemas.openxmlformats.org/officeDocument/2006/relationships/hyperlink" Target="http://www.sec.gov/Archives/edgar/data/1474735/000143774925004353/ex_764648.htm" TargetMode="External"/><Relationship Id="rId55" Type="http://schemas.openxmlformats.org/officeDocument/2006/relationships/hyperlink" Target="http://www.sec.gov/Archives/edgar/data/1474735/000143774924005040/ex_627274.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65055</Words>
  <Characters>366634</Characters>
  <CharactersWithSpaces>436217</CharactersWithSpaces>
  <Paragraphs>14521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