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820" w:right="1280" w:hanging="488"/>
        <w:spacing w:after="0" w:line="490" w:lineRule="auto"/>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82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001-34627</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GENERAC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20-5654756</w:t>
            </w:r>
          </w:p>
        </w:tc>
      </w:tr>
      <w:tr>
        <w:trPr>
          <w:trHeight w:val="216"/>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26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S45 W29290 Hwy 59, Waukesha, WI</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53189</w:t>
            </w:r>
          </w:p>
        </w:tc>
      </w:tr>
      <w:tr>
        <w:trPr>
          <w:trHeight w:val="234"/>
        </w:trPr>
        <w:tc>
          <w:tcPr>
            <w:tcW w:w="6260" w:type="dxa"/>
            <w:vAlign w:val="bottom"/>
          </w:tcPr>
          <w:p>
            <w:pPr>
              <w:jc w:val="center"/>
              <w:ind w:right="3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26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(262) 544-4811</w:t>
            </w:r>
          </w:p>
        </w:tc>
        <w:tc>
          <w:tcPr>
            <w:tcW w:w="1460" w:type="dxa"/>
            <w:vAlign w:val="bottom"/>
          </w:tcPr>
          <w:p>
            <w:pPr>
              <w:spacing w:after="0"/>
              <w:rPr>
                <w:sz w:val="24"/>
                <w:szCs w:val="24"/>
                <w:color w:val="auto"/>
              </w:rPr>
            </w:pPr>
          </w:p>
        </w:tc>
      </w:tr>
      <w:tr>
        <w:trPr>
          <w:trHeight w:val="234"/>
        </w:trPr>
        <w:tc>
          <w:tcPr>
            <w:tcW w:w="626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 w:lineRule="exact"/>
        <w:rPr>
          <w:sz w:val="24"/>
          <w:szCs w:val="24"/>
          <w:color w:val="auto"/>
        </w:rPr>
      </w:pPr>
    </w:p>
    <w:tbl>
      <w:tblPr>
        <w:tblLayout w:type="fixed"/>
        <w:tblInd w:w="1010" w:type="dxa"/>
        <w:tblCellMar>
          <w:top w:w="0" w:type="dxa"/>
          <w:left w:w="0" w:type="dxa"/>
          <w:bottom w:w="0" w:type="dxa"/>
          <w:right w:w="0" w:type="dxa"/>
        </w:tblCellMar>
      </w:tblPr>
      <w:tr>
        <w:trPr>
          <w:trHeight w:val="255"/>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GNRC</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63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3" w:lineRule="exact"/>
        <w:rPr>
          <w:sz w:val="24"/>
          <w:szCs w:val="24"/>
          <w:color w:val="auto"/>
        </w:rPr>
      </w:pPr>
    </w:p>
    <w:p>
      <w:pPr>
        <w:spacing w:after="0" w:line="207" w:lineRule="exact"/>
        <w:tabs>
          <w:tab w:leader="none" w:pos="634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there were 58,868,681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3"/>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GENERAC HOLDINGS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1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15"/>
            <w:vMerge w:val="restart"/>
          </w:tcPr>
          <w:p>
            <w:pPr>
              <w:jc w:val="center"/>
              <w:ind w:right="2560"/>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60" w:type="dxa"/>
            <w:vAlign w:val="bottom"/>
            <w:gridSpan w:val="15"/>
            <w:vMerge w:val="continue"/>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060" w:type="dxa"/>
            <w:vAlign w:val="bottom"/>
            <w:tcBorders>
              <w:top w:val="single" w:sz="8" w:color="0000EE"/>
            </w:tcBorders>
            <w:gridSpan w:val="6"/>
          </w:tcPr>
          <w:p>
            <w:pPr>
              <w:spacing w:after="0"/>
              <w:rPr>
                <w:sz w:val="24"/>
                <w:szCs w:val="24"/>
                <w:color w:val="auto"/>
              </w:rPr>
            </w:pPr>
          </w:p>
        </w:tc>
        <w:tc>
          <w:tcPr>
            <w:tcW w:w="298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w:t>
            </w:r>
          </w:p>
        </w:tc>
        <w:tc>
          <w:tcPr>
            <w:tcW w:w="2500" w:type="dxa"/>
            <w:vAlign w:val="bottom"/>
            <w:gridSpan w:val="7"/>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Months Ended March 31, 2026 and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 2025</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rPr>
              <w:t>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4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44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2580" w:type="dxa"/>
            <w:vAlign w:val="bottom"/>
            <w:tcBorders>
              <w:top w:val="single" w:sz="8" w:color="0000EE"/>
            </w:tcBorders>
            <w:gridSpan w:val="7"/>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080" w:type="dxa"/>
            <w:vAlign w:val="bottom"/>
            <w:gridSpan w:val="3"/>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34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18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42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3"/>
          </w:tcPr>
          <w:p>
            <w:pPr>
              <w:jc w:val="center"/>
              <w:ind w:right="314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40" w:type="dxa"/>
            <w:vAlign w:val="bottom"/>
            <w:gridSpan w:val="5"/>
          </w:tcPr>
          <w:p>
            <w:pPr>
              <w:spacing w:after="0"/>
              <w:rPr>
                <w:sz w:val="24"/>
                <w:szCs w:val="24"/>
                <w:color w:val="auto"/>
              </w:rPr>
            </w:pPr>
          </w:p>
        </w:tc>
        <w:tc>
          <w:tcPr>
            <w:tcW w:w="2760" w:type="dxa"/>
            <w:vAlign w:val="bottom"/>
            <w:tcBorders>
              <w:top w:val="single" w:sz="8" w:color="0000EE"/>
            </w:tcBorders>
            <w:gridSpan w:val="4"/>
          </w:tcPr>
          <w:p>
            <w:pPr>
              <w:spacing w:after="0"/>
              <w:rPr>
                <w:sz w:val="24"/>
                <w:szCs w:val="24"/>
                <w:color w:val="auto"/>
              </w:rPr>
            </w:pPr>
          </w:p>
        </w:tc>
        <w:tc>
          <w:tcPr>
            <w:tcW w:w="314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44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60" w:type="dxa"/>
            <w:vAlign w:val="bottom"/>
            <w:gridSpan w:val="15"/>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29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020" w:type="dxa"/>
            <w:vAlign w:val="bottom"/>
            <w:gridSpan w:val="16"/>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180" w:type="dxa"/>
            <w:vAlign w:val="bottom"/>
            <w:gridSpan w:val="2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38"/>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720" w:type="dxa"/>
            <w:vAlign w:val="bottom"/>
          </w:tcPr>
          <w:p>
            <w:pPr>
              <w:jc w:val="center"/>
              <w:ind w:left="1885"/>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jc w:val="center"/>
              <w:ind w:left="1865"/>
              <w:spacing w:after="0"/>
              <w:rPr>
                <w:sz w:val="20"/>
                <w:szCs w:val="20"/>
                <w:color w:val="auto"/>
              </w:rPr>
            </w:pPr>
            <w:r>
              <w:rPr>
                <w:rFonts w:ascii="Times New Roman" w:cs="Times New Roman" w:eastAsia="Times New Roman" w:hAnsi="Times New Roman"/>
                <w:sz w:val="22"/>
                <w:szCs w:val="22"/>
                <w:color w:val="auto"/>
                <w:w w:val="98"/>
              </w:rPr>
              <w:t>Generac Holdings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720" w:type="dxa"/>
            <w:vAlign w:val="bottom"/>
          </w:tcPr>
          <w:p>
            <w:pPr>
              <w:jc w:val="center"/>
              <w:ind w:left="1865"/>
              <w:spacing w:after="0" w:line="250" w:lineRule="exact"/>
              <w:rPr>
                <w:sz w:val="20"/>
                <w:szCs w:val="20"/>
                <w:color w:val="auto"/>
              </w:rPr>
            </w:pPr>
            <w:r>
              <w:rPr>
                <w:rFonts w:ascii="Times New Roman" w:cs="Times New Roman" w:eastAsia="Times New Roman" w:hAnsi="Times New Roman"/>
                <w:sz w:val="22"/>
                <w:szCs w:val="22"/>
                <w:color w:val="auto"/>
                <w:w w:val="98"/>
              </w:rPr>
              <w:t>Condensed Consolidated Balance Sheets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jc w:val="center"/>
              <w:ind w:left="1865"/>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Share and Per Share Data)</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20" w:type="dxa"/>
            <w:vAlign w:val="bottom"/>
          </w:tcPr>
          <w:p>
            <w:pPr>
              <w:jc w:val="center"/>
              <w:ind w:left="1865"/>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305"/>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341,413</w:t>
            </w:r>
          </w:p>
        </w:tc>
      </w:tr>
      <w:tr>
        <w:trPr>
          <w:trHeight w:val="198"/>
        </w:trPr>
        <w:tc>
          <w:tcPr>
            <w:tcW w:w="8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credit losses of $33,283 and $34,504 at March 31, 2026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602,739</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1,248,867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269,459</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2,462,478</w:t>
            </w:r>
          </w:p>
        </w:tc>
      </w:tr>
      <w:tr>
        <w:trPr>
          <w:trHeight w:val="216"/>
        </w:trPr>
        <w:tc>
          <w:tcPr>
            <w:tcW w:w="12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813,605</w:t>
            </w:r>
          </w:p>
        </w:tc>
      </w:tr>
      <w:tr>
        <w:trPr>
          <w:trHeight w:val="216"/>
        </w:trPr>
        <w:tc>
          <w:tcPr>
            <w:tcW w:w="12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127,517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Patents and technology,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338,308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Tradenames,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199,430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1,467,094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41,949</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5,593,263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5,573,679</w:t>
            </w: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jc w:val="center"/>
              <w:ind w:right="1285"/>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436,583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69,850</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44,716</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591,387</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 and finance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1,215,346</w:t>
            </w:r>
          </w:p>
        </w:tc>
      </w:tr>
      <w:tr>
        <w:trPr>
          <w:trHeight w:val="216"/>
        </w:trPr>
        <w:tc>
          <w:tcPr>
            <w:tcW w:w="1280" w:type="dxa"/>
            <w:vAlign w:val="bottom"/>
            <w:gridSpan w:val="2"/>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borrowings and finance lease obligations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60,913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232,921</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2,934,633</w:t>
            </w:r>
          </w:p>
        </w:tc>
      </w:tr>
      <w:tr>
        <w:trPr>
          <w:trHeight w:val="216"/>
        </w:trPr>
        <w:tc>
          <w:tcPr>
            <w:tcW w:w="1280" w:type="dxa"/>
            <w:vAlign w:val="bottom"/>
            <w:gridSpan w:val="2"/>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1280" w:type="dxa"/>
            <w:vAlign w:val="bottom"/>
            <w:gridSpan w:val="2"/>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500,000,000 shares authorized, 74,218,726 and 74,050,753 shares issued at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1,187,419</w:t>
            </w:r>
          </w:p>
        </w:tc>
      </w:tr>
      <w:tr>
        <w:trPr>
          <w:trHeight w:val="198"/>
        </w:trPr>
        <w:tc>
          <w:tcPr>
            <w:tcW w:w="80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15,464,527 and 15,373,990 shares at March 31, 2026 and December 31, 2025,</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(1,378,708)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(1,358,053)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Excess purchase price over predecessor basis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(202,116)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3,003,557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attributable to Generac Holdings Inc.</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2,674,692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2,632,422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2,674,698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5,593,263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5,573,679</w:t>
            </w: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40"/>
          </w:cols>
          <w:pgMar w:left="320" w:top="108" w:right="339" w:bottom="551"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55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1,059,365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942,121</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649,129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570,135</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410,236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126,065</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62,048</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74,746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25,489</w:t>
            </w:r>
          </w:p>
        </w:tc>
      </w:tr>
      <w:tr>
        <w:trPr>
          <w:trHeight w:val="20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288,348</w:t>
            </w:r>
          </w:p>
        </w:tc>
        <w:tc>
          <w:tcPr>
            <w:tcW w:w="100" w:type="dxa"/>
            <w:vAlign w:val="bottom"/>
            <w:tcBorders>
              <w:bottom w:val="single" w:sz="8" w:color="CCEEFF"/>
            </w:tcBorders>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(17,110)</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58,514</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14,236</w:t>
            </w: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100" w:type="dxa"/>
            <w:vAlign w:val="bottom"/>
          </w:tcPr>
          <w:p>
            <w:pPr>
              <w:spacing w:after="0"/>
              <w:rPr>
                <w:sz w:val="18"/>
                <w:szCs w:val="18"/>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6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bottom w:val="single" w:sz="8" w:color="CCEEFF"/>
            </w:tcBorders>
          </w:tcPr>
          <w:p>
            <w:pPr>
              <w:spacing w:after="0"/>
              <w:rPr>
                <w:sz w:val="22"/>
                <w:szCs w:val="22"/>
                <w:color w:val="auto"/>
              </w:rPr>
            </w:pPr>
          </w:p>
        </w:tc>
      </w:tr>
      <w:tr>
        <w:trPr>
          <w:trHeight w:val="197"/>
        </w:trPr>
        <w:tc>
          <w:tcPr>
            <w:tcW w:w="8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58,412,205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59,062,534</w:t>
            </w: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59,233,144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59,747,589</w:t>
            </w:r>
          </w:p>
        </w:tc>
      </w:tr>
      <w:tr>
        <w:trPr>
          <w:trHeight w:val="216"/>
        </w:trPr>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Generac Holdings Inc.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54,849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68,799</w:t>
            </w:r>
          </w:p>
        </w:tc>
      </w:tr>
      <w:tr>
        <w:trPr>
          <w:trHeight w:val="414"/>
        </w:trPr>
        <w:tc>
          <w:tcPr>
            <w:tcW w:w="8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Generac Holdings Inc.</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Excess</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3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vMerge w:val="continue"/>
          </w:tcPr>
          <w:p>
            <w:pPr>
              <w:spacing w:after="0"/>
              <w:rPr>
                <w:sz w:val="14"/>
                <w:szCs w:val="14"/>
                <w:color w:val="auto"/>
              </w:rPr>
            </w:pPr>
          </w:p>
        </w:tc>
        <w:tc>
          <w:tcPr>
            <w:tcW w:w="16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80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80" w:type="dxa"/>
            <w:vAlign w:val="bottom"/>
            <w:gridSpan w:val="3"/>
            <w:vMerge w:val="continue"/>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78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0" w:type="dxa"/>
            <w:vAlign w:val="bottom"/>
            <w:gridSpan w:val="5"/>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 Stockholders'</w:t>
            </w:r>
          </w:p>
        </w:tc>
        <w:tc>
          <w:tcPr>
            <w:tcW w:w="10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Basis</w:t>
            </w:r>
          </w:p>
        </w:tc>
        <w:tc>
          <w:tcPr>
            <w:tcW w:w="7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7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74,050,753</w:t>
            </w:r>
          </w:p>
        </w:tc>
        <w:tc>
          <w:tcPr>
            <w:tcW w:w="24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8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$ 1,187,419</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(15,373,990)</w:t>
            </w: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(1,358,053)</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(202,116)</w:t>
            </w:r>
          </w:p>
        </w:tc>
        <w:tc>
          <w:tcPr>
            <w:tcW w:w="7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$ 3,003,557</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874</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2,632,422</w:t>
            </w:r>
          </w:p>
        </w:tc>
        <w:tc>
          <w:tcPr>
            <w:tcW w:w="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5,882</w:t>
            </w: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$ 2,638,304</w:t>
            </w:r>
          </w:p>
        </w:tc>
        <w:tc>
          <w:tcPr>
            <w:tcW w:w="0" w:type="dxa"/>
            <w:vAlign w:val="bottom"/>
          </w:tcPr>
          <w:p>
            <w:pPr>
              <w:spacing w:after="0"/>
              <w:rPr>
                <w:sz w:val="1"/>
                <w:szCs w:val="1"/>
                <w:color w:val="auto"/>
              </w:rPr>
            </w:pPr>
          </w:p>
        </w:tc>
      </w:tr>
      <w:tr>
        <w:trPr>
          <w:trHeight w:val="126"/>
        </w:trPr>
        <w:tc>
          <w:tcPr>
            <w:tcW w:w="20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 interest rate</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swaps, net of tax benefit of</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$501</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(16,735)</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incentive plans, net of</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forfeitures and shares withheld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employee taxes and strike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157,973</w:t>
            </w:r>
          </w:p>
        </w:tc>
        <w:tc>
          <w:tcPr>
            <w:tcW w:w="240" w:type="dxa"/>
            <w:vAlign w:val="bottom"/>
          </w:tcPr>
          <w:p>
            <w:pPr>
              <w:spacing w:after="0"/>
              <w:rPr>
                <w:sz w:val="12"/>
                <w:szCs w:val="12"/>
                <w:color w:val="auto"/>
              </w:rPr>
            </w:pP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(6,643)</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w:t>
            </w: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Payment of acquisition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3,917</w:t>
            </w: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3,917</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consideration</w:t>
            </w: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(90,537)</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(20,655)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(20,655)</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(20,655)</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Disposition of business with a</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(8,670)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13,442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13,442</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73,253</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73,253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73,253</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74,218,726</w:t>
            </w:r>
          </w:p>
        </w:tc>
        <w:tc>
          <w:tcPr>
            <w:tcW w:w="24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742</w:t>
            </w:r>
          </w:p>
        </w:tc>
        <w:tc>
          <w:tcPr>
            <w:tcW w:w="80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$ 1,195,494</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(15,464,527)</w:t>
            </w:r>
          </w:p>
        </w:tc>
        <w:tc>
          <w:tcPr>
            <w:tcW w:w="84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 (1,378,708)</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(202,116)</w:t>
            </w:r>
          </w:p>
        </w:tc>
        <w:tc>
          <w:tcPr>
            <w:tcW w:w="78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$ 3,076,810</w:t>
            </w:r>
          </w:p>
        </w:tc>
        <w:tc>
          <w:tcPr>
            <w:tcW w:w="260" w:type="dxa"/>
            <w:vAlign w:val="bottom"/>
            <w:tcBorders>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(17,530)</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2,674,692</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$ 2,674,698</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61"/>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Balance at January 1, 2025 </w:t>
      </w:r>
      <w:r>
        <w:rPr>
          <w:rFonts w:ascii="Times New Roman" w:cs="Times New Roman" w:eastAsia="Times New Roman" w:hAnsi="Times New Roman"/>
          <w:sz w:val="14"/>
          <w:szCs w:val="14"/>
          <w:color w:val="auto"/>
        </w:rPr>
        <w:t>Unrealized loss on interest rate swaps, net of tax benefit of $1,419</w:t>
      </w:r>
    </w:p>
    <w:p>
      <w:pPr>
        <w:ind w:left="180" w:right="160"/>
        <w:spacing w:after="0" w:line="221" w:lineRule="auto"/>
        <w:rPr>
          <w:sz w:val="20"/>
          <w:szCs w:val="20"/>
          <w:color w:val="auto"/>
        </w:rPr>
      </w:pPr>
      <w:r>
        <w:rPr>
          <w:rFonts w:ascii="Times New Roman" w:cs="Times New Roman" w:eastAsia="Times New Roman" w:hAnsi="Times New Roman"/>
          <w:sz w:val="14"/>
          <w:szCs w:val="14"/>
          <w:color w:val="auto"/>
        </w:rPr>
        <w:t>Foreign currency translation adjustment</w:t>
      </w:r>
    </w:p>
    <w:p>
      <w:pPr>
        <w:spacing w:after="0" w:line="1" w:lineRule="exact"/>
        <w:rPr>
          <w:sz w:val="20"/>
          <w:szCs w:val="20"/>
          <w:color w:val="auto"/>
        </w:rPr>
      </w:pPr>
    </w:p>
    <w:p>
      <w:pPr>
        <w:ind w:left="180" w:right="20"/>
        <w:spacing w:after="0" w:line="221" w:lineRule="auto"/>
        <w:rPr>
          <w:sz w:val="20"/>
          <w:szCs w:val="20"/>
          <w:color w:val="auto"/>
        </w:rPr>
      </w:pPr>
      <w:r>
        <w:rPr>
          <w:rFonts w:ascii="Times New Roman" w:cs="Times New Roman" w:eastAsia="Times New Roman" w:hAnsi="Times New Roman"/>
          <w:sz w:val="14"/>
          <w:szCs w:val="14"/>
          <w:color w:val="auto"/>
        </w:rPr>
        <w:t>Common stock issued under equity incentive plans, net of forfeitures and shares withheld for employee taxes and strike price</w:t>
      </w:r>
    </w:p>
    <w:p>
      <w:pPr>
        <w:spacing w:after="0" w:line="1" w:lineRule="exact"/>
        <w:rPr>
          <w:sz w:val="20"/>
          <w:szCs w:val="20"/>
          <w:color w:val="auto"/>
        </w:rPr>
      </w:pPr>
    </w:p>
    <w:p>
      <w:pPr>
        <w:ind w:left="180" w:right="260"/>
        <w:spacing w:after="0" w:line="228" w:lineRule="auto"/>
        <w:rPr>
          <w:sz w:val="20"/>
          <w:szCs w:val="20"/>
          <w:color w:val="auto"/>
        </w:rPr>
      </w:pPr>
      <w:r>
        <w:rPr>
          <w:rFonts w:ascii="Times New Roman" w:cs="Times New Roman" w:eastAsia="Times New Roman" w:hAnsi="Times New Roman"/>
          <w:sz w:val="14"/>
          <w:szCs w:val="14"/>
          <w:color w:val="auto"/>
        </w:rPr>
        <w:t>Net share settlement of restricted stock awards Stock repurchases Share-based compensation Net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Generac Holdings Inc.</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Excess</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vMerge w:val="continue"/>
          </w:tcPr>
          <w:p>
            <w:pPr>
              <w:spacing w:after="0"/>
              <w:rPr>
                <w:sz w:val="14"/>
                <w:szCs w:val="14"/>
                <w:color w:val="auto"/>
              </w:rPr>
            </w:pPr>
          </w:p>
        </w:tc>
        <w:tc>
          <w:tcPr>
            <w:tcW w:w="16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60" w:type="dxa"/>
            <w:vAlign w:val="bottom"/>
            <w:gridSpan w:val="4"/>
            <w:vMerge w:val="continue"/>
          </w:tcPr>
          <w:p>
            <w:pPr>
              <w:spacing w:after="0"/>
              <w:rPr>
                <w:sz w:val="13"/>
                <w:szCs w:val="13"/>
                <w:color w:val="auto"/>
              </w:rPr>
            </w:pPr>
          </w:p>
        </w:tc>
        <w:tc>
          <w:tcPr>
            <w:tcW w:w="78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80" w:type="dxa"/>
            <w:vAlign w:val="bottom"/>
            <w:gridSpan w:val="3"/>
            <w:vMerge w:val="continue"/>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78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0" w:type="dxa"/>
            <w:vAlign w:val="bottom"/>
            <w:gridSpan w:val="5"/>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 Stockholders'</w:t>
            </w:r>
          </w:p>
        </w:tc>
        <w:tc>
          <w:tcPr>
            <w:tcW w:w="9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Basis</w:t>
            </w:r>
          </w:p>
        </w:tc>
        <w:tc>
          <w:tcPr>
            <w:tcW w:w="7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7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73,785,631</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$ 1,133,756</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(14,173,697)</w:t>
            </w:r>
          </w:p>
        </w:tc>
        <w:tc>
          <w:tcPr>
            <w:tcW w:w="8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(1,196,997)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(202,116)</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$ 2,844,296</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(85,399)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2,494,278</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$ 2,497,443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29,272</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29,272</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29,470</w:t>
            </w:r>
          </w:p>
        </w:tc>
        <w:tc>
          <w:tcPr>
            <w:tcW w:w="0" w:type="dxa"/>
            <w:vAlign w:val="bottom"/>
          </w:tcPr>
          <w:p>
            <w:pPr>
              <w:spacing w:after="0"/>
              <w:rPr>
                <w:sz w:val="1"/>
                <w:szCs w:val="1"/>
                <w:color w:val="auto"/>
              </w:rPr>
            </w:pPr>
          </w:p>
        </w:tc>
      </w:tr>
      <w:tr>
        <w:trPr>
          <w:trHeight w:val="743"/>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249,885</w:t>
            </w:r>
          </w:p>
        </w:tc>
        <w:tc>
          <w:tcPr>
            <w:tcW w:w="22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628</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(63,604)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(8,635)</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11,608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(716,685)</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(97,454)</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(97,454)</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(97,454)</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43,840</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11,608</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43,840</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44,278</w:t>
            </w:r>
          </w:p>
        </w:tc>
        <w:tc>
          <w:tcPr>
            <w:tcW w:w="0" w:type="dxa"/>
            <w:vAlign w:val="bottom"/>
          </w:tcPr>
          <w:p>
            <w:pPr>
              <w:spacing w:after="0"/>
              <w:rPr>
                <w:sz w:val="1"/>
                <w:szCs w:val="1"/>
                <w:color w:val="auto"/>
              </w:rPr>
            </w:pPr>
          </w:p>
        </w:tc>
      </w:tr>
      <w:tr>
        <w:trPr>
          <w:trHeight w:val="131"/>
        </w:trPr>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74,035,516</w:t>
            </w:r>
          </w:p>
        </w:tc>
        <w:tc>
          <w:tcPr>
            <w:tcW w:w="2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740</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$ 1,145,990</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(14,953,986)</w:t>
            </w: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(1,303,086)</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(202,116)</w:t>
            </w: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$ 2,888,136</w:t>
            </w:r>
          </w:p>
        </w:tc>
        <w:tc>
          <w:tcPr>
            <w:tcW w:w="2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(60,440)</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2,469,224</w:t>
            </w:r>
          </w:p>
        </w:tc>
        <w:tc>
          <w:tcPr>
            <w:tcW w:w="1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3,801</w:t>
            </w: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$ 2,473,025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-1731010</wp:posOffset>
            </wp:positionV>
            <wp:extent cx="7132320" cy="93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-1353820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-693420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-410845</wp:posOffset>
            </wp:positionV>
            <wp:extent cx="71323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-222250</wp:posOffset>
            </wp:positionV>
            <wp:extent cx="71323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960" w:space="40"/>
            <w:col w:w="924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44,278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finance lease 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20,652</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25,489</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9,947</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11,608</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attributable to business dispositions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charges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48,350</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(57,203)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(33,007)</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(31,554)</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20,228</w:t>
            </w:r>
          </w:p>
        </w:tc>
      </w:tr>
      <w:tr>
        <w:trPr>
          <w:trHeight w:val="20"/>
        </w:trPr>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58,152</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(2,656)</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(30,937)</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(33,539)</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19,236</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(19,985)</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borrowings and finance lease obligations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(97,454)</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acquisition consideration</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equity awards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(8,601)</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0"/>
        </w:trPr>
        <w:tc>
          <w:tcPr>
            <w:tcW w:w="7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(119,719)</w:t>
            </w:r>
          </w:p>
        </w:tc>
      </w:tr>
      <w:tr>
        <w:trPr>
          <w:trHeight w:val="216"/>
        </w:trPr>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r>
      <w:tr>
        <w:trPr>
          <w:trHeight w:val="210"/>
        </w:trPr>
        <w:tc>
          <w:tcPr>
            <w:tcW w:w="7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(75,883)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(93,813)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281,277</w:t>
            </w:r>
          </w:p>
        </w:tc>
      </w:tr>
      <w:tr>
        <w:trPr>
          <w:trHeight w:val="20"/>
        </w:trPr>
        <w:tc>
          <w:tcPr>
            <w:tcW w:w="7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187,464</w:t>
            </w: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1959, Generac Holdings Inc. (the Company) is a leading global designer and manufacturer of a wide range of energy technology solutions. The Company provides power generation equipment, energy storage systems, energy management devices &amp; solutions, and other power products and services serving the residential, commercial, data center, telecom, rental,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years, the Company has executed a number of acquisitions that support its strategic plan (refer to Item 1 in the Company's Annual Report on Form 10-K for the year ended December 31, 2025, for a discussion of the Company's “Powering a Smarter World” strategic plan). A summary of acquisitions affecting the reporting periods presented include:</w:t>
      </w:r>
    </w:p>
    <w:p>
      <w:pPr>
        <w:spacing w:after="0" w:line="176"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acquired Allmand, headquartered in Holdrege, Nebraska. Allmand is a leading manufacturer of mobile power equipment for commercial and industrial markets.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2026, the condensed consolidated statements of comprehensive income for the three months ended March 31, 2026 and 2025, the condensed consolidated statements of stockholders’ equity for the three months ended March 31, 2026 and 2025, and the condensed consolidated statements of cash flows for the three months ended March 31, 2026 and 2025 have been prepared by the Company and have not been audited. In the opinion of management, all adjustments (which include only normal recurring adjustments except where disclosed) necessary for the fair presentation of the financial position, results of operation, and cash flows have been made. The results of operations for any interim period are not necessarily indicative of the results to be expected for the full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The condensed consolidated financial statements include the accounts of the Company and its subsidiaries that are consolidated in conformity with accounting principles generally accepted in the United States of America (GAAP). All intercompany amounts and transactions have been eliminated in consolidation.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consolidated financial statements prepared in accordance with GAAP have been condensed or omitted. These condensed consolidated financial statements should be read in conjunction with the consolidated financial statements and notes thereto included in the Company's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 updates (ASUs) to the FASB Accounting Standards Codification (ASC).</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 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w:t>
      </w:r>
      <w:r>
        <w:rPr>
          <w:rFonts w:ascii="Times New Roman" w:cs="Times New Roman" w:eastAsia="Times New Roman" w:hAnsi="Times New Roman"/>
          <w:sz w:val="18"/>
          <w:szCs w:val="18"/>
          <w:color w:val="auto"/>
        </w:rPr>
        <w:t>. The update is intended to better align internal use software guidance with modern development methods, which have evolved to commonly include incremental and iterative development approaches. The ASU requires an entity to start capitalizing software costs when management has authorized and committed to funding a software project and when it is probable the project will be completed and used to perform the intended function. The ASU amendments also supersede previous guidance on website development costs. The update is effective for fiscal years beginning after December 15, 2027 and may be adopted prospectively, retrospectively or with a modified transition approach. Early adoption is permitted. The Company is currently assessing the impact and timing of adopting the updated standard.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new guidance is intended to provide investors with more detailed disclosures around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expenses. The new disclosures require additional quantitative and qualitative information for certain expenses contained within the Consolidated Statements of Comprehensive Income to be presented in the notes to the financial statements. The update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assessing the impact and timing of adopting the updated standard.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changes in accounting pronouncements, or recently adopted accounting guidance during the three months ended March 31, 2026, that are of significance or potential significance to the Company's consolidated financial statements or disclosures.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Acquisition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2026, the Company acquired Allmand, a leading manufacturer of mobile power equipment for Commercial &amp; Industrial markets, headquartered in Holdrege, Nebraska for $122,828. The Company recorded its preliminary purchase price allocation based upon the Company’s estimates of the fair value of the acquired assets and assumed liabilities at that time. As a result, the Company recorded $44,300 of certain intangible assets and $34,439 of goodwill in the Commercial &amp; Industrial segment, as of the acquisition date. Goodwill ascribed to this acquisition is deductible for tax purposes. The accompanying condensed consolidated financial statements include the results of Allmand from the date of acquisition through March 31, 2026. Pro-forma and other financial information are not presented as the effects of the acquisition are not material to the Company's results of operations or financial position prior to the acquisition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and 2025 Dispositions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 2026, the Company completed two immaterial business dispositions within the Commercial &amp; Industrial segment, resulting in a combined loss of $4,782.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31, 2025, the Company completed an immaterial business disposition within the Residential segment (prior to the segment reorganization, the Domestic segment), resulting in a loss of $3,905. Refer to Note 7, "Segment Reporting," for further information regarding the segment reorganization.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Redeemable Noncontrolling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joint venture with E.A. Juffali &amp; Brothers ("Juffali") on August 7, 2025, based in Bahrain, aiming to expand its footprint in the Middle East region. The joint venture, operating under the name Generac Juffali Generators WLL, will function as a distinct legal entity with ownership interests divided between the Company and Juffali at 51% and 49%, respectively. As the Company holds a controlling financial interest in the joint venture's operating entity, it will consolidate the entity. During the third quarter of 2025, Juffali funded 49% of the total capital contributed to the new legal entity. The issuance date fair value of the 49% noncontrolling interest was $979 and was recorded in the condensed consolidated balance sheets as a redeemable noncontrolling interest. This classification is based on Juffali’s right to require redemption of its interest in Generac Juffali Generators under specific triggering circumstances outlined in the joint venture agreement. The redeemable noncontrolling interest is initially recognized at its issuance date fair value and is adjusted each reporting period to reflect the noncontrolling interests’ share of comprehensive income. If the redeemable noncontrolling interest becomes currently redeemable or is probable of becoming currently redeemable, it is then adjusted to the greater of the redemption value or the carrying value, with any redemption value adjustments being recorded directly to retained earnings in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redeemable noncontrolling interest for Generac Jufalli Generators:</w:t>
      </w:r>
    </w:p>
    <w:p>
      <w:pPr>
        <w:spacing w:after="0" w:line="221"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8"/>
          <w:szCs w:val="18"/>
          <w:b w:val="1"/>
          <w:bCs w:val="1"/>
          <w:u w:val="single" w:color="auto"/>
          <w:color w:val="auto"/>
        </w:rPr>
        <w:t>Ended March 31,</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7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0"/>
        </w:trPr>
        <w:tc>
          <w:tcPr>
            <w:tcW w:w="9700" w:type="dxa"/>
            <w:vAlign w:val="bottom"/>
            <w:tcBorders>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580" w:type="dxa"/>
            <w:vAlign w:val="bottom"/>
            <w:shd w:val="clear" w:color="auto" w:fill="CCEEFF"/>
          </w:tcPr>
          <w:p>
            <w:pPr>
              <w:jc w:val="right"/>
              <w:ind w:right="4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6"/>
                <w:szCs w:val="16"/>
                <w:color w:val="auto"/>
              </w:rPr>
            </w:pPr>
          </w:p>
        </w:tc>
      </w:tr>
      <w:tr>
        <w:trPr>
          <w:trHeight w:val="216"/>
        </w:trPr>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9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Instruments and Hedging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all derivatives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requires derivative instruments to be reported in the condensed consolidated balance sheets at fair value and establishes criteria for designation and effectiveness of hedging relationships. The Company is exposed to market risk such as changes in commodity prices, foreign currencies, and interest rates. The Company does not hold or issue derivative financial instruments for trading purposes.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utilizes commodity derivatives and foreign currency forward purchase and sales contracts in the normal course of business. Because these contracts do not qualify for hedge accounting, the related gains and losses are recorded in the Company’s condensed consolidated statements of comprehensive income. The commodity and foreign currency forward contract gains and losses are not material to the Company’s condensed consolidated financial statements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maintains interest rate swap agreements and owns stock warrants described in more detail below.</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Company entered into three interest rate swap agreements, which were still outstanding as of March 31, 2026. In July 2025, in conjunction with the amendments to the Company’s credit agreements discussed further in Note 12, “Credit Agreements”, the Company modified its interest rate swaps to match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income (loss) in the condensed consolidated balance sheets.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after-tax unrealized losses recognized in accumulated other comprehensive income (loss) for the three months ended March 31, 2026 and 2025 were $1,515 and $4,313, respectively. The cash flows of the swaps are recognized as adjustments to interest expense each period. The ineffective portions of the derivatives’ changes in fair value, if any, are immediately recognized in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entered into a $30,000 agreement with Wallbox to purchase 5% of its Class A common stock and acquire stock warrants, the latter of which provide the right to acquire incremental Class A common stock outstanding of Wallbox upon exercise at a fixed price with anti-dilution protections for a period of time. During the third quarter of 2024 and the first, second, and fourth quarters of 2025, the Company received additional warrants under the anti-dilution protection rights in connection with additional rounds of funding performed by Wallbox. In accordance with U.S. GAAP, the Company is required to adjust the carrying value of these warrants to market value on a quarterly basis. Gains and losses attributable to the stock warrants are recognized in other expense, net in the condensed consolidated statements of comprehensive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attributable to the stock warrants was $1,635 and $3,356 for the three months ended March 31,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fair value of all the Company’s interest rate swaps and stock warrants.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11,272</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 warrants</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the interest rate swaps and stock warrants are included in operating lease and other assets in the condensed consolidated balance sheets as of March 31, 2026 and December 31, 2025. Excluding the impact of credit risk, the fair value of the interest rate swaps as of March 31, 2026 and December 31, 2025 was an asset of $9,559 and $11,604, respectively, which represents the amount the Company would receive to exit all of the agreements on those dates.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establishes a consistent framework for measuring fair value, and expands disclosure for each major asset and liability category measured at fair value on either a recurring basis or nonrecurring basis. ASC 820-10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the carrying amount of its financial instruments (cash and cash equivalents, accounts receivable, accounts payable, accrued liabilities, short-term borrowings, and revolving facility (Revolving Facility) borrowings), excluding Term Loan borrowings, approximates the fair value of these instruments based on their short-term nature. The fair value of the New Tranche A Term Loan Facility borrowing, which has a net carrying value of $696,949, was approximately $693,000 (Level 2) as of March 31, 2026. The fair value of the Term Loan B Facility borrowing, which has a net carrying value of $490,140, was approximately $494,963 (Level 2) as of March 31, 2026. These Term Loan fair values were calculated based on independent valuations which contain inputs and significant value drivers that are observable.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fair value of the derivatives measured on a recurring basis, refer to the fair value table in Note 4, “Derivative Instruments and Hedging Activities,” to the condensed consolidated financial statements of this Quarterly Report on Form 10-Q. The fair value of the Company's interest rate swaps and commodity and foreign currency derivative contracts are classified as Level 2. The valuation techniques used to measure the fair value of these derivative contracts, all of which have counterparties with high credit ratings, were based on quoted market prices or model driven valuations using significant inputs derived from or corroborated by observable market data. The fair value of the derivative contracts discussed above considers the Company’s credit risk in accordance with ASC 820-10.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Wallbox stock warrants is classified as Level 3. The fair value of these warrants is measured using a Black Scholes option pricing model, with significant inputs derived from or corroborated by observable market data as well as internal estimates, specifically the time period until exercise. The warrants received in 2025, 2024, and 2023 expire at the earlier of when the price per share equals or exceeds $120.00 or in 2028, 2028, and 2029, respectively. The time period until exercise assumption has a significant impact on the fair value of the warrants.</w:t>
      </w:r>
    </w:p>
    <w:p>
      <w:pPr>
        <w:sectPr>
          <w:pgSz w:w="11900" w:h="16838" w:orient="portrait"/>
          <w:cols w:equalWidth="0" w:num="1">
            <w:col w:w="11240"/>
          </w:cols>
          <w:pgMar w:left="320" w:top="121" w:right="339" w:bottom="565"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Equity securities primarily consist of Wallbox Shares. During the third quarter of 2024, the Company invested an incremental $35,000 in additional Wallbox Shares. The Wallbox Shares are classified as Level 1 in the fair value hierarchy and are recognized at fair value using the closing price of Wallbox common stock quoted on the New York Stock Exchange (NYSE) on the last trading day of the quarter. The Wallbox Shares are included in operating lease and other assets in the condensed consolidated balance sheets. The fair value of the Wallbox Shares was $4,724 and $4,457 as of March 31, 2026, and December 31, 2025, respectively. Gains and losses attributable to the Wallbox Shares are recognized in other expense, net in the condensed consolidated statements of comprehensive income. The gain (loss) recognized on the Wallbox Shares was $267 and $(6,591)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condensed consolidated statements of comprehensive income. The fair value measurement of contingent consideration is typically categorized as a Level 3 liability, as the measurement amount is based primarily on significant inputs that are not observable in the market.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combined fair value of contingent consideration for the Chilicon Power LLC (Chilicon), Ageto, and PR Industrial S.r.l. (Pramac) acquisitions as of March 31, 2026, and December 31, 2025, was $29,266 and $32,872, respectively. The contingent consideration period for Pramac ended as of December 31, 2025. The contingent consideration for Chilicon extends through December 31, 2028, and is paid annually based on incremental earnings and upon achievement of certain milestones. The contingent consideration for Ageto can be earned in equal increments with one third of the contingent consideration earned as of August 1, 2025, and the remaining two increments capable of being earned on August 1, 2026 and August 1, 2027. The current portion of contingent consideration totals $10,357 and is reported in other accrued liabilities, and the non-current portion totals $18,909 and is reported in operating lease and other long-term liabilities in the condensed consolidated balance sheets.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activity for contingent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contingent consideration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Present value interest accretion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53" w:hanging="953"/>
        <w:spacing w:after="0"/>
        <w:tabs>
          <w:tab w:leader="none" w:pos="9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32,872</w:t>
      </w:r>
    </w:p>
    <w:p>
      <w:pPr>
        <w:spacing w:after="0" w:line="27" w:lineRule="exact"/>
        <w:rPr>
          <w:rFonts w:ascii="Times New Roman" w:cs="Times New Roman" w:eastAsia="Times New Roman" w:hAnsi="Times New Roman"/>
          <w:sz w:val="18"/>
          <w:szCs w:val="18"/>
          <w:color w:val="auto"/>
        </w:rPr>
      </w:pPr>
    </w:p>
    <w:p>
      <w:pPr>
        <w:ind w:left="9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(3,917)</w:t>
      </w:r>
    </w:p>
    <w:p>
      <w:pPr>
        <w:spacing w:after="0" w:line="9" w:lineRule="exact"/>
        <w:rPr>
          <w:rFonts w:ascii="Times New Roman" w:cs="Times New Roman" w:eastAsia="Times New Roman" w:hAnsi="Times New Roman"/>
          <w:sz w:val="18"/>
          <w:szCs w:val="18"/>
          <w:color w:val="auto"/>
        </w:rPr>
      </w:pPr>
    </w:p>
    <w:p>
      <w:pPr>
        <w:ind w:left="11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w:t>
      </w:r>
    </w:p>
    <w:p>
      <w:pPr>
        <w:spacing w:after="0" w:line="9" w:lineRule="exact"/>
        <w:rPr>
          <w:sz w:val="20"/>
          <w:szCs w:val="20"/>
          <w:color w:val="auto"/>
        </w:rPr>
      </w:pPr>
    </w:p>
    <w:p>
      <w:pPr>
        <w:ind w:left="953" w:hanging="953"/>
        <w:spacing w:after="0"/>
        <w:tabs>
          <w:tab w:leader="none" w:pos="9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16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16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67" w:space="720"/>
            <w:col w:w="1553"/>
          </w:cols>
          <w:pgMar w:left="320" w:top="121" w:right="339" w:bottom="1440" w:gutter="0" w:footer="0" w:header="0"/>
          <w:type w:val="continuous"/>
        </w:sectPr>
      </w:pPr>
    </w:p>
    <w:p>
      <w:pPr>
        <w:spacing w:after="0" w:line="25" w:lineRule="exact"/>
        <w:rPr>
          <w:sz w:val="20"/>
          <w:szCs w:val="20"/>
          <w:color w:val="auto"/>
        </w:rPr>
      </w:pPr>
    </w:p>
    <w:p>
      <w:pPr>
        <w:ind w:firstLine="8"/>
        <w:spacing w:after="0" w:line="282"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 of $3,917 in shares for the Chilicon acquisition. The payment of common stock is accounted for as a non-cash item in the condensed consolidated statement of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disclosure of changes in Accumulated Other Comprehensive Income (Loss) during the three months ended March 31, 2026 and 2025, net of tax: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0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(Loss) on Cash Flow</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400" w:type="dxa"/>
            <w:vAlign w:val="bottom"/>
          </w:tcPr>
          <w:p>
            <w:pPr>
              <w:spacing w:after="0"/>
              <w:rPr>
                <w:sz w:val="20"/>
                <w:szCs w:val="20"/>
                <w:color w:val="auto"/>
              </w:rPr>
            </w:pPr>
          </w:p>
        </w:tc>
        <w:tc>
          <w:tcPr>
            <w:tcW w:w="148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2026</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(16,889) (1)</w:t>
            </w:r>
          </w:p>
        </w:tc>
        <w:tc>
          <w:tcPr>
            <w:tcW w:w="100" w:type="dxa"/>
            <w:vAlign w:val="bottom"/>
          </w:tcPr>
          <w:p>
            <w:pPr>
              <w:spacing w:after="0"/>
              <w:rPr>
                <w:sz w:val="19"/>
                <w:szCs w:val="19"/>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 (2)</w:t>
            </w:r>
          </w:p>
        </w:tc>
        <w:tc>
          <w:tcPr>
            <w:tcW w:w="4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(18,404)</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2026</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(Loss) on Cash Flow</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(106,166)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20,767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(85,399)</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8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(4,313) (4)</w:t>
            </w:r>
          </w:p>
        </w:tc>
        <w:tc>
          <w:tcPr>
            <w:tcW w:w="4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24,959</w:t>
            </w:r>
          </w:p>
        </w:tc>
      </w:tr>
      <w:tr>
        <w:trPr>
          <w:trHeight w:val="20"/>
        </w:trPr>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(76,894)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16,454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(60,440)</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unfavorable impact from the strengthening of the U.S. dollar against foreign currencies during the three months ended March 31, 2026, particularly the Euro, British Pound, and Mexican Peso.</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$2,016 on the interest rate swaps, net of tax benefit of $501, for the three months ended March 31, 2026.</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favorable impact from the weakening of the U.S. dollar against foreign currencies during the three months ended March 31, 2025, particularly the Euro and British Pound.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$5,732 on the interest rate swaps, net of tax benefit of $1,419, for the three months ended March 31, 2025.</w:t>
      </w:r>
    </w:p>
    <w:p>
      <w:pPr>
        <w:sectPr>
          <w:pgSz w:w="11900" w:h="16838" w:orient="portrait"/>
          <w:cols w:equalWidth="0" w:num="1">
            <w:col w:w="11240"/>
          </w:cols>
          <w:pgMar w:left="320" w:top="121" w:right="3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2026, the Company announced its plan to reorganize its two reportable segments, effective March 31, 2026 (the Reorganization). The Company’s Chief Operating Decision Maker (CODM) is Aaron Jagdfeld, President and Chief Executive Officer (CEO). The Reorganization reflects a change in how the CODM evaluates the Company’s operations and performance to better align reporting with the way the business is managed. Prior to the Reorganization, the Company's reportable segments were Domestic and International. As a result of the Reorganization, the Company's new reportable segments are Residential and Commercial &amp; Industrial (C&amp;I). While Residential and C&amp;I include similar products, they differ based on power output and end customer.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Residential segment consists of the former Domestic segment, excluding the domestic C&amp;I operations. Residential products consist primarily of automatic home standby generators ranging in output from 7.5kW to 150kW, portable generators, residential energy storage systems, energy management devices and solutions, and other outdoor power equipment. These products are predominantly sold through independent residential dealers, national and regional retailers, e-commerce merchants, electrical/HVAC/solar wholesalers, solar installers, and outdoor power equipment dealers. Residential segment revenue consists of product sales to the Company's distribution partners, who in turn sell the product to the end consumer, sometimes including installation and maintenance services. The Residential segment revenue also includes sales of products and services related to aftermarket service parts, the amortization of extended warranty deferred revenue, and remote monitoring subscription revenue. In some cases, residential products are sold directly to the end consumer. The majority of Residential segment revenues are recorded at a point in time when control is transferred to the customer. The remaining revenue, primarily related to extended warranty and other services, is recognized over the period the related services are performed.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C&amp;I segment consists of the operations of the former International segment with the addition of the domestic Commercial &amp; Industrial operations. Commercial &amp; Industrial products consist of larger output stationary generators used in C&amp;I applications, with power outputs up to 3,250kW. Also included in C&amp;I products are mobile generators, light towers, C&amp;I battery energy storage systems, mobile heaters, mobile pumps, and related controls for power generation equipment. These products are sold globally through industrial distributors and dealers, Engineering, Procurement, and Construction (EPC) companies, equipment rental companies, and equipment distributors. C&amp;I segment revenue consists of product sales to the Company's distribution partners, who in turn sell or rent the product to the end customer, sometimes including installation and maintenance services. The C&amp;I segment revenue also includes sales of products and services related to aftermarket service parts and product accessories sold to the Company's distribution partners, grid services subscription revenue, as well as certain installation and maintenance service revenue. In some cases, C&amp;I products are sold directly to the end customer. C&amp;I segment revenues are recorded at either a point in time when control is transferred to the customer, or if the performance obligation is satisfied over time, then revenue is recognized using a method that reflects the performance under the contract.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for the prior periods has been recast to conform to the current presentation.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composition of net sales between Residential and Commercial &amp; Industrial reportable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Total Sales by Reportable Segment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20" w:type="dxa"/>
            <w:vAlign w:val="bottom"/>
          </w:tcPr>
          <w:p>
            <w:pPr>
              <w:spacing w:after="0"/>
              <w:rPr>
                <w:sz w:val="20"/>
                <w:szCs w:val="20"/>
                <w:color w:val="auto"/>
              </w:rPr>
            </w:pPr>
          </w:p>
        </w:tc>
        <w:tc>
          <w:tcPr>
            <w:tcW w:w="36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r>
      <w:tr>
        <w:trPr>
          <w:trHeight w:val="187"/>
        </w:trPr>
        <w:tc>
          <w:tcPr>
            <w:tcW w:w="328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20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549,316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510,049</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399,006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399,006</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(5,548)</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1,059,365</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1,059,365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942,121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views Adjusted EBITDA as a key measure of the Company's performance. The computation of Adjusted EBITDA is based primarily on the definition that is contained in the Company’s credit agreements. The Company presents Adjusted EBITDA not only due to its importance for purposes of the Company's credit agreements, but also because it assists the Company in comparing performance across reporting periods on a consistent basis as it excludes items the Company's management does not believe are indicative of the Company's core operating performance. The CODM uses Adjusted EBITDA, along with the Company's management:</w:t>
      </w:r>
    </w:p>
    <w:p>
      <w:pPr>
        <w:spacing w:after="0" w:line="183"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the Company's annual operating budget and developing and refining internal projections for future periods;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the Company's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target for the determination of the bonus component of compensation for the Company's senior executives under the Company's management incentive plan, as described further in the Company's proxy statement;</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the Company's business strategies and as a tool in evaluating the Company's performance against the Company's budget for each period;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the Company's Board of Directors and investors concerning the Company's financial performance.</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table below presents sales (external and intersegment), significant segment expenses, other segment items, and Adjusted EBITDA by reportable segment, reconciled to consolidated income before provision for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&amp;</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&amp;</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&amp;</w:t>
            </w:r>
          </w:p>
        </w:tc>
        <w:tc>
          <w:tcPr>
            <w:tcW w:w="2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&amp;</w:t>
            </w:r>
          </w:p>
        </w:tc>
        <w:tc>
          <w:tcPr>
            <w:tcW w:w="2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4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2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net sales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549,316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510,049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1,059,365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2,867</w:t>
            </w: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w:t>
            </w: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09"/>
        </w:trPr>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552,183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1,062,281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548,663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intersegment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(5,548)</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280,955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371,090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289,902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285,781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575,683</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intersegment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(5,548)</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176,617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102,481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292,945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185,228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90,373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288,348</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(1)</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(43,974)</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(30,005)</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(76,190)</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(38,056)</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(22,494)</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(5,358)</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(65,908)</w:t>
            </w:r>
          </w:p>
        </w:tc>
        <w:tc>
          <w:tcPr>
            <w:tcW w:w="0" w:type="dxa"/>
            <w:vAlign w:val="bottom"/>
          </w:tcPr>
          <w:p>
            <w:pPr>
              <w:spacing w:after="0"/>
              <w:rPr>
                <w:sz w:val="1"/>
                <w:szCs w:val="1"/>
                <w:color w:val="auto"/>
              </w:rPr>
            </w:pPr>
          </w:p>
        </w:tc>
      </w:tr>
      <w:tr>
        <w:trPr>
          <w:trHeight w:val="178"/>
        </w:trPr>
        <w:tc>
          <w:tcPr>
            <w:tcW w:w="22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Adjusted EBITDA by</w:t>
            </w: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138,585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66,532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149,546</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(17,110)</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(55,974)</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(46,141)</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write-down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share-based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 (3)</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(13,442)</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and credit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facility fees (4)</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(2,710)</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Business optimization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 (5)</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for legal,</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regulatory, and other costs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(9,947)</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(8)</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before provision for</w:t>
            </w: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96,759</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58,514</w:t>
            </w:r>
          </w:p>
        </w:tc>
        <w:tc>
          <w:tcPr>
            <w:tcW w:w="0" w:type="dxa"/>
            <w:vAlign w:val="bottom"/>
          </w:tcPr>
          <w:p>
            <w:pPr>
              <w:spacing w:after="0"/>
              <w:rPr>
                <w:sz w:val="1"/>
                <w:szCs w:val="1"/>
                <w:color w:val="auto"/>
              </w:rPr>
            </w:pPr>
          </w:p>
        </w:tc>
      </w:tr>
      <w:tr>
        <w:trPr>
          <w:trHeight w:val="22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15"/>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&amp; Eliminations' column includes general corporate overhead, centrally managed costs not allocated to the reportable segments, and the elimination of intersegment revenues and profits. These costs primarily relate to certain legal, accounting, human resources, technology</w:t>
      </w:r>
    </w:p>
    <w:p>
      <w:pPr>
        <w:ind w:left="660"/>
        <w:spacing w:after="0"/>
        <w:rPr>
          <w:sz w:val="20"/>
          <w:szCs w:val="20"/>
          <w:color w:val="auto"/>
        </w:rPr>
      </w:pPr>
      <w:r>
        <w:rPr>
          <w:rFonts w:ascii="Times New Roman" w:cs="Times New Roman" w:eastAsia="Times New Roman" w:hAnsi="Times New Roman"/>
          <w:sz w:val="18"/>
          <w:szCs w:val="18"/>
          <w:color w:val="auto"/>
        </w:rPr>
        <w:t>functions, and other costs related to the Corporate headquarters.</w:t>
      </w:r>
    </w:p>
    <w:p>
      <w:pPr>
        <w:spacing w:after="0" w:line="9" w:lineRule="exact"/>
        <w:rPr>
          <w:sz w:val="20"/>
          <w:szCs w:val="20"/>
          <w:color w:val="auto"/>
        </w:rPr>
      </w:pPr>
    </w:p>
    <w:p>
      <w:pPr>
        <w:jc w:val="both"/>
        <w:ind w:left="660" w:hanging="315"/>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represent depreciation and amortization and the following items defined below: Non-cash write-down and other adjustments; Non-cash shared-based compensation expense; Transaction costs and credit facility fees; Business optimization and other charges; and Provision for legal, regulatory, and other costs.</w:t>
      </w:r>
    </w:p>
    <w:p>
      <w:pPr>
        <w:spacing w:after="0" w:line="1" w:lineRule="exact"/>
        <w:rPr>
          <w:rFonts w:ascii="Times New Roman" w:cs="Times New Roman" w:eastAsia="Times New Roman" w:hAnsi="Times New Roman"/>
          <w:sz w:val="18"/>
          <w:szCs w:val="18"/>
          <w:color w:val="auto"/>
        </w:rPr>
      </w:pPr>
    </w:p>
    <w:p>
      <w:pPr>
        <w:jc w:val="both"/>
        <w:ind w:left="660" w:hanging="315"/>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gains (losses) on dispositions of assets other than in the ordinary course of business, gains (losses) on sales of certain investments, unrealized mark-to-market adjustments on commodity contracts, certain foreign currency related adjustments, and certain purchase accounting and contingent consideration adjustments.</w:t>
      </w:r>
    </w:p>
    <w:p>
      <w:pPr>
        <w:spacing w:after="0" w:line="1" w:lineRule="exact"/>
        <w:rPr>
          <w:rFonts w:ascii="Times New Roman" w:cs="Times New Roman" w:eastAsia="Times New Roman" w:hAnsi="Times New Roman"/>
          <w:sz w:val="18"/>
          <w:szCs w:val="18"/>
          <w:color w:val="auto"/>
        </w:rPr>
      </w:pPr>
    </w:p>
    <w:p>
      <w:pPr>
        <w:ind w:left="660" w:hanging="315"/>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periods.</w:t>
      </w:r>
    </w:p>
    <w:p>
      <w:pPr>
        <w:jc w:val="both"/>
        <w:ind w:left="660" w:hanging="315"/>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the Company's credit agreement, equity issuance or debt issuance or refinancing, together with certain fees relating to the Company's senior secured credit facilities, such as administrative agent fees and credit facility commitment fees under the Company's credit agreement.</w:t>
      </w:r>
    </w:p>
    <w:p>
      <w:pPr>
        <w:spacing w:after="0" w:line="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other restructuring charges related to the consolidation of certain operating facilities and organizational functions.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significant litigation, regulatory, and other matters that are not indicative of the Company's ongoing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 judgements and settlements related to certain patent lawsuits</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expenses, judgements and settlements related to certain class action</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lawsuits</w:t>
            </w:r>
          </w:p>
        </w:tc>
        <w:tc>
          <w:tcPr>
            <w:tcW w:w="10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expenses related to certain government inquiries and other significant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matters</w:t>
            </w:r>
          </w:p>
        </w:tc>
        <w:tc>
          <w:tcPr>
            <w:tcW w:w="10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Release of warranty provision recorded in 2022 to address clean energy</w:t>
            </w:r>
          </w:p>
        </w:tc>
        <w:tc>
          <w:tcPr>
            <w:tcW w:w="1000" w:type="dxa"/>
            <w:vAlign w:val="bottom"/>
          </w:tcPr>
          <w:p>
            <w:pPr>
              <w:spacing w:after="0"/>
              <w:rPr>
                <w:sz w:val="17"/>
                <w:szCs w:val="17"/>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warranty-related matters</w:t>
            </w:r>
          </w:p>
        </w:tc>
        <w:tc>
          <w:tcPr>
            <w:tcW w:w="10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legal, regulatory and other matters</w:t>
            </w: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gains (losses) primarily from changes in the fair value of the Company's investment in Wallbox warrants and equity securities.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year loss relates primarily to two immaterial business dispositions that closed in the first quarter of 2026.</w:t>
      </w:r>
    </w:p>
    <w:p>
      <w:pPr>
        <w:sectPr>
          <w:pgSz w:w="11900" w:h="16838" w:orient="portrait"/>
          <w:cols w:equalWidth="0" w:num="1">
            <w:col w:w="11240"/>
          </w:cols>
          <w:pgMar w:left="320" w:top="121" w:right="3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0" w:gutter="0" w:footer="0" w:header="0"/>
          <w:type w:val="continuous"/>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7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tables summarize additional financial information by reportable segment:</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 by Reportable Segment</w:t>
            </w:r>
          </w:p>
        </w:tc>
      </w:tr>
      <w:tr>
        <w:trPr>
          <w:trHeight w:val="223"/>
        </w:trPr>
        <w:tc>
          <w:tcPr>
            <w:tcW w:w="1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3,039,205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3,144,332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2,497,864</w:t>
            </w:r>
          </w:p>
        </w:tc>
        <w:tc>
          <w:tcPr>
            <w:tcW w:w="4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2,367,764</w:t>
            </w:r>
          </w:p>
        </w:tc>
        <w:tc>
          <w:tcPr>
            <w:tcW w:w="60" w:type="dxa"/>
            <w:vAlign w:val="bottom"/>
          </w:tcPr>
          <w:p>
            <w:pPr>
              <w:spacing w:after="0"/>
              <w:rPr>
                <w:sz w:val="18"/>
                <w:szCs w:val="18"/>
                <w:color w:val="auto"/>
              </w:rPr>
            </w:pPr>
          </w:p>
        </w:tc>
      </w:tr>
      <w:tr>
        <w:trPr>
          <w:trHeight w:val="22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56,194</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61,583</w:t>
            </w:r>
          </w:p>
        </w:tc>
        <w:tc>
          <w:tcPr>
            <w:tcW w:w="60" w:type="dxa"/>
            <w:vAlign w:val="bottom"/>
            <w:shd w:val="clear" w:color="auto" w:fill="CCEEFF"/>
          </w:tcPr>
          <w:p>
            <w:pPr>
              <w:spacing w:after="0"/>
              <w:rPr>
                <w:sz w:val="19"/>
                <w:szCs w:val="19"/>
                <w:color w:val="auto"/>
              </w:rPr>
            </w:pPr>
          </w:p>
        </w:tc>
      </w:tr>
      <w:tr>
        <w:trPr>
          <w:trHeight w:val="22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5,593,263</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5,573,679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Depreciation and Amortization by</w:t>
            </w:r>
          </w:p>
        </w:tc>
      </w:tr>
      <w:tr>
        <w:trPr>
          <w:trHeight w:val="238"/>
        </w:trPr>
        <w:tc>
          <w:tcPr>
            <w:tcW w:w="1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Reportable Segment</w:t>
            </w:r>
          </w:p>
        </w:tc>
      </w:tr>
      <w:tr>
        <w:trPr>
          <w:trHeight w:val="210"/>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23,487</w:t>
            </w:r>
          </w:p>
        </w:tc>
        <w:tc>
          <w:tcPr>
            <w:tcW w:w="4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16,993</w:t>
            </w:r>
          </w:p>
        </w:tc>
        <w:tc>
          <w:tcPr>
            <w:tcW w:w="60" w:type="dxa"/>
            <w:vAlign w:val="bottom"/>
          </w:tcPr>
          <w:p>
            <w:pPr>
              <w:spacing w:after="0"/>
              <w:rPr>
                <w:sz w:val="18"/>
                <w:szCs w:val="18"/>
                <w:color w:val="auto"/>
              </w:rPr>
            </w:pPr>
          </w:p>
        </w:tc>
      </w:tr>
      <w:tr>
        <w:trPr>
          <w:trHeight w:val="22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19"/>
                <w:szCs w:val="19"/>
                <w:color w:val="auto"/>
              </w:rPr>
            </w:pPr>
          </w:p>
        </w:tc>
      </w:tr>
      <w:tr>
        <w:trPr>
          <w:trHeight w:val="22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 Expenditures by Reportable</w:t>
            </w:r>
          </w:p>
        </w:tc>
      </w:tr>
      <w:tr>
        <w:trPr>
          <w:trHeight w:val="238"/>
        </w:trPr>
        <w:tc>
          <w:tcPr>
            <w:tcW w:w="1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gridSpan w:val="2"/>
          </w:tcPr>
          <w:p>
            <w:pPr>
              <w:spacing w:after="0"/>
              <w:rPr>
                <w:sz w:val="18"/>
                <w:szCs w:val="18"/>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15,458</w:t>
            </w:r>
          </w:p>
        </w:tc>
        <w:tc>
          <w:tcPr>
            <w:tcW w:w="4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13,088</w:t>
            </w:r>
          </w:p>
        </w:tc>
        <w:tc>
          <w:tcPr>
            <w:tcW w:w="60" w:type="dxa"/>
            <w:vAlign w:val="bottom"/>
          </w:tcPr>
          <w:p>
            <w:pPr>
              <w:spacing w:after="0"/>
              <w:rPr>
                <w:sz w:val="18"/>
                <w:szCs w:val="18"/>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shd w:val="clear" w:color="auto" w:fill="CCEEFF"/>
          </w:tcPr>
          <w:p>
            <w:pPr>
              <w:spacing w:after="0"/>
              <w:rPr>
                <w:sz w:val="19"/>
                <w:szCs w:val="19"/>
                <w:color w:val="auto"/>
              </w:rPr>
            </w:pPr>
          </w:p>
        </w:tc>
      </w:tr>
      <w:tr>
        <w:trPr>
          <w:trHeight w:val="22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sales in the U.S. represented approximately 78% of total sales for both the three months ended March 31, 2026 and 2025. Approximately 76% and 74% of the Company's identifiable long-lived assets were located in the U.S. as of March 31, 2026 and December 31, 2025,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Balance Sheet Details</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675,079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705,610</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12,592</w:t>
            </w:r>
          </w:p>
        </w:tc>
      </w:tr>
      <w:tr>
        <w:trPr>
          <w:trHeight w:val="234"/>
        </w:trPr>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563,988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530,665</w:t>
            </w:r>
          </w:p>
        </w:tc>
      </w:tr>
      <w:tr>
        <w:trPr>
          <w:trHeight w:val="210"/>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1,251,793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1,248,867</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7300" w:space="720"/>
            <w:col w:w="3220"/>
          </w:cols>
          <w:pgMar w:left="320" w:top="108"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464,038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444,171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390,288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374,791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Dies and tools</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63,666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Office &amp; information technology equipment and internal use software</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252,425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86,116</w:t>
            </w: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1,316,766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1,283,519</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(469,914)</w:t>
            </w: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property and equipment includes finance leases of $82,513 and $83,963 as of March 31, 2026, and December 31, 2025, respectively, primarily consisting of buildings and improvements. Amortization of finance lease right of use assets is recorded within depreciation expense in the condensed consolidated statements of comprehensive income. The initial measurement of new finance lease right of use assets is accounted for as a non-cash item in the condensed consolidated statements of cash flows.</w:t>
      </w:r>
    </w:p>
    <w:p>
      <w:pPr>
        <w:sectPr>
          <w:pgSz w:w="11900" w:h="16838" w:orient="portrait"/>
          <w:cols w:equalWidth="0" w:num="1">
            <w:col w:w="11240"/>
          </w:cols>
          <w:pgMar w:left="320" w:top="108" w:right="339"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selling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118,962</w:t>
            </w:r>
          </w:p>
        </w:tc>
        <w:tc>
          <w:tcPr>
            <w:tcW w:w="100" w:type="dxa"/>
            <w:vAlign w:val="bottom"/>
            <w:gridSpan w:val="2"/>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153,745</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&amp; professional fees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250,142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248,445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15,731</w:t>
            </w: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(1)</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54,504</w:t>
            </w:r>
          </w:p>
        </w:tc>
      </w:tr>
      <w:tr>
        <w:trPr>
          <w:trHeight w:val="223"/>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Accrued other contains a certain recall reserve for the total amount of $9,228 as of March 31, 2026, that is recoverable from a certain supplier.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7, "Segment Reporting," effective March 31, 2026, the Company reorganized its reportable segments into Residential and C&amp;I. As a result, the composition of the reporting units changed. The Company reassigned goodwill to the affected reporting units using a relative fair value allocation approach.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change in reporting unit composition represented a triggering event and performed an interim quantitative goodwill impairment test for the reporting units affected by the reorganization. The impairment test compared the carrying amount of each affected reporting unit, including goodwill, with its estimated fair value.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this test, the Company recorded $1,523 of goodwill impairment for one reporting unit within the Residential segment. For the remaining affected reporting units, the Company concluded that estimated fair value exceeded carrying amount and no additional impairment was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Commercial &amp;</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20" w:type="dxa"/>
            <w:vAlign w:val="bottom"/>
          </w:tcPr>
          <w:p>
            <w:pPr>
              <w:spacing w:after="0"/>
              <w:rPr>
                <w:sz w:val="20"/>
                <w:szCs w:val="20"/>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855,118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611,976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and dispositions of businesses,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28,263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28,263</w:t>
            </w: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w:t>
            </w: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rate changes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(7,027)</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Product Warranty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 liability for standard product warranty obligations accounted for as assurance warranties at the time of sale of the related product to a customer based 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 issued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18,118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for pre-existing warranties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 assumed in acquisition</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condensed consolidated statements of comprehensive income. The following is a tabular reconciliation of the deferred revenue related to extended warranty coverage: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contracts issued</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15,818</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revenue contracts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(9,595)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(8,337)</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272"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27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recognition of the Company’s deferred revenue balance related to extended warranties as of March 31, 2026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6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42,859</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After 2030</w:t>
            </w:r>
          </w:p>
        </w:tc>
        <w:tc>
          <w:tcPr>
            <w:tcW w:w="4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00" w:type="dxa"/>
            <w:vAlign w:val="bottom"/>
          </w:tcPr>
          <w:p>
            <w:pPr>
              <w:spacing w:after="0"/>
              <w:rPr>
                <w:sz w:val="18"/>
                <w:szCs w:val="18"/>
                <w:color w:val="auto"/>
              </w:rPr>
            </w:pPr>
          </w:p>
        </w:tc>
      </w:tr>
      <w:tr>
        <w:trPr>
          <w:trHeight w:val="249"/>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Standard product warranty obligations and extended warranty related deferred revenues are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warranty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 accrued product warranty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131,922</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 related to extended warranties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 other accrued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 deferred revenue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180,446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Contract Liabilities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Company’s standard payment terms for its customers are less than one year, the specific payment terms and conditions in its customer contracts vary. In some cases, customers prepay for their goods or services; in other cases, after appropriate credit evaluation, an open credit line is granted and payment is due in arrears after shipment of the product to the customer or performance of the service. Contracts with payment in arrears are recognized in the condensed consolidated balance sheets as accounts receivable or as prepaid expenses and other current assets upon revenue recognition, while contracts where customers pay in advance of performance are recognized as deferred revenue and recorded in other accrued liabilities (for the portion expected to be recognized within twelve months) or long-term deferred revenue (for the portion not expected to be recognized within twelve months) in the condensed consolidated balance sheets, until revenue is recognized.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balance of customer deposits and other contract liabilities, excluding the extended warranty deferred revenue balance disclosed in Note 10, was $137,438 and $151,257 as of March 31, 2026, and December 31, 2025, respectively. During the three months ended March 31, 2026, the Company recognized revenue of $46,832 related to amounts included in the December 31, 2025 contract liability balance. As of March 31,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aggregate amount of revenue that the Company expects to recognize on remaining performance obligations (excluding extended warranty) was approximately $272,000, of which approximately 90% is expected to be recognized as revenue over the next two years. We have applied the practical expedient to exclude the value of remaining performance obligations for contracts with an original term of one year or less.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borrowings included in the condensed consolidated balance sheets as of March 31, 2026, and December 31, 2025, consisted of borrowings by the Company’s foreign subsidiaries on local lines of credit totaling $43,950 and $50,618, respectively. As of March 31, 2026, the weighted-average interest rate on the short-term borrowings was 6.19%.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are included in the condensed consolidated balance sheets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A Term Loan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Term Loan B Facility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493,750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 and deferred financing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Revolving Facility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1,282,448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finance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borrowings and finance lease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1,253,537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1,260,256</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13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36"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there were $4,712 of unamortized deferred financing costs associated with the New Revolving Facility (as defined below) included in operating lease and other assets in the condensed consolidated balance sheets, and $5,411 of unamortized original issue discount and deferred financing costs linked to the New Tranche A Term Loan Facility and Term Loan B Facility (as defined collectively below) included in long-term borrowings and finance lease obligations in the condensed consolidated balance sheets.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Tranche A Term Loan Facility and New Revolving Facility mature on July 1, 2030. The New Tranche A Term Loan Facility is repayable in quarterly installments commencing October 1, 2026, with a balloon payment due at maturity. The Term Loan B Facility matures on July 3, 2031, and is repayable in quarterly installments which commenced September 2024, with a balloon payment due at maturity. Maturities of the Company's New Tranche A Term Loan Facility, Term Loan B Facility and New Revolving Facility outstanding on March 31, 2026, before considering original issue discount and deferred financing costs,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Tranche A Term</w:t>
            </w: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Term Loan B</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 Facility</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21,875</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26,875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43,750</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468,750</w:t>
            </w:r>
          </w:p>
        </w:tc>
        <w:tc>
          <w:tcPr>
            <w:tcW w:w="7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credit agreements originally provided for a $1,200,000 Tranche B Term Loan Facility (Original Term Loan B Facility) and included a $300,000 uncommitted incremental term loan on that facility. After several amendments, the Original Term Loan B Facility bore interest at rates based on either a base rate plus an applicable margin of 0.75% or adjusted SOFR rate plus an applicable margin of 1.75%, subject to a SOFR floor of 0.0%, and was scheduled to mature on December 13, 2026.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2024, the Company extinguished the $530,000 balance then outstanding under the Original Term Loan B Facility and replaced it with a new $500,000 Tranche B Term Loan Facility maturing on July 3, 2031 (New Term Loan B Facility and, together with the Original Term Loan B Facility, the Term Loan B Facility). The New Term Loan B Facility continues to include a $300,000 uncommitted incremental term loan on that facility. In accordance with ASC 470-50, the Company capitalized $2,991 of debt issuance costs related to this transaction. Additionally, the Company wrote-off the unamortized deferred financing costs related to the Original Term Loan B of $4,236 and expensed $625 of fees paid to creditors as a loss on refinancing of debt. The New Term Loan B Facility bears interest at the SOFR rate plus an applicable margin of 1.75%, subject to a SOFR floor of 0.0%, resulting in a 5.42% combined rate as of March 31,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Term Loan B Facility does not require an Excess Cash Flow payment (as defined in the New Term Loan B Facility credit agreement) if the Company’s net secured leverage ratio is maintained below 3.75 to 1.00. As of March 31, 2026, the Company’s net secured leverage ratio was 1.31 to 1.00, and the Company was in compliance with all covenants under the facility. There are no financial maintenance covenants on the Term Loan B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original Tranche A Term Loan Facility provided an aggregate principal amount of $750,000 (Original Tranche A Term Loan Facility), along with a $1,250,000 revolving facility (Original Revolving Facility) with all LIBOR provisions replaced with SOFR provisions. The Original Tranche A Term Loan Facility and the Original Revolving Facility bore interest at a rate based on adjusted SOFR plus an applicable margin between 1.25% and 1.75%, based on the Company's total leverage ratio and subject to a SOFR floor of 0.0%.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2025, the Company amended the Original Tranche A Term Loan Facility and Original Revolving Facility (Prior Amended Credit Agreement), extending the maturity of both to July 1, 2030, revising the Original Tranche A Term Loan Facility outstanding principal balance to $700,000 (New Tranche A Term Loan Facility), reducing the Original Revolving Facility borrowing capacity to $1,000,000 (New Revolving Facility) (collectively the New Credit Agreements), and redefined the Term Benchmark (as defined in the Prior Amended Credit Agreement) to replace the Adjusted Term SOFR Rate (as defined in the Prior Amended Credit Agreement) with the Term SOFR Rate (as defined in the New Credit Agreement), resulting in an interest rate reduction of 0.10%. Except for redefining the Term Benchmark, interest rates for the New Credit Agreements remain unchanged from the original credit agreements. As of March 31, 2026, the interest rate for the New Tranche A Term Loan Facility and the New Revolving Facility is 4.92%.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 C 470-50, the Company capitalized $5,275 of debt issuance costs related to this transaction. Additionally, the Company wrote-off certain unamortized deferred financing costs related to the Original Revolving Facility of $443 and expensed $782 of third-party fees as a loss on refinancing of debt.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the New Tranche A Term Loan Facility and the New Revolving Facility contain certain financial covenants that require the Company to maintain a total leverage ratio below 3.75 to 1.00, as well as an interest coverage ratio above 3.00 to 1.00. As of March 31, 2026, the Company’s total leverage ratio was 1.37 to 1.00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Company's interest coverage ratio was 12.98 to 1.00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was also in compliance with all other covenants of the New Credit Agreements as of March 31,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Term Loan B Facility, New Tranche A Term Loan Facility and New Revolving Facility are guaranteed by substantially all of the Company’s wholly-owned domestic restricted subsidiaries and are secured by associated collateral agreements which pledge a first priority lien on virtually all of the Company’s assets, including fixed assets and intangibles, cash, trade accounts receivable, inventory, and other current assets and proceeds thereof.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amounts outstanding under the New Revolving Facility, leaving $999,250 of unused capacity, net of outstanding letters of credit.</w:t>
      </w:r>
    </w:p>
    <w:p>
      <w:pPr>
        <w:sectPr>
          <w:pgSz w:w="11900" w:h="16838" w:orient="portrait"/>
          <w:cols w:equalWidth="0" w:num="1">
            <w:col w:w="11240"/>
          </w:cols>
          <w:pgMar w:left="320" w:top="121" w:right="339" w:bottom="92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7A of the Annual Report on Form 10-K for the year ended December 31, 2025, for further information on interest rate swaps that are currently outstanding and partially offset the above interest expense on outstanding borrowings.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Repurchase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12, 2024, the Company's Board of Directors approved a stock repurchase program that allowed for the repurchase of up to $500,000 of the Company's common stock over a 24-month period. Additionally, on February 9, 2026, the Company’s Board of Directors approved a new stock repurchase program that allows for the repurchase of up to $500,000 of the Company’s common stock over the following 24 months. The new program replaces the prior share repurchase program, which had $199,340 remaining available for repurchase when the new program was approved. Pursuant to the approved program, the Company may repurchase its common stock from time to time, in amounts and at prices the Company deems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may be funded with cash on hand, available borrowings, or proceeds from potential debt or other capital markets sources. The stock repurchase program may be suspended or discontinued at any time without prior notice.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there were no share repurchases under the program. For the three months ended March 31, 2025, the Company repurchased 716,685 shares of common stock for $97,454. The Company has periodically reissued shares out of Treasury stock, including for acquisition contingent consideration payments.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"in the money" restricted stock and the exercise of outstanding "in the money" stock options, as well as the satisfaction of certain contingent acquisition consideration conditions as of the end of the period. Refer to Note 4, “Redeemable Noncontrolling Interests,” of the Annual Report on Form 10-K for the year ended December 31, 2025, for further information regarding the accounting for redeemable noncontrolling interests within earnings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the denominator used to calculate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73,253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43,840</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58,412,205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59,062,534</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 compensation awards (1)</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685,055</w:t>
            </w:r>
          </w:p>
        </w:tc>
      </w:tr>
      <w:tr>
        <w:trPr>
          <w:trHeight w:val="263"/>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59,233,144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59,747,589</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r>
    </w:tbl>
    <w:p>
      <w:pPr>
        <w:spacing w:after="0" w:line="179" w:lineRule="exact"/>
        <w:rPr>
          <w:sz w:val="20"/>
          <w:szCs w:val="20"/>
          <w:color w:val="auto"/>
        </w:rPr>
      </w:pPr>
    </w:p>
    <w:p>
      <w:pPr>
        <w:ind w:firstLine="8"/>
        <w:spacing w:after="0" w:line="282"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approximately 178,000 and 402,000 stock options and restricted stock awards for the three months ended March 31, 2026 and 2025, respectively, because they would be anti-dilutive.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rates for the three months ended March 31, 2026 and 2025 were 24.4% and 24.3%, respectively. The slight increase in effective tax rate was due primarily to certain discrete items and their impact on higher pre-tax income in the quarter.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Generac products repossessed by the finance company, but does not indemnify the finance company for any credit losses they incur. The amount financed by dealers which remained outstanding under this arrangement as of March 31, 2026, and December 31, 2025, was $162,314 and $149,737, r</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spectively.</w:t>
      </w:r>
    </w:p>
    <w:p>
      <w:pPr>
        <w:sectPr>
          <w:pgSz w:w="11900" w:h="16838" w:orient="portrait"/>
          <w:cols w:equalWidth="0" w:num="1">
            <w:col w:w="11240"/>
          </w:cols>
          <w:pgMar w:left="320" w:top="121" w:right="339" w:bottom="906"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2022, Power Home Solar, LLC d/b/a Pink Energy (PHS) filed a lawsuit in the Western District of Virginia against Generac Power Systems, Inc., a wholly owned subsidiary of the Company (Generac Power). The complaint alleges breaches of warranty, product liability, and other causes of action against Generac Power relating to the sale and performance of certain clean energy equipment and seeks to recover damages, including consequential damages, that PHS allegedly incurred. The Company disputes the allegations in the complaint, including that PHS can seek consequential damages or amounts greater than the $25,000 liability cap set forth in the agreement between the parties. Generac Power moved to dismiss the complaint and compel arbitration consistent with the parties’ agreement. PHS later filed a Chapter 7 bankruptcy petition in the Western District of North Carolina that identified Generac Power as one of its outstanding creditors. The parties agreed to toll PHS’s deadline to respond to the motion to dismiss and all other pretrial deadlines to allow the bankruptcy trustee to evaluate the complaint. The Trustee decided to pursue PHS’s claims against Generac in arbitration. Generac Power intends to vigorously defend against the claims and contends that PHS cannot recover certain damages on behalf of its customers upon final approval of the settlement in the Multidistrict Litigation described below to the extent the claims relate to the performance of a certain solar system component. The arbitration hearing is expected to occur in June 2027.</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28, 2022, Daniel Haak filed a putative consumer class action lawsuit against Generac Power in the Middle District of Florida. The complaint alleges breaches of warranty, tort-based, and unjust enrichment claims against Generac Power relating to the sale and performance of certain clean energy products, and seeks to recover damages, including consequential damages, that the plaintiff and putative class allegedly incurred. Additional putative class actions were filed by consumers raising similar claims and allegations in other district court cases. These putative class actions have been consolidated into a Multidistrict Litigation, In re: Generac Solar Power Systems Marketing, Sales Practices and Products Liability Litigation currently pending in the Eastern District of Wisconsin, Case No. 23-md-3078. Generac Power and plaintiffs participated in a mediation through which the parties agreed to certain monetary and non-monetary terms to resolve the matter on a classwide basis. The parties have obtained preliminary approval for the classwide settlement and will be seeking final approval. In the third quarter of 2025, Generac Power recorded a reserve for the contemplated $15,000 settlement fund. Generac Power does not concede liability or any charges of wrongdoing in connection with the proposed settlement.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2022, Oakland County Voluntary Employees’ Beneficiary Association and Oakland County Employees’ Retirement System filed a putative securities class action lawsuit against the Company and certain of its officers in the Eastern District of Wisconsin. The court subsequently consolidated a later filed action and appointed a lead plaintiff. The lead plaintiff filed a consolidated complaint alleging violation of federal securities law related to disclosures of certain matters (the Oakland County Lawsuit). On February 7, 2025, the court granted the Company’s motion to dismiss and found that plaintiffs failed to adequately plead a securities fraud claim. Plaintiffs filed an amended complaint on March 10, 2025. On April 30, 2026, the court granted the Company’s motion to dismiss the amended complaint with prejudice, again finding that plaintiffs failed to adequately plead a securities fraud claim, and directed the entry of final judgment in favor of the Company. Plaintiffs may appeal the dismissal. If an appeal is filed, the Company intends to vigorously defend the judgment.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2023, a purported Company shareholder filed a shareholder derivative action against certain of the Company’s officers and directors in the United States District Court for the Eastern District of Wisconsin. The complaint seeks unspecified damages on behalf of the Company and certain other relief, such as certain reforms to corporate governance practices. The complaint (in which the Company is named as a nominal defendant) generally alleges, among other things, breaches of fiduciary duties in connection with the oversight of the Company’s public statements and legal compliance, and that the Company was damaged as a result of the breaches of fiduciary duties, and the defendants were unjustly enriched. The complaint also alleges, among other things, violations of Sections 14(a), 10(b) and 20(a) of the Securities Exchange Act of 1934, abuse of control, gross mismanagement, and waste of corporate assets. The Company has received several additional derivative actions filed in both state and federal courts raising similar claims and allegations, including issues raised in the Oakland County Lawsuit. The Company disputes the allegations in the shareholder derivative actions and intends to vigorously defend against the claims in the complaints.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28, 2022, Generac Power received a grand jury subpoena from the U.S. Attorney for the Eastern District of Michigan and, as a result, the Company became aware of an enforcement investigation by the U.S. DOJ. The subpoena requests similar documents and information provided by the Company to the U.S. EPA and the CARB in response to civil document requests related to the Company’s compliance with emissions regulations for approximately 1,850 (not in thousands) portable generators produced by the Company in 2019 and 2020 and sold in 2020. On October 3, 2025, the Company received notice from the EPA that it would seek to void certain emissions certifications for 2020, affecting approximately 4,850 (not in thousands) additional portable generators as the Company previously disclosed in Note 18, “Commitments and Contingencies,” to its 2024 Annual Report on Form 10-K. The Company is cooperating with the DOJ, EPA and CARB regarding these topics, various voluntary self-disclosures the Company has made to the EPA since 2024, and other ancillary requests for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2022, Ollnova Technologies Limited, a non-practicing entity, filed a patent infringement lawsuit against ecobee Technologies, ULC. (ecobee) in the United States District Court for the Eastern District of Texas (Case No. 22-cv-00072-JRG). Ollnova claimed that ecobee infringes on four of its patents. Following an October 5, 2023 jury verdict finding one of Ollnova’s patents invalid and that ecobee infringed at least one of the claims of the asserted patents, on March 1, 2024, the trial court entered judgment against ecobee for $11,500, as well as an award of prejudgment and post-judgment interest. In 2023, the Company recorded a reserve of $12,669 related to this matter. In the first quarter of 2024, the Company recorded an additional reserve of $1,826 for estimated prejudgment and post-judgement interest and continues to accrue for post-judgment interest thereafter. ecobee has appealed the trial court’s judgment to the Court of Appeals for the Federal Circuit and that appeal is currently pending.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21, 2023, Christopher Walling filed a putative securities class action lawsuit against the Company and certain of its officers in the Western District of Wisconsin and was later appointed lead plaintiff. The complaint asserted claims for alleged violation of federal securities law related to statements concerning the Company’s financial outlook and the impact of macroeconomic trends on the demand for its products. The plaintiff sought to represent a class of individuals who purchased or otherwise acquired common stock between May 3, 2023, and August 3, 2023, and sought unspecified compensatory damages and other relief on behalf of a purported class of purchasers of the Company’s stock (the Walling Lawsuit). On February 3, 2026, the court granted the Company’s motion to dismiss the amended complaint and found that plaintiff failed to adequately plead a securities fraud claim. Plaintiff did not appeal the dismissal, so it is final.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2024, a purported Company shareholder filed a derivative action against certain of the Company’s officers and directors in the United States District Court for the Eastern District of Wisconsin. The complaint (in which the Company was named as a nominal defendant) generally alleged, among other things, breaches of fiduciary duties in connection with the oversight of the Company’s public statements and legal compliance, including as to the claims raised in the Walling Lawsuit. Following the dismissal of the Walling Lawsuit, plaintiff voluntarily dismissed the shareholder derivative action.</w:t>
      </w:r>
    </w:p>
    <w:p>
      <w:pPr>
        <w:sectPr>
          <w:pgSz w:w="11900" w:h="16838" w:orient="portrait"/>
          <w:cols w:equalWidth="0" w:num="1">
            <w:col w:w="11240"/>
          </w:cols>
          <w:pgMar w:left="320" w:top="121" w:right="339" w:bottom="15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2023, seven plaintiffs filed a product liability lawsuit in the Philadelphia County Court of Common Pleas against Generac Power, other Generac affiliates, and unrelated entities for damages sustained in an accident involving a GP15000E portable generator that occurred on October 4, 2023 (Zawaski, et al. v. Generac Power Systems, Inc., et al.). Plaintiffs pursued claims against Generac Power for negligence, strict liability, and loss of consortium, seeking compensatory and punitive damages. On January 26, 2026, the Company, together with other co-defendants, agreed to enter a settlement in principle to resolve all asserted claims, while denying any wrongdoing, to eliminate the uncertainty, burden, and expense of protracted litigation. The Company agreed to pay $104,500 in addition to the Company’s excess insurance for the applicable policy year. As of March 31, 2026 and December 31, 2025, the Company has reflected a reserve for $206,500 within other accrued liabilities and an insurance receivable for $102,000 in prepaid expenses and other assets in the condensed consolidated balance sheets. The Company and its insurance carriers satisfied the payment obligation on April 1, 2026.</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2024, Champion Power Equipment, Inc. (Champion) filed a patent infringement lawsuit against Generac Power in the United States District Court for the Eastern District of Wisconsin (Case No. 24-cv-01281-LA). Champion claims that certain Generac and Powermate branded multi-fuel portable generators infringe on Champion’s portfolio of dual and multi-fuel patents. Generac Power denies infringement and has filed a counterclaim against Champion claiming that some of Champion’s portable generators infringe on Generac Power’s patents relating to carbon monoxide detection and engine shutoff technologies. Champion in turn filed new patent infringement claims relating to its own carbon monoxide detection and shutoff technology. Generac Power denies the infringement allegations and intends to vigorously defend the matter.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18, 2024, two individuals filed a putative consumer class action lawsuit against Generac Power and the Company in the Middle District of Florida (Case No. 24-cv-02412). The Amended Complaint, which includes additional plaintiffs, alleges certain defects for home standby generators manufactured or sold to consumers from 2020-2024. Plaintiffs assert breaches of warranty, tort-based, and statutory claims relating to the sale and performance of home standby generators. The court dismissed (1) all claims against the Company and (2) all non-Florida residents’ claims against Generac Power for lack of personal jurisdiction, and limited the Florida plaintiffs’ claims against Generac Power to a claim for breach of express warranty. The Company disputes the allegations and intends to vigorously defend against the remaining claims in the Amended Complaint, including that the case should not proceed as a class action.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presently unlikely that any legal, regulatory or other proceedings pending against or involving the Company will have a material adverse effect on the Company’s financial condition, results of operations or cash flows. However, in many of these matters, it is inherently difficult to determine whether a loss is probable or to estimate the size or range of the possible loss given the variety and potential outcomes of actual and potential claims, the uncertainty of future rulings, the behavior or incentives of adverse parties, and other factors outside the control of the Company. Accordingly, the Company’s loss reserves may change from time to time, and actual losses could exceed the amounts reserved by an amount that could be material to the Company’s consolidated financial position, results of operations or cash flows in any particular reporting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2026, the Company acquired Enercon Engineering, Inc. (Enercon) headquartered in East Peoria, Illinois. Enercon designs and manufactures custom power equipment and industrial enclosures for high-reliability applications, strengthening the Company’s ability to service hyperscale and enterprise data center markets. The preliminary purchase price totaled $122,322, of which $44,785 was paid in restricted shares and the remainder in cash. Additional contingent consideration may be earned up to a maximum amount of $112,043, with 35% paid in restricted shares and the remainder in cash, upon the achievement of certain conditions. The earnout period extends through April 1, 2027. Due to the close proximity of the acquisition date and the Company's filing of its interim financial information on Form 10-Q for the three months ended March 31, 2026, the initial accounting for the business combination is not yet complete and is pending identification and measurement of the assets acquired and liabilities assumed. Accordingly, the information required by ASC 805, Business Combinations, will be disclosed in the Company's subsequent Form 10-Q.</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quarterly report include estimates and comments regarding:</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markets that we serve, financial and operating results, and future economic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new product and service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goals, expectations, and objectives, and other similar expressions concerning matters that are not historical facts.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our actual financial results and cause them to differ materially from those anticipated in the forward-looking statements include: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and duration of power outages impacting demand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cost, availability, and quality of raw materials, key components and labor required to manufacture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contract manufacturers and component suppliers, including single-source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with respect to the trade policies of various countries, which may result in new or increased tariffs, trade restrictions, or other unfavorable trade actions;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successfully defend against third party infringement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durable goods spending by consumers and businesses or other global macroeconomic conditions, impacting demand for our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particularly with respect to tax incentives, tax credits, or grant programs, which could: (i) affect the demand for certain of our products; or (ii) result in a withdrawal or reduction of grants previously awarded to the Company;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product and other liability claims, warranty costs, recalls, or other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proceedings, claims, fines, penalties, tax assessments, lawsuits or government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our share repurchase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adapt to, or comply with, current or future changes in applicable laws, regulations, and product standards;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enhance products and gain customer acceptance, including our offerings that serve the data center and energy technology markets;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growth of the data center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and effectively manage inventory levels relative to such forecast;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dealer and distribution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changes in selling prices or mix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from labor disputes or organized labor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manufacturing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expected synergies, efficiencies and cost savings of our acquisitions, divestitures, restructurings, or realignments will not be realized, or will not be realized within the expected time period;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sourcing components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regarding our sustainability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of our networks, information technology systems, or connected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due to instability caused by geopolitical conflicts;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on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credit facilities that may restrict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to finance our growth or refinancing our existing credit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impairment of the value of our goodwill and other indefinite-lived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tax liabilities.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our filings with the Securities and Exchange Commission, including in Item 1A of our Annual Report on Form 10-K for the year ended December 31, 2025 and in Part II, Item 1A of this Quarterly Report on Form 10-Q. Stockholders, potential investors and other readers should consider these factors carefully in evaluating the forward-looking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1959, Generac is a leading global designer, manufacturer, and provider of a wide range of energy technology solutions. Generac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long history of providing power generation products across a variety of applications, and we maintain one of the leading positions in the North American market for power equipment with an expanding presence internationally. We believe we have one of the widest ranges of products in the power generation marketplace, including residential, commercial, and industrial standby generators, as well as portable and mobile generators used in a variety of applications. The recent introduction of our large-megawatt diesel generator line-up has substantially increased our served addressable market, allowing us to participate in the supply-constrained data center market which is expected to grow significantly over the coming years due to the mass adoption of artificial intelligence. Over the last few years, we have also been focused on building out ecosystems of energy technology products, solutions, and services for homes and businesses, allowing us to fully integrate our product portfolios together into common platforms and user interfaces and enabling end users to better manage their energy resilience and costs. We have also been leveraging our leading position in the growing market for natural gas fueled generators, which we believe represents a cleaner fuel compared to diesel, to develop solutions for applications beyond standby power, allowing us to participate in multipurpose microgrid projects for C&amp;I customers. As the traditional centralized utility model evolves over time, we believe that a more decarbonized, digitized, and decentralized grid infrastructure will develop, and our energy technology solutions are uniquely and strategically positioned to participate in this next-generation grid.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our competitive strengths in our traditional power generation markets, we believe we are well-positioned to execute on the growing opportunity for backup power for homes and businesses, where increased penetration is being driven by multiple mega-trends that are resulting in poorer power quality for end users. In addition, our focus on more resilient, efficient and innovative energy solutions has increased our served addressable market, and as a result, we believe we can provide products that can help offset rising energy costs as the traditional utility grid suffers from significant supply/demand imbalances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Mega-Trends, Strategic Growth Themes, and Additional Business Drivers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“Powering a Smarter World” strategic plan serves as the framework for the significant investments that we have made, and will continue to make, to capitalize on the long-term growth prospects of Generac. Our enterprise strategy is derived from certain key mega-trends that we believe will drive various strategic growth themes for our business. Those mega-trends and growth themes are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Mega-Trends: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power quality continuing to drive demand for backup power solutions: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○More frequent severe and volatile weather impacting an aging grid, causing increased power outage activity.</w:t>
      </w:r>
    </w:p>
    <w:p>
      <w:pPr>
        <w:spacing w:after="0" w:line="9" w:lineRule="exact"/>
        <w:rPr>
          <w:sz w:val="20"/>
          <w:szCs w:val="20"/>
          <w:color w:val="auto"/>
        </w:rPr>
      </w:pPr>
    </w:p>
    <w:p>
      <w:pPr>
        <w:ind w:left="340" w:hanging="112"/>
        <w:spacing w:after="0" w:line="180" w:lineRule="auto"/>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Increasing deployment of intermittent generation sources coupled with accelerating electricity demand trends driving supply/demand imbalances for utilities and grid operators.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power prices driving the need for energy management solutions:</w:t>
      </w:r>
    </w:p>
    <w:p>
      <w:pPr>
        <w:spacing w:after="0" w:line="9" w:lineRule="exact"/>
        <w:rPr>
          <w:sz w:val="20"/>
          <w:szCs w:val="20"/>
          <w:color w:val="auto"/>
        </w:rPr>
      </w:pPr>
    </w:p>
    <w:p>
      <w:pPr>
        <w:ind w:left="340" w:hanging="166"/>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Electrification trends causing power demand to exceed supply, driving up power prices.</w:t>
      </w:r>
    </w:p>
    <w:p>
      <w:pPr>
        <w:spacing w:after="0" w:line="9" w:lineRule="exact"/>
        <w:rPr>
          <w:rFonts w:ascii="Times New Roman" w:cs="Times New Roman" w:eastAsia="Times New Roman" w:hAnsi="Times New Roman"/>
          <w:sz w:val="18"/>
          <w:szCs w:val="18"/>
          <w:color w:val="auto"/>
        </w:rPr>
      </w:pPr>
    </w:p>
    <w:p>
      <w:pPr>
        <w:ind w:right="2560" w:firstLine="174"/>
        <w:spacing w:after="0" w:line="250"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required to upgrade grid infrastructure and transition to renewable power sources, pushing prices higher. ●Artificial intelligence adoption accelerating, creating a large market opportunity for backup power:</w:t>
      </w:r>
    </w:p>
    <w:p>
      <w:pPr>
        <w:ind w:left="340" w:hanging="166"/>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power requirements for the buildout of data centers to enable AI adoption could drive further grid instability and higher power prices.</w:t>
      </w:r>
    </w:p>
    <w:p>
      <w:pPr>
        <w:spacing w:after="0" w:line="9" w:lineRule="exact"/>
        <w:rPr>
          <w:rFonts w:ascii="Times New Roman" w:cs="Times New Roman" w:eastAsia="Times New Roman" w:hAnsi="Times New Roman"/>
          <w:sz w:val="18"/>
          <w:szCs w:val="18"/>
          <w:color w:val="auto"/>
        </w:rPr>
      </w:pPr>
    </w:p>
    <w:p>
      <w:pPr>
        <w:ind w:left="340" w:hanging="166"/>
        <w:spacing w:after="0" w:line="180" w:lineRule="auto"/>
        <w:tabs>
          <w:tab w:leader="none" w:pos="340" w:val="left"/>
        </w:tabs>
        <w:numPr>
          <w:ilvl w:val="0"/>
          <w:numId w:val="1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Massive capital investment into hyperscale and edge data centers has created a very large market for back-up power that is supply-constrained, providing a significant growth opportunity for our newly introduced large-megawatt C&amp;I products.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●Growing demand for cleaner burning fuels:</w:t>
      </w:r>
    </w:p>
    <w:p>
      <w:pPr>
        <w:spacing w:after="0" w:line="9" w:lineRule="exact"/>
        <w:rPr>
          <w:sz w:val="20"/>
          <w:szCs w:val="20"/>
          <w:color w:val="auto"/>
        </w:rPr>
      </w:pPr>
    </w:p>
    <w:p>
      <w:pPr>
        <w:ind w:left="340" w:hanging="166"/>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and other alternative fuels are vital to the energy transition.</w:t>
      </w:r>
    </w:p>
    <w:p>
      <w:pPr>
        <w:spacing w:after="0" w:line="9" w:lineRule="exact"/>
        <w:rPr>
          <w:rFonts w:ascii="Times New Roman" w:cs="Times New Roman" w:eastAsia="Times New Roman" w:hAnsi="Times New Roman"/>
          <w:sz w:val="18"/>
          <w:szCs w:val="18"/>
          <w:color w:val="auto"/>
        </w:rPr>
      </w:pPr>
    </w:p>
    <w:p>
      <w:pPr>
        <w:ind w:right="1280" w:firstLine="174"/>
        <w:spacing w:after="0" w:line="250"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natural gas-fueled backup generators growing as homes and businesses desire cleaner-burning fuel sources of generation. ●Required investment in global infrastructure, driving demand for our products:</w:t>
      </w:r>
    </w:p>
    <w:p>
      <w:pPr>
        <w:ind w:left="340" w:hanging="166"/>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of aging and underinvested legacy infrastructure systems, such as energy production, telecommunications, transportation, and data centers.</w:t>
      </w:r>
    </w:p>
    <w:p>
      <w:pPr>
        <w:spacing w:after="0" w:line="9" w:lineRule="exact"/>
        <w:rPr>
          <w:rFonts w:ascii="Times New Roman" w:cs="Times New Roman" w:eastAsia="Times New Roman" w:hAnsi="Times New Roman"/>
          <w:sz w:val="18"/>
          <w:szCs w:val="18"/>
          <w:color w:val="auto"/>
        </w:rPr>
      </w:pPr>
    </w:p>
    <w:p>
      <w:pPr>
        <w:ind w:left="340" w:hanging="166"/>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investment for increasingly critical technology infrastructure as we transition to a more "connected" society.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Growth Themes: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Power quality issues continue to increase</w:t>
      </w:r>
      <w:r>
        <w:rPr>
          <w:rFonts w:ascii="Times New Roman" w:cs="Times New Roman" w:eastAsia="Times New Roman" w:hAnsi="Times New Roman"/>
          <w:sz w:val="18"/>
          <w:szCs w:val="18"/>
          <w:color w:val="auto"/>
        </w:rPr>
        <w:t>. Power disruptions are an important driver of consumer awareness for backup power and have historically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Energy storage systems offer similar resiliency advantages to consumers (at least for short duration power outages and for limited circuits) and demand for these products can benefit from these same awareness drivers. The optional standby market for C&amp;I power generation is also driven by power quality issues and the related need for backup power.</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impact of climate change has received increased global focus in recent years, and an aging and under-invested electrical grid infrastructure remains highly vulnerable to potentially more severe and volatile weather. Additionally, growth in renewable power sources (such as solar and wind) is resulting in increased intermittency of supply as traditional thermal generation assets are retired, further impairing the reliable supply of electricity. At the same time, power demand is expected to meaningfully accelerate due to (i) the rapid adoption of artificial intelligence and related data center energy requirements, (ii) the re-industrialization of North America, and (iii) the electrification of a wide range of consumer and commercial products, including transportation, HVAC systems, and other major appliances. These developments are causing a growing supply/demand imbalance for grid operators across the world, which has led to high-profile examples of rolling blackouts and calls for utility customers to reduce consumption to maintain grid integrity. In fact, the North American Electric Reliability Corporation has labeled significant portions of the United States and Canada as being at high or elevated risk of resource adequacy shortfalls in the 2025-2029 period due in part to these supply/demand dynamics. We believe utility supply shortfalls and related warnings may continue in the future, resulting in further power quality issues for the world’s electrical grid. Finally, certain utilities are adopting preventative power shutoff policies to reduce the risk of wildfires caused by their electrical distribution equipment, predominately in the western part of the United States. Taken together, we expect these factors to continue driving increased awareness of the need for backup power for homes and businesses which will continue to create demand for Generac’s products across the portfolio.</w:t>
      </w:r>
    </w:p>
    <w:p>
      <w:pPr>
        <w:sectPr>
          <w:pgSz w:w="11900" w:h="16838" w:orient="portrait"/>
          <w:cols w:equalWidth="0" w:num="1">
            <w:col w:w="11240"/>
          </w:cols>
          <w:pgMar w:left="320" w:top="121"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Home standby penetration opportunity is significant</w:t>
      </w:r>
      <w:r>
        <w:rPr>
          <w:rFonts w:ascii="Times New Roman" w:cs="Times New Roman" w:eastAsia="Times New Roman" w:hAnsi="Times New Roman"/>
          <w:sz w:val="18"/>
          <w:szCs w:val="18"/>
          <w:color w:val="auto"/>
        </w:rPr>
        <w:t>. Many potential customers are still not aware of the costs and benefits of automatic backup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With only approximately 6.75% penetration of the addressable market of homes in the United States (which we define as single-family detached, owner-occupied households with a home value of over $175,000, as defined by the U.S. Census Bureau's 2023 American Housing Survey for the United States), we believe there are significant opportunities to further penetrate the residential standby generator market both domestically and internationally. In addition to the mega-trends supporting growth of the category, we believe by expanding and developing our distribution network, continuing to invest in new product lines and technologies, and optimizing our marketing efforts, we can continue to build awareness and increase penetration for our home standby generators.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Substantial capital investments in new data centers and accelerating adoption of artificial intelligence. </w:t>
      </w:r>
      <w:r>
        <w:rPr>
          <w:rFonts w:ascii="Times New Roman" w:cs="Times New Roman" w:eastAsia="Times New Roman" w:hAnsi="Times New Roman"/>
          <w:sz w:val="18"/>
          <w:szCs w:val="18"/>
          <w:color w:val="auto"/>
        </w:rPr>
        <w:t>As a result of the development of artificial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intelligence and the expected benefits of this technology, there is significant capital investment being made to build out data center infrastructure, which is expected to further accelerate adoption of artificial intelligence capabilities. Backup power solutions are a necessary part of this substantial investment in data centers. Given the significant power requirements and the mission-critical nature of these data centers, demand for large backup power generators is expected to grow at a dramatic rate for the foreseeable future. Due to all of these factors, the market for large-megawatt backup generators has become significantly supply-constrained. This presents a very large incremental opportunity for our recently introduced large-megawatt diesel generator offering. As we continue to ramp our capacity and capabilities for large megawatt generators, we believe that we are well positioned to take share in this market over time given (i) our long-standing historical focus on backup power generation, (ii) our global presence in markets around the world, (iii) our ability to provide customized product solutions via our extensive sales, engineering, and project management resources, and (iv) our robust aftermarket support through a combination of direct service teams and our global service network provided by our industrial distributor partners. Given the scale and mission-critical nature of these applications, this level of support is necessary to capture market share and serve these customers. Additionally, we believe these large data center power loads will contribute to the growing supply/demand imbalance across the broader electrical grid, resulting in continued power quality issues and increased demand for backup power solutions for all homes and businesses. Finally, we believe the significant growth in data center power consumption will cause higher power prices, driving growth in the market for solar, storage, and intelligent energy management solutions.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Increasingly critical nature and growing power consumption of digital infrastructure</w:t>
      </w:r>
      <w:r>
        <w:rPr>
          <w:rFonts w:ascii="Times New Roman" w:cs="Times New Roman" w:eastAsia="Times New Roman" w:hAnsi="Times New Roman"/>
          <w:sz w:val="18"/>
          <w:szCs w:val="18"/>
          <w:color w:val="auto"/>
        </w:rPr>
        <w:t>. As the number of “connected” devices continues to rapidly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wireless networks are considered critical 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As more mission-critical data is transmitted over wireless networks, we believe the penetration rate of backup generators on cell towers must increase considerably to maintain a higher level of reliability across the network. We have relationships with key Tier 1 carriers and tower companies globally, in addition to having distribution partners to provide local service support to the global market. We believe these factors coupled with Generac’s ability to customize solutions to each customer’s needs help us to maintain our strength within the global telecommunications market.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Natural gas generators, a continuing growth opportunity</w:t>
      </w:r>
      <w:r>
        <w:rPr>
          <w:rFonts w:ascii="Times New Roman" w:cs="Times New Roman" w:eastAsia="Times New Roman" w:hAnsi="Times New Roman"/>
          <w:sz w:val="18"/>
          <w:szCs w:val="18"/>
          <w:color w:val="auto"/>
        </w:rPr>
        <w:t>. We believe natural gas will continue to be an important and cleaner transition fuel of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diesel, as the world continues to shift towards lower emission power generation sources. Demand for natural gas generators continues to represent an increasing portion of many C&amp;I end markets, as the benefits of natural gas power generation are very compelling relative to traditional diesel fueled generators for certain end users. We also continue to explore and expand our capabilities within new gaseous generator market opportunities, including continuous-duty, prime rated, distributed generation, demand response, microgrids, and overall use as a Distributed Energy Resource (DER) in areas where grid stability is needed. Many of these applications are made possible by our natural gas generators having the capability to participate in available grid services programs, helping to offset the purchase price of the equipment over the product’s lifespan. Expanding our natural gas product offering into larger power nodes is another way that we are increasing the addressable market for natural gas generators. As a leader in natural gas power generation, we believe we are well positioned to capitalize on this strategic growth theme.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Solar, storage, and energy management markets will continue to develop despite phasing out of government subsidies and incentives. </w:t>
      </w:r>
      <w:r>
        <w:rPr>
          <w:rFonts w:ascii="Times New Roman" w:cs="Times New Roman" w:eastAsia="Times New Roman" w:hAnsi="Times New Roman"/>
          <w:sz w:val="18"/>
          <w:szCs w:val="18"/>
          <w:color w:val="auto"/>
        </w:rPr>
        <w:t>We believe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utility landscape will undergo significant changes in the decade ahead due to accelerating demand growth, grid instability and power quality issues, environmental concerns, permitting challenges, and the continuing performance and cost improvements in renewable energy and energy storage technologies. Importantly, we expect that a confluence of factors will continue to drive power prices meaningfully higher in the future. As a result, on-site power generation from renewable sources and cleaner-burning natural gas generators are projected to become more prevalent as will the need to monitor, manage, and store this power – potentially developing into a significant market opportunity as utility customers seek alternative solutions to combat rising power prices. In addition, battery storage can also provide customers with another source of power resiliency for shorter duration outages.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Solar and storage markets have historically been supported by subsidies and investment tax credits for consumers and businesses to help advance the adoption of clean energy technologies. Further, production tax credits are being offered to businesses that meet certain domestic manufacturing requirements in the production of renewable energy products. On July 4, 2025, the United States signed into law the One Big Beautiful Bill Act (OBBBA). The OBBBA accelerates the phase-out of tax incentives for the solar market and includes certain domestic supply chain requirements to qualify for these incentives. While this phase-out of tax incentives will negatively impact the solar and storage markets in the near term, we believe the overall mega-trends that drive the solar, storage, and energy management markets will continue and provide sufficient incentive for long-term, value-creating investments for market participants in this space. Given the significant long-term market opportunity, we believe it is important to build out our capabilities in energy technology and continue to develop our residential ecosystem of products and solutions. In addition, we plan to leverage our strong competencies in the residential standby generator market to increase our market position in the residential solar, storage, and energy management markets.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Drivers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residential investment cycle. </w:t>
      </w:r>
      <w:r>
        <w:rPr>
          <w:rFonts w:ascii="Times New Roman" w:cs="Times New Roman" w:eastAsia="Times New Roman" w:hAnsi="Times New Roman"/>
          <w:sz w:val="18"/>
          <w:szCs w:val="18"/>
          <w:color w:val="auto"/>
        </w:rPr>
        <w:t>The market for our residential products is affected by the residential investment cycle and overall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confidence and sentiment. When homeowners are confident of their household income, the value of their home and overall net worth, they are more likely to invest in their home. These trends can have an impact on demand for residential generators, solar and energy storage systems, and energy management devices. Trends in interest rates and the new housing market, highlighted by residential housing starts, can also impact demand for these products. Demand for outdoor power equipment is also impacted by several of these factors, as well as weather patterns. The existence of renewable energy mandates, investment tax credits, and other subsidies can also have an impact on the demand for solar and energy storage systems. The “One Big Beautiful Bill Act” (OBBBA) that was enacted in the United States in July 2025 accelerated the phase out of certain investment tax credits, resulting in a negative impact to the solar &amp; storage market thereafter.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business capital investment and other economic cycles. </w:t>
      </w:r>
      <w:r>
        <w:rPr>
          <w:rFonts w:ascii="Times New Roman" w:cs="Times New Roman" w:eastAsia="Times New Roman" w:hAnsi="Times New Roman"/>
          <w:sz w:val="18"/>
          <w:szCs w:val="18"/>
          <w:color w:val="auto"/>
        </w:rPr>
        <w:t>The global market for our C&amp;I products is affected by different capital investment cycles,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vary widely across the different regions and markets that we serve.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our products. The capital investment cycle may differ for the various C&amp;I end markets that we serve, including data centers, light commercial, retail, office, telecommunications, rental, industrial, healthcare, construction, oil &amp; gas and municipal infrastructure, among others. The market for these products is also affected by general economic conditions around the world, fluctuations in interest rates &amp; foreign currencies, trade policies, and geopolitical matters and conflicts in the various countries where we serve, as well as credit availability in those regions.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Effect of commodity, currency, component price fluctuations, and resource availability. </w:t>
      </w:r>
      <w:r>
        <w:rPr>
          <w:rFonts w:ascii="Times New Roman" w:cs="Times New Roman" w:eastAsia="Times New Roman" w:hAnsi="Times New Roman"/>
          <w:sz w:val="18"/>
          <w:szCs w:val="18"/>
          <w:color w:val="auto"/>
        </w:rPr>
        <w:t>Industry-wide price fluctuations of key commodities, such as steel,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copper and aluminum, along with other components we use in our products, as well as changes in labor costs required to produce our products, can have a material impact on our results of operations. Acquisitions in recent years have increased our use of advanced electronic components and battery cells that can fluctuate in terms of pricing and availability. Our international operations, along with our existing global supply chain, expose us to fluctuations in foreign currency exchange rates and regulatory tariffs that can also have a material impact on our results of operations.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Commodity, currency, and component price levels are increasingly subject to geopolitical uncertainty, including ongoing regional conflicts, shifts in U.S. and international trade policies, and the potential for new or increased tariffs. These factors, along with increased demand from data centers, have contributed to heightened volatility in commodity prices, particularly for raw materials such as steel, copper, and aluminum. Additionally, geopolitical instability can contribute to significant fluctuations in foreign currency exchange rates which can impact our reported financial performance from our foreign operations and supply chain.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Tariffs and international trade relations. </w:t>
      </w:r>
      <w:r>
        <w:rPr>
          <w:rFonts w:ascii="Times New Roman" w:cs="Times New Roman" w:eastAsia="Times New Roman" w:hAnsi="Times New Roman"/>
          <w:sz w:val="18"/>
          <w:szCs w:val="18"/>
          <w:color w:val="auto"/>
        </w:rPr>
        <w:t>Given our global supply chain and international operations, our business is impacted by tariffs and other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U.S. trade policy and international trade relations. For example, starting in the first quarter of 2025, the United States government enacted additional tariffs on goods imported into the U.S. from numerous countries, and certain countries announced tariffs on U.S. goods. Some of these tariffs have been subsequently modified or delayed, and the U.S. government has also stated it is willing to negotiate with respect to the tariffs it has enacted.</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price increases across many of our product offerings and are executing a number of supply chain initiatives to attempt to mitigate the impact of these tariffs on our profitability. Despite our efforts, these tariff actions and resulting price increases have created inflationary pressures for consumers, negatively impacting demand and margins for certain of our products. As U.S. trade policy continues to evolve, we will continue to evaluate the impact of future tariffs and take actions to mitigate and/or minimize their effects.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20, 2026, the U.S. Supreme Court issued a decision invalidating tariffs imposed under the International Emergency Economic Powers Act (“IEEPA”). This ruling may allow for the recovery of IEEPA tariff amounts previously paid. The ruling leaves uncertainties regarding the timing and administration of any potential IEEPA tariff refunds by the U.S. government, and may be subject to further legal and regulatory developments.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and duration of the tariffs and the resulting impact on general economic conditions and on our business, including potential IEEPA tariff refunds, continues to be uncertain. If refunds are received in future periods, they could have a favorable impact on cash flows and results of operations in the period of receipt or realization. However, we cannot reasonably estimate the amount or timing of these refunds, and therefore have not reflected a related receivable as of March 31, 2026.</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Although there is demand for our products throughout the year, in each of the past five years, approximately 20% to 25% of our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in the first quarter, 23% to 28% in the second quarter, 24% to 27% in the third quarter, and 23% to 29% in the fourth quarter, with different seasonality depending primarily on the occurrence, timing and severity of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 The second half of 2025 represented a very low level of baseline power outage activity, impacting demand for our residential products and resulting in quarterly net sales being more evenly distributed compared to our historical averages.</w:t>
      </w:r>
    </w:p>
    <w:p>
      <w:pPr>
        <w:sectPr>
          <w:pgSz w:w="11900" w:h="16838" w:orient="portrait"/>
          <w:cols w:equalWidth="0" w:num="1">
            <w:col w:w="11240"/>
          </w:cols>
          <w:pgMar w:left="320" w:top="121" w:right="339" w:bottom="609"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Over the years, we have executed a number of acquisitions that support our strategic plan. A summary of the recent acquisitions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 in Note 1, “Description of Business and Basis of Presentation,” to the condensed consolidated financial statements in Item 1 of this Quarterly Report on Form 10-Q and in Item 8 (Note 1, “Description of Business”) of the Annual Report on Form 10-K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can be impacted by a variety of factors, including market fluctuations in SOFR, interest rate election periods, interest rate swap agreements, repayments or borrowings of indebtedness, and amendments to our credit agreements. Refer to Note 12, “Credit Agreements,” to the condensed consolidated financial statements included in Item 1 of this Quarterly Report on Form 10-Q for further information. The year-over-year decrease in interest expense in the current period was primarily driven by lower borrowings and lower interest rates compared to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2025, we amended our Term Loan A Facility and Revolving Credit Facility, extending the maturity of both to July 1, 2030, revising the Term Loan A Facility outstanding principal balance to $700,000, reducing the Revolving Credit Facility borrowing capacity to $1,000,000, and redefining the Term Benchmark to replace the Adjusted Term SOFR Rate with the Term SOFR Rate, resulting in an interest rate reduction of 0.10%.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Provision for Income Taxes and Cash Income Taxes Paid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rates for the three months ended March 31, 2026 and 2025 were 24.4% and 24.3%, respectively. The slight increase in effective tax rate was due primarily to certain discrete items and their impact on higher pre-tax income in the quarter.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United States signed the “One Big Beautiful Bill Act” (OBBBA) into law. This legislation makes permanent several key provisions of the Tax Cuts and Jobs Act, including 100% bonus depreciation and the immediate expensing of domestic research and development costs. Under ASC 740, “Income Taxes,” the effects of changes in tax laws are reflected in the Company’s financial statements in the quarter in which the legislation was passed. We continue to expect cash tax savings from the bonus depreciation and domestic research and development expensing. These changes did not have a material impact on our effective income tax rate for the first quarter or the estimated annual effective tax rate for 2026 as the changes relate to temporary differences in basis.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the Organization for Economic Cooperation and Development (OECD) released a new package of administrative guidance that effectively deems the United States tax system as compliant with Pillar Two, which is expected to eliminate additional top-up taxes across our global operations. This updated guidance package does not exempt us from Qualified Domestic Minimum Top-Up Taxes in foreign jurisdictions. As a result, we expect our cash taxes paid to remain subject to local minimum tax regimes where applicable. There was no impact to our financial results during the quarter, and we do not expect the rules to have a material impact on our effective tax rate for the year. We continue to monitor OECD and foreign jurisdictions developments and will update our future tax provisions accordingly.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w:t>
      </w:r>
      <w:r>
        <w:rPr>
          <w:rFonts w:ascii="Times New Roman" w:cs="Times New Roman" w:eastAsia="Times New Roman" w:hAnsi="Times New Roman"/>
          <w:sz w:val="18"/>
          <w:szCs w:val="18"/>
          <w:i w:val="1"/>
          <w:iCs w:val="1"/>
          <w:color w:val="auto"/>
        </w:rPr>
        <w:t>March 31, 2026</w:t>
      </w:r>
      <w:r>
        <w:rPr>
          <w:rFonts w:ascii="Times New Roman" w:cs="Times New Roman" w:eastAsia="Times New Roman" w:hAnsi="Times New Roman"/>
          <w:sz w:val="18"/>
          <w:szCs w:val="18"/>
          <w:b w:val="1"/>
          <w:bCs w:val="1"/>
          <w:i w:val="1"/>
          <w:iCs w:val="1"/>
          <w:color w:val="auto"/>
        </w:rPr>
        <w:t>, compared to the three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information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942,121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(25,124)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2026, we announced our plan to reorganize our two reportable segments to better align the organization with our enterprise strategy, effective March 31, 2026 (the Reorganization). Prior to the Reorganization, our reportable segments were Domestic and International. As a result of the Reorganization, our new reportable segments are Residential and C&amp;I. The Residential segment consists of the former Domestic segment, excluding the domestic C&amp;I operations. The C&amp;I segment consists of the operations of the former International segment with the addition of the domestic C&amp;I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for the prior periods has been recast to conform to the current presentation.</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set forth our reportable segment information for the periods indicated: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Sales by Reportable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549,316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543,115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510,049</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399,006</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1,059,365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942,121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1"/>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Total Sales by Reportable Segment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gridSpan w:val="10"/>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5"/>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External Net</w:t>
            </w:r>
          </w:p>
        </w:tc>
        <w:tc>
          <w:tcPr>
            <w:tcW w:w="1440" w:type="dxa"/>
            <w:vAlign w:val="bottom"/>
            <w:tcBorders>
              <w:top w:val="single" w:sz="8" w:color="auto"/>
            </w:tcBorders>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Intersegment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549,316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552,183</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543,115</w:t>
            </w: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548,663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510,049</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399,006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399,006</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1,059,365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1,059,365</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942,121</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942,121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 EBITDA by</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Reportable Segment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7"/>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138,585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111,589</w:t>
            </w:r>
          </w:p>
        </w:tc>
        <w:tc>
          <w:tcPr>
            <w:tcW w:w="380" w:type="dxa"/>
            <w:vAlign w:val="bottom"/>
            <w:tcBorders>
              <w:lef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45,346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Adjusted EBITDA</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193,481</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149,546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Residential segment total sales increased approximately 1% to $552 million as compared to $549 million in the prior year. This sales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portable generator shipments, partially offset by a decline in energy storage system sales. Home standby generator sales were approximately flat as higher pricing in the current year was offset by lower volumes due to a strong prior year period that included the benefit from a substantial 2024 hurricane season.</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&amp; Industrial segment total sales increased approximately 28% to $510 million from $399 million in the prior year quarter, including an approximate 10% net favorable impact from the combination of acquisitions, divestitures, and foreign currency. The core total sales growth for the segment was primarily driven by revenue from products sold to global data center customers, increased shipments to our domestic industrial distributor and rental channels, and higher sales of our controls solutions to the global power generation market.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net contribution from non-annualized acquisitions &amp; divestitures for the first quarter of 2026 was $18.0 million, primarily in the Commercial &amp; Industrial segment.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was 38.7% as compared to 39.5% in the prior-year first quarter. The decrease in gross margin was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sales mix. In addition, higher input costs, including the impact of tariffs and commodities, were more than offset by increased price realization.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$4.6 million, or 2%, compared to the first quarter of 2025. The increase was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intangible amortization.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The reduction in other expense, net was driven primarily by a decrease in the loss on the change in fair value of our investment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and equity securities of Wallbox N.V. This was partially offset by the net impact of two immaterial business dispositions that closed in the current year quarter.</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for the current year quarter was $23.6 million, or an effective tax rate of 24.4%,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 million, or a 24.3% effective tax rate, for the prior quarter. The slight increase in effective tax rate was primarily due to certain discrete items and their impact on higher pre-tax income relative to the prior year quarter.</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Generac Holdings Inc. </w:t>
      </w:r>
      <w:r>
        <w:rPr>
          <w:rFonts w:ascii="Times New Roman" w:cs="Times New Roman" w:eastAsia="Times New Roman" w:hAnsi="Times New Roman"/>
          <w:sz w:val="18"/>
          <w:szCs w:val="18"/>
          <w:color w:val="auto"/>
        </w:rPr>
        <w:t>Net income attributable to the Company during the first quarter was $73 million, or $1.24 per share,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$44 million, or $0.73 per share, for the same period of 2025.</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for the Residential segment was $138.6 million, or 25.1% of residential segment total sales, as compared to $111.6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20.3% of residential sales, in the prior year. This margin increase was primarily driven by operational efficiencies resulting in lower operating expenses and favorable price realization that more than offset higher input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Commercial &amp; Industrial segment, before deducting for noncontrolling interests, was $66.5 million, or 13.0% of C&amp;I total sales, as compared to $45.3 million, or 11.4% of total sales, in the prior year. This margin increase was primarily driven by improved price/cost realization, the accretive impact of the Allmand acquisition, and operating leverage on higher shipment volumes.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Adjusted net income attributable to the Company, as defined in the accompanying non-GAAP measures reconciliation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$106 million in the current year first quarter as compared to $75 million in the prior-year. This increase was primarily driven by higher net income in the current period as outlined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“Non-GAAP Measures” for a discussion of how we calculate Adjusted EBITDA and Adjusted Net Income and the limitations on their usefulness.</w:t>
      </w:r>
    </w:p>
    <w:p>
      <w:pPr>
        <w:sectPr>
          <w:pgSz w:w="11900" w:h="16838" w:orient="portrait"/>
          <w:cols w:equalWidth="0" w:num="1">
            <w:col w:w="11240"/>
          </w:cols>
          <w:pgMar w:left="320" w:top="108" w:right="339" w:bottom="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primary cash requirements include payment for raw materials and components, salaries and benefits, facility and lease costs, operating expenses, interest and principal payments on debt, and capital expenditures. We finance our operations primarily from cash flow generated from operations and, if necessary, borrowings under our revolving credit facility.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 2025, we amended our Original Tranche A Term Loan Facility and Original Revolving Facility (Prior Amended Credit Agreement), extending the maturity of both to July 1, 2030, revising the Original Tranche A Term Loan Facility outstanding principal balance to $700 million (New Tranche A Term Loan Facility), reducing the Original Revolving Facility borrowing capacity to $1 billion (New Revolving Facility) (collectively the New Credit Agreements) and redefining the Term Benchmark (as defined in the Prior Amended Credit Agreement) to replace the Adjusted Term SOFR Rate (as defined in the Prior Amended Credit Agreement) with the Term SOFR Rate (as defined in the New Credit Agreements), resulting in an interest rate reduction of 0.10%. The New Tranche A Term Loan Facility is repayable in increasing quarterly installments over time, equal to 0.625% to 2.50% of the original principal amount, beginning on October 1, 2026. The New Tranche A Term Loan Facility and the New Revolving Facility bear interest at a rate based on SOFR plus an applicable margin between 1.25% and 1.75%, both based on our total leverage ratio and subject to a SOFR floor of 0.0%. As of March 31, 2026, the interest rate for the New Tranche A Term Loan Facility and the New Revolving Facility is 4.92%.</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470-50, we capitalized $5.3 million of debt issuance costs related to this refinancing transaction. Additionally, we wrote-off certain unamortized deferred financing costs related to the Original Revolving Facility of $0.4 million and expensed $0.8 million of third-party fees as a loss on refinancing of debt.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$492.5 million outstanding under the Term Loan B Facility, $700 million outstanding under the New Tranche A Term Loan Facility, and no borrowings on the New Revolving Facility, leaving $999.3 million of unused capacity, net of outstanding letters of credit.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Loan B Facility bears interest at the adjusted SOFR rate plus an applicable margin of 1.75%, subject to a SOFR floor of 0.0%. As of March 31, 2026, the interest rate for the Term Loan B Facility was 5.42%. The Term Loan B Facility does not require an Excess Cash Flow payment (as defined in the Term Loan B Facility credit agreement) if our net secured leverage ratio is maintained below 3.75 to 1.00. As of March 31, 2026, our net secured leverage ratio was 1.31 to 1.00, and we were in compliance with all covenants of the facility. There are no financial maintenance covenants on the Term Loan B Facility. The New Tranche A Term Loan Facility and the New Revolving Facility contain certain financial covenants that require us to maintain a total leverage ratio below 3.75 to 1.00, as well as an interest coverage ratio above 3.00 to 1.00. As of March 31, 2026, our total leverage ratio was 1.37 to 1.00, and our interest coverage ratio was 12.98 to 1.00. We were also in compliance with all other covenants of the New Credit Agreements as of March 31, 2026.</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12, 2024, our Board of Directors approved a stock repurchase program that allowed for the repurchase of up to $500.0 million of our common stock over a twenty-four-month period. Additionally, on February 9, 2026, our Board of Directors approved a new stock repurchase program that allows for the repurchase of up to $500.0 million of our common stock over the next twenty-four months. The new program replaces the prior share repurchase program, which had approximately $199.3 million remaining available for repurchase when the new program was approved. Pursuant to the approved program, we may repurchase our common stock from time to time, in amounts and at prices we deem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our credit agreements. The repurchases may be funded with cash on hand, available borrowings, or proceeds from potential debt or other capital markets sources. The stock repurchase program may be suspended or discontinued at any time without prior notice. As of March 31, 2026, the remaining unused buyback authorization under the current program was $500 million.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share repurchases under the program during the first quarter of 2026. During the first quarter of 2025, w e repurchased 716,685 shares of common stock for $97.5 million. We have periodically reissued shares out of Treasury stock, including for acquisition contingent consideration payments.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Note 12, “Credit Agreements,” and Note 13, "Stock Repurchase Program," to the condensed consolidated financial statements included in Item 1 of this Quarterly Report on Form 10-Q for more information on our credit agreements and stock repurchase programs.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arrangement with a finance company to provide floor plan financing for qualifying dealers. This arrangement provides liquidity for our dealers by financing dealer purchases of Generac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 Total dealer purchases financed under this arrangement accounted for approximately 11% and 15% of net sales for the three months ended March 31, 2026 and 2025, respectively. The amount financed by dealers which remained outstanding under this arrangement was $162.3 million and $149.7 million as of March 31, 2026, and December 31,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total liquidity of $1,264.8 million which consists of $265.5 million of cash and cash equivalents and $999.3 million of availability under our New Revolving Facility.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cash and cash equivalents, cash flow from operations, and availability under our New Revolving Facility and other short-term lines of credit will provide us with sufficient capital to continue to run our operations. We may use a portion of our cash flow for debt repayments and common stock buybacks, impacting the amount available for working capital, capital expenditures, acquisitions, and other general corporate purposes. As we continue to expand our business, we may require additional capital to fund other initiatives that could potentially drive incremental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w:t>
      </w:r>
      <w:r>
        <w:rPr>
          <w:rFonts w:ascii="Times New Roman" w:cs="Times New Roman" w:eastAsia="Times New Roman" w:hAnsi="Times New Roman"/>
          <w:sz w:val="18"/>
          <w:szCs w:val="18"/>
          <w:i w:val="1"/>
          <w:iCs w:val="1"/>
          <w:color w:val="auto"/>
        </w:rPr>
        <w:t>March 31, 2026</w:t>
      </w:r>
      <w:r>
        <w:rPr>
          <w:rFonts w:ascii="Times New Roman" w:cs="Times New Roman" w:eastAsia="Times New Roman" w:hAnsi="Times New Roman"/>
          <w:sz w:val="18"/>
          <w:szCs w:val="18"/>
          <w:b w:val="1"/>
          <w:bCs w:val="1"/>
          <w:i w:val="1"/>
          <w:iCs w:val="1"/>
          <w:color w:val="auto"/>
        </w:rPr>
        <w:t xml:space="preserve">, compared to the </w:t>
      </w:r>
      <w:r>
        <w:rPr>
          <w:rFonts w:ascii="Times New Roman" w:cs="Times New Roman" w:eastAsia="Times New Roman" w:hAnsi="Times New Roman"/>
          <w:sz w:val="18"/>
          <w:szCs w:val="18"/>
          <w:i w:val="1"/>
          <w:iCs w:val="1"/>
          <w:color w:val="auto"/>
        </w:rPr>
        <w:t>three</w:t>
      </w:r>
      <w:r>
        <w:rPr>
          <w:rFonts w:ascii="Times New Roman" w:cs="Times New Roman" w:eastAsia="Times New Roman" w:hAnsi="Times New Roman"/>
          <w:sz w:val="18"/>
          <w:szCs w:val="18"/>
          <w:b w:val="1"/>
          <w:bCs w:val="1"/>
          <w:i w:val="1"/>
          <w:iCs w:val="1"/>
          <w:color w:val="auto"/>
        </w:rPr>
        <w:t xml:space="preserv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by category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(33,539)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(119,719)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operating cash flows for the three months ended March 31, 2026 was primarily driven by higher operating earnings and a lower use of cash for working capital as compared to the prior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$153.8 million net cash used in investing activities for the three months ended March 31, 2026 primarily represents cash payments of $29.4 million related to the purchase of property and equipment, $122.8 million for the acquisition of Allmand, and $1.5 million related to other investing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$33.5 million net cash used in investing activities for the three months ended March 31, 2025 primarily represents cash payments of $30.9 million related to the purchase of property and equipment, and $2.7 million for the purchase of long-term investments.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$41.4 million net cash used in financing activities for the three months ended March 31, 2026 primarily represents proceeds of $14.1 million from short-term borrowings, $0.2 million from long-term borrowings, and $7.2 million from the exercise of stock options. These cash proceeds were more than offset by $27.2 million of debt repayments ($21.0 million of short-term borrowings and $6.2 million of long-term borrowings and finance lease obligations), $34.6 million for taxes paid related to equity awards, and $1.1 million for payments of deferred acquisition consideration.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$119.7 million net cash used in financing activities for the three months ended March 31, 2025 primarily represents proceeds of $19.2 million from short-term borrowings, $0.9 million from long-term borrowings, and $0.6 million from the exercise of stock options. These cash proceeds were more than offset by $34.4 million of debt repayments ($20.0 million of short-term borrowings and $14.4 million of long-term borrowings and finance lease obligations), $97.5 million of share repurchases, and $8.6 million for taxes paid related to equity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between the February 18, 2026, filing of our Annual Report on Form 10-K for the year ended December 31, 2025, and March 31, 2026, except for the changes in outstanding borrowings and interest rates as discussed in Note 12, “Credit Agreements,” to the condensed consolidated financial statements included in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2025, in preparing the financial statements in accordance with GAAP, management is required to make estimates and assumptions that have an impact on the asset, liability, revenue and expense amounts reported. These estimates can also affect supplemental information disclosures of the Company, including information about contingencies, risk and financial condition. The Company believes, given current facts and circumstances, its estimates and assumptions are reasonable, adhere to U.S. GAAP, and are consistently applied. Inherent in the nature of an estimate or assumption is the fact that actual results may differ from estimates, and estimates may vary as new facts and circumstances arise. The Company makes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and income taxes.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changes described within Note 9, "Goodwill," to the condensed consolidated financial statements included in Item 1 of this Quarterly Report on Form 10-Q, there have been no material changes in our critical accounting policies since the February 18, 2026, filing of our Annual Report on Form 10-K for the year ended December 31, 2025.</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in accordance with U.S. GAAP, the Company provides the computation of Adjusted EBITDA attributable to the Company, which is defined as net income before noncontrolling interests adjusted for the following items: interest expense, depreciation expense, amortization of intangible assets, income tax expense,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other specific provisions, mark-to-market gains and losses on a minority investment, and Adjusted EBITDA attributable to noncontrolling interests. The provision for legal and regulatory charges adjusts for matters that are not part of the ordinary routine litigation or regulatory matters incidental to the Company's business, including but not limited to class action lawsuits, government inquiries, and certain intellectual property litigation. The adjustments to net income in computing Adjusted EBITDA are set forth in the reconciliation table below. The computation of Adjusted EBITDA is based primarily on the definition included in our New and Prior Credit Agreements.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certain items that we do not believe are indicative of our core operating performance. Our management uses Adjusted EBITDA:</w:t>
      </w:r>
    </w:p>
    <w:p>
      <w:pPr>
        <w:spacing w:after="0" w:line="176" w:lineRule="exact"/>
        <w:rPr>
          <w:sz w:val="20"/>
          <w:szCs w:val="20"/>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 and developing and refining our internal projections for future periods;</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target for the determination of the bonus component of compensation for our senior executives under our management incentive plan, as described further in our proxy statement;</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business strategies and as a tool in evaluating our performance against our budget for each period;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and investors concerning our financial performance.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spacing w:after="0" w:line="180" w:lineRule="exact"/>
        <w:rPr>
          <w:sz w:val="20"/>
          <w:szCs w:val="20"/>
          <w:color w:val="auto"/>
        </w:rPr>
      </w:pPr>
    </w:p>
    <w:p>
      <w:pPr>
        <w:jc w:val="both"/>
        <w:ind w:left="980" w:hanging="324"/>
        <w:spacing w:after="0" w:line="257"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can use Adjusted EBITDA as a supplemental measure to evaluate the overall operating performance of our Company, including our ability to service our debt and other cash needs; and</w:t>
      </w:r>
    </w:p>
    <w:p>
      <w:pPr>
        <w:ind w:left="980" w:hanging="324"/>
        <w:spacing w:after="0" w:line="26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comparing our Adjusted EBITDA in different historical periods, our investors can evaluate our operating performance excluding the impact of items described below.</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presented to illustrate the operating performance of our business in a manner consistent with the presentation used by our management and Board of Directors. These adjustments eliminate the impact of a number of items that:</w:t>
      </w:r>
    </w:p>
    <w:p>
      <w:pPr>
        <w:spacing w:after="0" w:line="162" w:lineRule="exact"/>
        <w:rPr>
          <w:sz w:val="20"/>
          <w:szCs w:val="20"/>
          <w:color w:val="auto"/>
        </w:rPr>
      </w:pPr>
    </w:p>
    <w:p>
      <w:pPr>
        <w:jc w:val="both"/>
        <w:ind w:left="980" w:hanging="324"/>
        <w:spacing w:after="0" w:line="25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consider indicative of our ongoing operating performance, such as non-cash write-downs and other charges, non-cash gains, write-offs relating to the retirement of debt, severance costs and other restructuring-related business optimization expenses, certain other specific provisions, and mark-to-market gains and losses on a minority investment;</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to be akin to, or associated with, interest expense, such as administrative agent fees, revolving credit facility commitment fees and letter of credit fees;</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non-cash in nature, such as share-based compensation; or</w:t>
      </w:r>
    </w:p>
    <w:p>
      <w:pPr>
        <w:spacing w:after="0" w:line="9" w:lineRule="exact"/>
        <w:rPr>
          <w:rFonts w:ascii="Times New Roman" w:cs="Times New Roman" w:eastAsia="Times New Roman" w:hAnsi="Times New Roman"/>
          <w:sz w:val="18"/>
          <w:szCs w:val="18"/>
          <w:color w:val="auto"/>
        </w:rPr>
      </w:pPr>
    </w:p>
    <w:p>
      <w:pPr>
        <w:ind w:left="980" w:right="620" w:hanging="324"/>
        <w:spacing w:after="0" w:line="255"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legal and regulatory charges adjusts for matters that are significant and not part of the ordinary routine litigation or regulatory matters incidental to the Company’s business, including but not limited to large suits and settlements, class action lawsuits, government inquiries, and certain intellectual property litigation.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explain in more detail in the footnotes to the table below, why we believe these adjustments are useful in calculating Adjusted EBITDA as a measure of our operating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capital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requirements necessary to service interest or principal payments on our debt;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jc w:val="both"/>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ectPr>
          <w:pgSz w:w="11900" w:h="16838" w:orient="portrait"/>
          <w:cols w:equalWidth="0" w:num="1">
            <w:col w:w="11240"/>
          </w:cols>
          <w:pgMar w:left="320" w:top="121" w:right="339" w:bottom="609"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noted above, one of our uses of Adjusted EBITDA is as a target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in the context of the Board's review of our financial statements, and certification by our Chief Financial Officer in a compliance certificate provided to the lenders under our New and Prior Credit Agreements, this discretion may be viewed as an additional limitation on the use of Adjusted EBITDA as an analytical tool.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attributable to Generac Holdings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73,253</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46,141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write-down and other adjustments (a)</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 (b)</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and credit facility fees (c)</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(d)</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other costs (e)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investments (f)</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attributable to noncontrolling interests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attributable to Generac Holdings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3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non-cash charges, gains, and other adjustments: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We believe that adjusting net income for these items is useful for the following reasons:</w:t>
      </w:r>
    </w:p>
    <w:p>
      <w:pPr>
        <w:spacing w:after="0" w:line="179" w:lineRule="exact"/>
        <w:rPr>
          <w:rFonts w:ascii="Times New Roman" w:cs="Times New Roman" w:eastAsia="Times New Roman" w:hAnsi="Times New Roman"/>
          <w:sz w:val="18"/>
          <w:szCs w:val="18"/>
          <w:color w:val="auto"/>
        </w:rPr>
      </w:pPr>
    </w:p>
    <w:p>
      <w:pPr>
        <w:ind w:left="300" w:right="420" w:hanging="4"/>
        <w:spacing w:after="0" w:line="261" w:lineRule="auto"/>
        <w:tabs>
          <w:tab w:leader="none" w:pos="4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on disposals of assets and sales of certain investments result from the sale of assets that are no longer useful in our business and therefore represent gains/losses that are not from our core operations;</w:t>
      </w:r>
    </w:p>
    <w:p>
      <w:pPr>
        <w:ind w:left="300" w:right="120" w:hanging="4"/>
        <w:spacing w:after="0" w:line="250" w:lineRule="auto"/>
        <w:tabs>
          <w:tab w:leader="none" w:pos="4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 and</w:t>
      </w:r>
    </w:p>
    <w:p>
      <w:pPr>
        <w:spacing w:after="0" w:line="1" w:lineRule="exact"/>
        <w:rPr>
          <w:rFonts w:ascii="Times New Roman" w:cs="Times New Roman" w:eastAsia="Times New Roman" w:hAnsi="Times New Roman"/>
          <w:sz w:val="18"/>
          <w:szCs w:val="18"/>
          <w:color w:val="auto"/>
        </w:rPr>
      </w:pPr>
    </w:p>
    <w:p>
      <w:pPr>
        <w:ind w:left="300"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accounting adjustments represent non-cash items to reflect fair value of certain assets at the date of acquisition, and therefore do not reflect our ongoing operations. Fair value adjustments to contingent consideration obligations related to business acquisitions are added back as they are akin to purchase price.</w:t>
      </w:r>
    </w:p>
    <w:p>
      <w:pPr>
        <w:spacing w:after="0" w:line="185" w:lineRule="exact"/>
        <w:rPr>
          <w:rFonts w:ascii="Times New Roman" w:cs="Times New Roman" w:eastAsia="Times New Roman" w:hAnsi="Times New Roman"/>
          <w:sz w:val="18"/>
          <w:szCs w:val="18"/>
          <w:color w:val="auto"/>
        </w:rPr>
      </w:pPr>
    </w:p>
    <w:p>
      <w:pPr>
        <w:ind w:firstLine="8"/>
        <w:spacing w:after="0" w:line="282" w:lineRule="auto"/>
        <w:tabs>
          <w:tab w:leader="none" w:pos="3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Prior and New Credit Agreement.</w:t>
      </w:r>
    </w:p>
    <w:p>
      <w:pPr>
        <w:spacing w:after="0" w:line="17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other restructuring charges related to the consolidation of certain operating facilities and organizational functions.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significant litigation, regulatory, and other matters that are not indicative of our ongoing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 judgements and settlements related to certain patent lawsuits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expenses, judgements and settlements related to certain class action lawsuits</w:t>
            </w:r>
          </w:p>
        </w:tc>
        <w:tc>
          <w:tcPr>
            <w:tcW w:w="9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 related to certain government inquiries and other significant matters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Release of warranty provision recorded in 2022 to address clean energy warranty-related matters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legal, regulatory and other matters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540" w:firstLine="37"/>
        <w:spacing w:after="0" w:line="282" w:lineRule="auto"/>
        <w:tabs>
          <w:tab w:leader="none" w:pos="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gains and losses primarily from changes in the fair value of the Company's investment in Wallbox N.V. warrants and equity securities.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year loss relates primarily to two immaterial business dispositions that closed in the first quarter of 2026.</w:t>
      </w:r>
    </w:p>
    <w:p>
      <w:pPr>
        <w:sectPr>
          <w:pgSz w:w="11900" w:h="16838" w:orient="portrait"/>
          <w:cols w:equalWidth="0" w:num="1">
            <w:col w:w="11240"/>
          </w:cols>
          <w:pgMar w:left="320" w:top="121" w:right="33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further supplement our condensed consolidated financial statements in accordance with U.S. GAAP, we provide the computation of Adjusted Net Income attributable to the Company, which is defined as net income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other specific provisions, mark-to-market gains and losses on a minority investment, other non-cash gains and losses, and adjusted net income attributable to non-controlling interests, as set forth in the reconciliation table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2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Net Income does not reflect any cash requirements for such replacements; and</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Net Income differently than we do, limiting its usefulness as a comparative measure.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 attributable to Generac Holdings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73,253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other purchase accounting adjustments (a)</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business or asset dispositions (c)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(b)</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other costs (b)</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investments (b)</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9,947</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add backs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75,804</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noncontrolling interests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 attributable to Generac Holdings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75,366</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per common share attributable to Generac Holdings Inc.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59,233,144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59,747,589</w:t>
            </w:r>
          </w:p>
        </w:tc>
      </w:tr>
    </w:tbl>
    <w:p>
      <w:pPr>
        <w:spacing w:after="0" w:line="198" w:lineRule="exact"/>
        <w:rPr>
          <w:sz w:val="20"/>
          <w:szCs w:val="20"/>
          <w:color w:val="auto"/>
        </w:rPr>
      </w:pPr>
    </w:p>
    <w:p>
      <w:pPr>
        <w:ind w:firstLine="8"/>
        <w:spacing w:after="0" w:line="282" w:lineRule="auto"/>
        <w:tabs>
          <w:tab w:leader="none" w:pos="2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and certain purchase accounting and contingent consideration adjustments.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net income to Adjusted EBITDA attributable to Generac Holdings Inc. above.</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year loss relates primarily to two immaterial business dispositions that closed in the first quarter of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“Description of Business and Basis of Presentation,” to the condensed consolidated financial statements for further information on the new accounting standards applicable to the Company.</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 to Note 4, “Derivative Instruments and Hedging Activities,” to the condensed consolidated financial statements for a discussion of the Wallbox warrant derivative instruments, changes in commodity, currency and interest rate related risks, and other hedging activities. Otherwise, there have been no material changes in market risk from the information provided in Item 7A (Quantitative and Qualitative Disclosures About Market Risk) of our Annual Report on Form 10-K for the year ended December 31, 2025.</w:t>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our disclosure controls and procedures, as such term is defined under Rule 13a-15(e) or 15d-15(e) promulgated under the Securities Exchange Act of 1934, as amended, or the Exchange Act. Based on this evaluation, our principal executive officer and our principal financial officer concluded that our disclosure controls and procedures were effective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three months ended March 31, 2026 in our internal control over financial reporting (as defined in Exchange Act Rule 13a-15(f))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16, "Commitments and Contingencies," to the condensed consolidated financial statements for further information on the Company's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1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1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5803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390" cy="8890"/>
                    </a:xfrm>
                    <a:prstGeom prst="rect">
                      <a:avLst/>
                    </a:prstGeom>
                    <a:noFill/>
                  </pic:spPr>
                </pic:pic>
              </a:graphicData>
            </a:graphic>
          </wp:anchor>
        </w:drawing>
      </w:r>
    </w:p>
    <w:p>
      <w:pPr>
        <w:spacing w:after="0" w:line="13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since the February 18, 2026, filing of our Annual Report on Form 10-K for the year ended December 31, 2025.</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March 31, 2026, which consisted of the withholding of shares upon the vesting of restricted stock awards to pay related withholding taxes on behalf of the recipient: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Part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 Purchased</w:t>
            </w: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Plans Or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Or</w:t>
            </w:r>
          </w:p>
        </w:tc>
      </w:tr>
      <w:tr>
        <w:trPr>
          <w:trHeight w:val="238"/>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6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01/01/2026 – 01/31/2026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02/01/2026 – 02/28/2026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03/01/2026 – 03/31/2026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228.12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r>
      <w:tr>
        <w:trPr>
          <w:trHeight w:val="20"/>
        </w:trPr>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equity compensation plan information, please refer to our Annual Report on Form 10-K for the year ended December 31, 2025. For information on the Company’s stock repurchase plans, refer to Note 13, “Stock Repurchase Program,” to the condensed consolidated financial statements included in Item 1 of this Quarterly Report on Form 10-Q.</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515"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15"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2026, Raj Kanuru, Executive Vice President, General Counsel &amp; Secretary, adopted a Rule 10b5-1 trading plan that is intended to satisfy the affirmative defense in Rule 10b5-1(c) for the (i) sale of up to 2,165 shares of the Company’s common stock, and (ii) exercise and sale of up to 4,514 stock options, until February 12, 2027.</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March 6, 2026, Norm Taffe, President, Generac Home, adopted a Rule 10b5-1 trading plan that is intended to satisfy the affirmative defense of Rule 10b5-1(c) for the (i) sale of up to 3,000 shares of the Company’s common stock, and (ii) exercise and sale of up to 2,500 stock options, until March 8, 2027.</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gridSpan w:val="5"/>
          </w:tcPr>
          <w:p>
            <w:pPr>
              <w:ind w:left="2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Amended Form of Restricted Stock Award Agreement pursuant to the Generac Holdings Inc. 2019 Equity Incentive Plan.</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4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Amended Form of Performance Share Unit Award Agreement pursuant to the Generac Holdings Inc. 2019 Equity Incentive Plan.</w:t>
            </w:r>
          </w:p>
        </w:tc>
        <w:tc>
          <w:tcPr>
            <w:tcW w:w="660" w:type="dxa"/>
            <w:vAlign w:val="bottom"/>
            <w:gridSpan w:val="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Amended Form of Nonqualified Stock Option Award Agreement pursuant to the Generac Holdings Inc. 2019 Equity Incentive Plan.</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9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Securities Exchange Act Rules 13a-14(a) and 15d-14(a), pursuant to Section 302 of</w:t>
            </w:r>
          </w:p>
        </w:tc>
      </w:tr>
      <w:tr>
        <w:trPr>
          <w:trHeight w:val="196"/>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Securities Exchange Act Rules 13a-14(a) and 15d-14(a), pursuant to Section 302 of</w:t>
            </w:r>
          </w:p>
        </w:tc>
      </w:tr>
      <w:tr>
        <w:trPr>
          <w:trHeight w:val="196"/>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by Section 906 of the Sarbanes-Oxley Act of</w:t>
            </w:r>
          </w:p>
        </w:tc>
      </w:tr>
      <w:tr>
        <w:trPr>
          <w:trHeight w:val="196"/>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96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9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by Section 906 of the Sarbanes-Oxley Act of</w:t>
            </w:r>
          </w:p>
        </w:tc>
      </w:tr>
      <w:tr>
        <w:trPr>
          <w:trHeight w:val="196"/>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9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2026 formatted in Inline</w:t>
            </w:r>
          </w:p>
        </w:tc>
      </w:tr>
      <w:tr>
        <w:trPr>
          <w:trHeight w:val="216"/>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eXtensible Business Reporting Language (iXBRL): (i) the Condensed Consolidated Balance Sheets, (ii) the Condensed Consolidated</w:t>
            </w:r>
          </w:p>
        </w:tc>
      </w:tr>
      <w:tr>
        <w:trPr>
          <w:trHeight w:val="216"/>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Comprehensive Income, (iii) the Condensed Consolidated Statements of Stockholders’ Equity, (iv) the Condensed</w:t>
            </w:r>
          </w:p>
        </w:tc>
      </w:tr>
      <w:tr>
        <w:trPr>
          <w:trHeight w:val="234"/>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 related Notes to Condensed Consolidated Financial Statements.</w:t>
            </w:r>
          </w:p>
        </w:tc>
      </w:tr>
    </w:tbl>
    <w:p>
      <w:pPr>
        <w:spacing w:after="0" w:line="198" w:lineRule="exact"/>
        <w:rPr>
          <w:sz w:val="20"/>
          <w:szCs w:val="20"/>
          <w:color w:val="auto"/>
        </w:rPr>
      </w:pPr>
    </w:p>
    <w:p>
      <w:pPr>
        <w:ind w:left="1260" w:hanging="1252"/>
        <w:spacing w:after="0" w:line="282"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as inline XBRL (included in Exhibit 101).</w:t>
      </w:r>
    </w:p>
    <w:p>
      <w:pPr>
        <w:spacing w:after="0" w:line="378" w:lineRule="exact"/>
        <w:rPr>
          <w:sz w:val="20"/>
          <w:szCs w:val="20"/>
          <w:color w:val="auto"/>
        </w:rPr>
      </w:pPr>
    </w:p>
    <w:p>
      <w:pPr>
        <w:ind w:left="620" w:hanging="612"/>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20" w:hanging="612"/>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enerac</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oldings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York A. Ragen</w:t>
            </w:r>
          </w:p>
        </w:tc>
      </w:tr>
      <w:tr>
        <w:trPr>
          <w:trHeight w:val="189"/>
        </w:trPr>
        <w:tc>
          <w:tcPr>
            <w:tcW w:w="6160" w:type="dxa"/>
            <w:vAlign w:val="bottom"/>
          </w:tcPr>
          <w:p>
            <w:pPr>
              <w:spacing w:after="0"/>
              <w:rPr>
                <w:sz w:val="16"/>
                <w:szCs w:val="16"/>
                <w:color w:val="auto"/>
              </w:rPr>
            </w:pPr>
          </w:p>
        </w:tc>
        <w:tc>
          <w:tcPr>
            <w:tcW w:w="5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agen</w:t>
            </w:r>
          </w:p>
        </w:tc>
      </w:tr>
      <w:tr>
        <w:trPr>
          <w:trHeight w:val="216"/>
        </w:trPr>
        <w:tc>
          <w:tcPr>
            <w:tcW w:w="61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16"/>
        </w:trPr>
        <w:tc>
          <w:tcPr>
            <w:tcW w:w="61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(Duly Authorized Officer and Principal Financial and Accounting</w:t>
            </w:r>
          </w:p>
        </w:tc>
      </w:tr>
      <w:tr>
        <w:trPr>
          <w:trHeight w:val="236"/>
        </w:trPr>
        <w:tc>
          <w:tcPr>
            <w:tcW w:w="61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Officer)</w:t>
            </w:r>
          </w:p>
        </w:tc>
      </w:tr>
      <w:tr>
        <w:trPr>
          <w:trHeight w:val="432"/>
        </w:trPr>
        <w:tc>
          <w:tcPr>
            <w:tcW w:w="616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8"/>
              </w:rPr>
              <w:t>Dated: May 5, 2026</w:t>
            </w:r>
          </w:p>
        </w:tc>
        <w:tc>
          <w:tcPr>
            <w:tcW w:w="5080" w:type="dxa"/>
            <w:vAlign w:val="bottom"/>
          </w:tcPr>
          <w:p>
            <w:pPr>
              <w:spacing w:after="0"/>
              <w:rPr>
                <w:sz w:val="24"/>
                <w:szCs w:val="24"/>
                <w:color w:val="auto"/>
              </w:rPr>
            </w:pPr>
          </w:p>
        </w:tc>
      </w:tr>
      <w:tr>
        <w:trPr>
          <w:trHeight w:val="432"/>
        </w:trPr>
        <w:tc>
          <w:tcPr>
            <w:tcW w:w="6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Upon acceptance by you through the online acceptance procedures of the Third Party Stock Plan Administrator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this Restricted Stock Unit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the date set forth on your online award acceptance page of the Administrator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which is incorporated by reference herein, between Generac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adopted and its stockholders have approved the Generac Holdings Inc. [Amended and Restated]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Agreement. Capitalized terms not otherwise defined herein shall have the same meanings as in the Plan;</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WHEREAS, the Company has adopted the Generac Power Systems, Inc. Executive Change in Control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WHEREAS, 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has determined that it would be in the best interests of the Company and its stockholders to grant the restricted stock unit award provided for herein to the Participant pursuant to the Plan and the terms and conditions set forth herein.</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firstLine="1288"/>
        <w:spacing w:after="0" w:line="255" w:lineRule="auto"/>
        <w:tabs>
          <w:tab w:leader="none" w:pos="20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The Company hereby confirms the grant to the Participant, as of the Grant Date and subject to the terms and conditions of this Agreement and the Plan, of an award of Restricted Stock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in an amount as set forth on the Notice of Award page attached hereto (“</w:t>
      </w:r>
      <w:r>
        <w:rPr>
          <w:rFonts w:ascii="Times New Roman" w:cs="Times New Roman" w:eastAsia="Times New Roman" w:hAnsi="Times New Roman"/>
          <w:sz w:val="18"/>
          <w:szCs w:val="18"/>
          <w:b w:val="1"/>
          <w:bCs w:val="1"/>
          <w:color w:val="auto"/>
        </w:rPr>
        <w:t>Notice of Award</w:t>
      </w:r>
      <w:r>
        <w:rPr>
          <w:rFonts w:ascii="Times New Roman" w:cs="Times New Roman" w:eastAsia="Times New Roman" w:hAnsi="Times New Roman"/>
          <w:sz w:val="18"/>
          <w:szCs w:val="18"/>
          <w:color w:val="auto"/>
        </w:rPr>
        <w:t>”), which is incorporated herein by reference and made a part of this Agreement. Each Unit represents the right to receive one Share of the Company’s common stock upon vesting and settlement in accordance with the terms of this Agreement. Prior to their settlement or forfeiture in accordance with the terms of this Agreement, the Units granted to the Participant will be credited to a share unit account in the Participant’s name maintained by the Company. This account will be unfunded and maintained for bookkeeping purposes only, with the Units simply representing an unfunded and unsecured contingent obligation of the Company.</w:t>
      </w:r>
    </w:p>
    <w:p>
      <w:pPr>
        <w:spacing w:after="0" w:line="188" w:lineRule="exact"/>
        <w:rPr>
          <w:rFonts w:ascii="Times New Roman" w:cs="Times New Roman" w:eastAsia="Times New Roman" w:hAnsi="Times New Roman"/>
          <w:sz w:val="18"/>
          <w:szCs w:val="18"/>
          <w:color w:val="auto"/>
        </w:rPr>
      </w:pPr>
    </w:p>
    <w:p>
      <w:pPr>
        <w:ind w:left="1960" w:hanging="672"/>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36"/>
        <w:spacing w:after="0" w:line="282" w:lineRule="auto"/>
        <w:tabs>
          <w:tab w:leader="none" w:pos="2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Vesting</w:t>
      </w:r>
      <w:r>
        <w:rPr>
          <w:rFonts w:ascii="Times New Roman" w:cs="Times New Roman" w:eastAsia="Times New Roman" w:hAnsi="Times New Roman"/>
          <w:sz w:val="18"/>
          <w:szCs w:val="18"/>
          <w:color w:val="auto"/>
        </w:rPr>
        <w:t>. If the Participant remains in Service to the Company or any of its subsidiaries continuously from the Grant Date, then the Units will vest in the number(s) and on the date(s) specified on the Notice of Award, (“</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36"/>
        <w:spacing w:after="0" w:line="254" w:lineRule="auto"/>
        <w:tabs>
          <w:tab w:leader="none" w:pos="28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Normal Retirement</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Normal Retirement, any Units, to the extent not then-vested, shall continue to vest during the period beginning on the last date of employment and ending on the date that is one (1) year (two (2) years if at least six (6) months’ notice of Normal Retirement is provided) following such last date of employment, subject to the Participant’s execution and non-revocation of no later than forty-five (45) days following the last date of employment an effective general release and waiver of all claims against the Company, its Affiliates and their respective officers and directors in the form provided by the Company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However, any Units, to the extent not then-vested, issued within six (6) months of this Agreement, as of the Participant’s last date of employment, shall be forfeited. “</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shall mean a voluntary termination of Service by a Participant who has attained at least sixty (60) years of age and has at least fifteen (15) years of Service to the Company or any of its Affiliates.</w:t>
      </w:r>
    </w:p>
    <w:p>
      <w:pPr>
        <w:spacing w:after="0" w:line="191" w:lineRule="exact"/>
        <w:rPr>
          <w:rFonts w:ascii="Times New Roman" w:cs="Times New Roman" w:eastAsia="Times New Roman" w:hAnsi="Times New Roman"/>
          <w:sz w:val="18"/>
          <w:szCs w:val="18"/>
          <w:color w:val="auto"/>
        </w:rPr>
      </w:pPr>
    </w:p>
    <w:p>
      <w:pPr>
        <w:jc w:val="both"/>
        <w:ind w:firstLine="1936"/>
        <w:spacing w:after="0" w:line="258" w:lineRule="auto"/>
        <w:tabs>
          <w:tab w:leader="none" w:pos="262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in Connection with a Change of 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(i) in the event of a Change in Control the provisions of Section 12 of the Plan shall apply except as specifically provided herein; and (ii) in the event of Participant’s Qualifying Termination within the Protection Period (as both terms are defined under the CIC Policy), the Units shall vest as of the date of such Qualifying Termination, subject to the Participant’s execution and non-revocation, no later than thirty (30) days following the termination date, of a Release.</w:t>
      </w:r>
    </w:p>
    <w:p>
      <w:pPr>
        <w:spacing w:after="0" w:line="183" w:lineRule="exact"/>
        <w:rPr>
          <w:rFonts w:ascii="Times New Roman" w:cs="Times New Roman" w:eastAsia="Times New Roman" w:hAnsi="Times New Roman"/>
          <w:sz w:val="18"/>
          <w:szCs w:val="18"/>
          <w:color w:val="auto"/>
        </w:rPr>
      </w:pPr>
    </w:p>
    <w:p>
      <w:pPr>
        <w:ind w:right="20" w:firstLine="1936"/>
        <w:spacing w:after="0" w:line="282" w:lineRule="auto"/>
        <w:tabs>
          <w:tab w:leader="none" w:pos="26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death or Disability</w:t>
      </w:r>
      <w:r>
        <w:rPr>
          <w:rFonts w:ascii="Times New Roman" w:cs="Times New Roman" w:eastAsia="Times New Roman" w:hAnsi="Times New Roman"/>
          <w:sz w:val="18"/>
          <w:szCs w:val="18"/>
          <w:color w:val="auto"/>
        </w:rPr>
        <w:t>. Upon a termination of the Participant’s Service by reason of death or Disability, any Units, to the extent not then-vested, shall vest as of the date of such termination of Service.</w:t>
      </w:r>
    </w:p>
    <w:p>
      <w:pPr>
        <w:spacing w:after="0" w:line="161" w:lineRule="exact"/>
        <w:rPr>
          <w:rFonts w:ascii="Times New Roman" w:cs="Times New Roman" w:eastAsia="Times New Roman" w:hAnsi="Times New Roman"/>
          <w:sz w:val="18"/>
          <w:szCs w:val="18"/>
          <w:color w:val="auto"/>
        </w:rPr>
      </w:pPr>
    </w:p>
    <w:p>
      <w:pPr>
        <w:jc w:val="both"/>
        <w:ind w:firstLine="1936"/>
        <w:spacing w:after="0" w:line="266" w:lineRule="auto"/>
        <w:tabs>
          <w:tab w:leader="none" w:pos="29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as contemplated by </w:t>
      </w:r>
      <w:r>
        <w:rPr>
          <w:rFonts w:ascii="Times New Roman" w:cs="Times New Roman" w:eastAsia="Times New Roman" w:hAnsi="Times New Roman"/>
          <w:sz w:val="18"/>
          <w:szCs w:val="18"/>
          <w:u w:val="single" w:color="auto"/>
          <w:color w:val="auto"/>
        </w:rPr>
        <w:t>Sections 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2(d)</w:t>
      </w:r>
      <w:r>
        <w:rPr>
          <w:rFonts w:ascii="Times New Roman" w:cs="Times New Roman" w:eastAsia="Times New Roman" w:hAnsi="Times New Roman"/>
          <w:sz w:val="18"/>
          <w:szCs w:val="18"/>
          <w:color w:val="auto"/>
        </w:rPr>
        <w:t xml:space="preserve"> above, the Units, to the extent not then-vested, shall immediately be forfeited by the Participant without consideration.</w:t>
      </w:r>
    </w:p>
    <w:p>
      <w:pPr>
        <w:spacing w:after="0" w:line="175" w:lineRule="exact"/>
        <w:rPr>
          <w:rFonts w:ascii="Times New Roman" w:cs="Times New Roman" w:eastAsia="Times New Roman" w:hAnsi="Times New Roman"/>
          <w:sz w:val="18"/>
          <w:szCs w:val="18"/>
          <w:color w:val="auto"/>
        </w:rPr>
      </w:pPr>
    </w:p>
    <w:p>
      <w:pPr>
        <w:jc w:val="both"/>
        <w:ind w:firstLine="1288"/>
        <w:spacing w:after="0" w:line="254" w:lineRule="auto"/>
        <w:tabs>
          <w:tab w:leader="none" w:pos="20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below, as soon as administratively practicable, but not later than sixty (60) days following the vesting of the Units (as described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or such later date as may be required under Section 16(g) of the Plan, if applicable, the Company shall cause to be issued and delivered to the Participant (or to his or her personal representative or designated beneficiary or estate in the event of the Participant’s death, as applicable) one Share in payment and settlement of each vested Unit. Delivery of the Shares shall be effected by the issuance of a stock certificate to the Participant, by an appropriate entry in the stock register maintained by the Company’s transfer agent with a notice of issuance provided to the Participant, or by the electronic delivery of the Shares to Participant’s brokerage account with the Administrator, and shall be subject to the tax withholding provisions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and compliance with all applicable legal requirements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and Section 16(c) of the Plan, and shall be in complete satisfaction and settlement of such vested Units.</w:t>
      </w:r>
    </w:p>
    <w:p>
      <w:pPr>
        <w:spacing w:after="0" w:line="191" w:lineRule="exact"/>
        <w:rPr>
          <w:rFonts w:ascii="Times New Roman" w:cs="Times New Roman" w:eastAsia="Times New Roman" w:hAnsi="Times New Roman"/>
          <w:sz w:val="18"/>
          <w:szCs w:val="18"/>
          <w:color w:val="auto"/>
        </w:rPr>
      </w:pPr>
    </w:p>
    <w:p>
      <w:pPr>
        <w:ind w:firstLine="1288"/>
        <w:spacing w:after="0" w:line="282" w:lineRule="auto"/>
        <w:tabs>
          <w:tab w:leader="none" w:pos="21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Participant shall have none of the rights of a stockholder of the Company in connection with the Units unless and until Shares are issued to him or her in settlement of vested Units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ectPr>
          <w:pgSz w:w="11900" w:h="16838" w:orient="portrait"/>
          <w:cols w:equalWidth="0" w:num="1">
            <w:col w:w="11080"/>
          </w:cols>
          <w:pgMar w:left="480" w:top="333" w:right="339" w:bottom="0" w:gutter="0" w:footer="0" w:header="0"/>
        </w:sectPr>
      </w:pPr>
    </w:p>
    <w:bookmarkStart w:id="38" w:name="page39"/>
    <w:bookmarkEnd w:id="38"/>
    <w:p>
      <w:pPr>
        <w:spacing w:after="0" w:line="282" w:lineRule="auto"/>
        <w:tabs>
          <w:tab w:leader="none" w:pos="21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both"/>
        <w:ind w:left="-960" w:firstLine="1288"/>
        <w:spacing w:after="0" w:line="253" w:lineRule="auto"/>
        <w:tabs>
          <w:tab w:leader="none" w:pos="12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xml:space="preserve">. If the Company pays cash dividends on its Shares while any Units subject to this Agreement are outstanding, then on the date any portion of the Units vest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 total Dividend Equivalent amount will be credited to the Participant’s share unit account and shall be deemed reinvested in additional Units (“</w:t>
      </w:r>
      <w:r>
        <w:rPr>
          <w:rFonts w:ascii="Times New Roman" w:cs="Times New Roman" w:eastAsia="Times New Roman" w:hAnsi="Times New Roman"/>
          <w:sz w:val="18"/>
          <w:szCs w:val="18"/>
          <w:b w:val="1"/>
          <w:bCs w:val="1"/>
          <w:color w:val="auto"/>
        </w:rPr>
        <w:t>Dividend Equivalent Units</w:t>
      </w:r>
      <w:r>
        <w:rPr>
          <w:rFonts w:ascii="Times New Roman" w:cs="Times New Roman" w:eastAsia="Times New Roman" w:hAnsi="Times New Roman"/>
          <w:sz w:val="18"/>
          <w:szCs w:val="18"/>
          <w:color w:val="auto"/>
        </w:rPr>
        <w:t>”). The total Dividend Equivalent amount will be determined by multiplying the number of underlying Units determined to have vested as of such determination by the per share amount of each cash dividend paid on the Company’s common stock with a record date and payment date occurring between the Grant Date and the applicable vesting date, and adding those products together. Each of those products is referred to as a “</w:t>
      </w:r>
      <w:r>
        <w:rPr>
          <w:rFonts w:ascii="Times New Roman" w:cs="Times New Roman" w:eastAsia="Times New Roman" w:hAnsi="Times New Roman"/>
          <w:sz w:val="18"/>
          <w:szCs w:val="18"/>
          <w:b w:val="1"/>
          <w:bCs w:val="1"/>
          <w:color w:val="auto"/>
        </w:rPr>
        <w:t>Dividend Equivalent Amount</w:t>
      </w:r>
      <w:r>
        <w:rPr>
          <w:rFonts w:ascii="Times New Roman" w:cs="Times New Roman" w:eastAsia="Times New Roman" w:hAnsi="Times New Roman"/>
          <w:sz w:val="18"/>
          <w:szCs w:val="18"/>
          <w:color w:val="auto"/>
        </w:rPr>
        <w:t xml:space="preserve">.” The number of Dividend Equivalent Units to be credited to the Participant’s share unit account pursuant to this deemed reinvestment will be determined by dividing each Dividend Equivalent Amount by the Fair Market Value of a share of the Company’s common stock on the applicable dividend payment date, and adding those quotients together. Any Dividend Equivalent Units so credited will be fully vested and subject to settlement with the underlying Units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w:t>
      </w:r>
    </w:p>
    <w:p>
      <w:pPr>
        <w:spacing w:after="0" w:line="194" w:lineRule="exact"/>
        <w:rPr>
          <w:rFonts w:ascii="Times New Roman" w:cs="Times New Roman" w:eastAsia="Times New Roman" w:hAnsi="Times New Roman"/>
          <w:sz w:val="18"/>
          <w:szCs w:val="18"/>
          <w:color w:val="auto"/>
        </w:rPr>
      </w:pPr>
    </w:p>
    <w:p>
      <w:pPr>
        <w:jc w:val="both"/>
        <w:ind w:left="-960" w:firstLine="1288"/>
        <w:spacing w:after="0" w:line="266" w:lineRule="auto"/>
        <w:tabs>
          <w:tab w:leader="none" w:pos="11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If applicable, Participant hereby reaffirms his or her obligations under such Restrictive Covenant Agreement and nothing contained in this Agreement shall cancel, change or modify Participant’s obligations thereunder.</w:t>
      </w:r>
    </w:p>
    <w:p>
      <w:pPr>
        <w:spacing w:after="0" w:line="175" w:lineRule="exact"/>
        <w:rPr>
          <w:rFonts w:ascii="Times New Roman" w:cs="Times New Roman" w:eastAsia="Times New Roman" w:hAnsi="Times New Roman"/>
          <w:sz w:val="18"/>
          <w:szCs w:val="18"/>
          <w:color w:val="auto"/>
        </w:rPr>
      </w:pPr>
    </w:p>
    <w:p>
      <w:pPr>
        <w:jc w:val="both"/>
        <w:ind w:left="-960" w:firstLine="1288"/>
        <w:spacing w:after="0" w:line="254"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Services to the Company and thereafter to the fullest extent permitted by law, shall not make any oral or written communication to any person or entity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in the foregoing shall preclude the Participant from disclosing any information to Participant’s attorney, or from responding truthfully to any inquiry from a governmental entity, and/or engaging in any protected activities and/or from communicating with the Company’s CEO and/or those employees or directors with a need to know about personnel issues involving Company officers, directors and/or employees;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Section 7 prevents the Participant from discussing or disclosing information about unlawful acts in the workplace, such as harassment or discrimination or any other conduct that Participant has reason to believe is unlawful.</w:t>
      </w:r>
    </w:p>
    <w:p>
      <w:pPr>
        <w:spacing w:after="0" w:line="191" w:lineRule="exact"/>
        <w:rPr>
          <w:rFonts w:ascii="Times New Roman" w:cs="Times New Roman" w:eastAsia="Times New Roman" w:hAnsi="Times New Roman"/>
          <w:sz w:val="18"/>
          <w:szCs w:val="18"/>
          <w:color w:val="auto"/>
        </w:rPr>
      </w:pPr>
    </w:p>
    <w:p>
      <w:pPr>
        <w:jc w:val="both"/>
        <w:ind w:left="-960" w:firstLine="1288"/>
        <w:spacing w:after="0" w:line="266" w:lineRule="auto"/>
        <w:tabs>
          <w:tab w:leader="none" w:pos="10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Agreement (including, without limitation, the number and kind of Units subject to this Agreement and the shares of stock deliverable with respect to such Units) may be adjusted as set forth in Section 12(a) of the Plan.</w:t>
      </w:r>
    </w:p>
    <w:p>
      <w:pPr>
        <w:spacing w:after="0" w:line="175" w:lineRule="exact"/>
        <w:rPr>
          <w:rFonts w:ascii="Times New Roman" w:cs="Times New Roman" w:eastAsia="Times New Roman" w:hAnsi="Times New Roman"/>
          <w:sz w:val="18"/>
          <w:szCs w:val="18"/>
          <w:color w:val="auto"/>
        </w:rPr>
      </w:pPr>
    </w:p>
    <w:p>
      <w:pPr>
        <w:jc w:val="both"/>
        <w:ind w:left="-960" w:firstLine="1288"/>
        <w:spacing w:after="0" w:line="253" w:lineRule="auto"/>
        <w:tabs>
          <w:tab w:leader="none" w:pos="1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PARTICIPANT ACKNOWLEDGES AND AGREES THAT THE VESTING OF THE UNITS PURSUANT TO THE VESTING SCHEDULE HEREOF IS OBTAINED ONLY BY CONTINUING AS A SERVICE PROVIDER, WHICH UNLESS PROVIDED OTHERWISE UNDER APPLICABLE LAWS IS AT THE WILL OF THE COMPANY AND ITS AFFILIATES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AND NOT THROUGH THE ACT OF BEING HIRED, BEING GRANTED THIS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GROUP TO TERMINATE PARTICIPANT’S RELATIONSHIP AS A SERVICE PROVIDER, SUBJECT TO APPLICABLE LAW, WHICH TERMINATION, UNLESS PROVIDED OTHERWISE UNDER APPLICABLE LAW, MAY BE AT ANY TIME, WITH OR WITHOUT CAUSE.</w:t>
      </w:r>
    </w:p>
    <w:p>
      <w:pPr>
        <w:spacing w:after="0" w:line="194" w:lineRule="exact"/>
        <w:rPr>
          <w:rFonts w:ascii="Times New Roman" w:cs="Times New Roman" w:eastAsia="Times New Roman" w:hAnsi="Times New Roman"/>
          <w:sz w:val="18"/>
          <w:szCs w:val="18"/>
          <w:color w:val="auto"/>
        </w:rPr>
      </w:pPr>
    </w:p>
    <w:p>
      <w:pPr>
        <w:ind w:left="960" w:hanging="63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Units, Participant acknowledges, understands and agrees that:</w:t>
      </w:r>
    </w:p>
    <w:p>
      <w:pPr>
        <w:spacing w:after="0" w:line="225" w:lineRule="exact"/>
        <w:rPr>
          <w:rFonts w:ascii="Times New Roman" w:cs="Times New Roman" w:eastAsia="Times New Roman" w:hAnsi="Times New Roman"/>
          <w:sz w:val="18"/>
          <w:szCs w:val="18"/>
          <w:color w:val="auto"/>
        </w:rPr>
      </w:pPr>
    </w:p>
    <w:p>
      <w:pPr>
        <w:ind w:left="-960" w:right="20" w:firstLine="1936"/>
        <w:spacing w:after="0" w:line="282" w:lineRule="auto"/>
        <w:tabs>
          <w:tab w:leader="none" w:pos="1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Units is voluntary and occasional and does not create any contractual or other right to receive future grants of Units, or benefits in lieu of Units, even if Units have been granted in the past;</w:t>
      </w:r>
    </w:p>
    <w:p>
      <w:pPr>
        <w:spacing w:after="0" w:line="161" w:lineRule="exact"/>
        <w:rPr>
          <w:rFonts w:ascii="Times New Roman" w:cs="Times New Roman" w:eastAsia="Times New Roman" w:hAnsi="Times New Roman"/>
          <w:sz w:val="18"/>
          <w:szCs w:val="18"/>
          <w:color w:val="auto"/>
        </w:rPr>
      </w:pPr>
    </w:p>
    <w:p>
      <w:pPr>
        <w:ind w:left="1660" w:hanging="684"/>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Units or other grants, if any, will be at the sole discretion of the Committee;</w:t>
      </w:r>
    </w:p>
    <w:p>
      <w:pPr>
        <w:spacing w:after="0" w:line="225" w:lineRule="exact"/>
        <w:rPr>
          <w:rFonts w:ascii="Times New Roman" w:cs="Times New Roman" w:eastAsia="Times New Roman" w:hAnsi="Times New Roman"/>
          <w:sz w:val="18"/>
          <w:szCs w:val="18"/>
          <w:color w:val="auto"/>
        </w:rPr>
      </w:pPr>
    </w:p>
    <w:p>
      <w:pPr>
        <w:ind w:left="1640" w:hanging="664"/>
        <w:spacing w:after="0"/>
        <w:tabs>
          <w:tab w:leader="none" w:pos="1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660" w:hanging="684"/>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the Shares subject to the Units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jc w:val="both"/>
        <w:ind w:left="-960" w:firstLine="1936"/>
        <w:spacing w:after="0" w:line="266" w:lineRule="auto"/>
        <w:tabs>
          <w:tab w:leader="none" w:pos="1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660" w:hanging="684"/>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Units is unknown, indeterminable and cannot be predicted;</w:t>
      </w:r>
    </w:p>
    <w:p>
      <w:pPr>
        <w:spacing w:after="0" w:line="225" w:lineRule="exact"/>
        <w:rPr>
          <w:rFonts w:ascii="Times New Roman" w:cs="Times New Roman" w:eastAsia="Times New Roman" w:hAnsi="Times New Roman"/>
          <w:sz w:val="18"/>
          <w:szCs w:val="18"/>
          <w:color w:val="auto"/>
        </w:rPr>
      </w:pPr>
    </w:p>
    <w:p>
      <w:pPr>
        <w:jc w:val="both"/>
        <w:ind w:left="-960" w:firstLine="1936"/>
        <w:spacing w:after="0" w:line="253" w:lineRule="auto"/>
        <w:tabs>
          <w:tab w:leader="none" w:pos="185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Agreement (including by reference in the Notice of Grant to other arrangements or contracts) or determined by the Committee, Participant’s right to vest in the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this Award of Units (including whether Participant may still be considered to be providing services while on a leave of absence and consistent with local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357505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0" w:name="page41"/>
    <w:bookmarkEnd w:id="40"/>
    <w:p>
      <w:pPr>
        <w:jc w:val="both"/>
        <w:ind w:firstLine="1936"/>
        <w:spacing w:after="0" w:line="266" w:lineRule="auto"/>
        <w:tabs>
          <w:tab w:leader="none" w:pos="268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2660" w:hanging="724"/>
        <w:spacing w:after="0"/>
        <w:tabs>
          <w:tab w:leader="none" w:pos="2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3340" w:hanging="756"/>
        <w:spacing w:after="0"/>
        <w:tabs>
          <w:tab w:leader="none" w:pos="33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the Shares subject to the Units are not part of normal or expected compensation or salary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purpose;</w:t>
      </w:r>
    </w:p>
    <w:p>
      <w:pPr>
        <w:spacing w:after="0" w:line="206" w:lineRule="exact"/>
        <w:rPr>
          <w:rFonts w:ascii="Times New Roman" w:cs="Times New Roman" w:eastAsia="Times New Roman" w:hAnsi="Times New Roman"/>
          <w:sz w:val="18"/>
          <w:szCs w:val="18"/>
          <w:color w:val="auto"/>
        </w:rPr>
      </w:pPr>
    </w:p>
    <w:p>
      <w:pPr>
        <w:jc w:val="both"/>
        <w:ind w:firstLine="2584"/>
        <w:spacing w:after="0" w:line="266" w:lineRule="auto"/>
        <w:tabs>
          <w:tab w:leader="none" w:pos="3341"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the Company Group shall not be liable for any foreign exchange rate fluctuation between Participant’s local currency and the United States Dollar that may affect the value of the Units or of any amounts due to Participant pursuant to the settlement of the Units or the subsequent sale of any Shares acquired upon settlement; and</w:t>
      </w:r>
    </w:p>
    <w:p>
      <w:pPr>
        <w:spacing w:after="0" w:line="175" w:lineRule="exact"/>
        <w:rPr>
          <w:rFonts w:ascii="Times New Roman" w:cs="Times New Roman" w:eastAsia="Times New Roman" w:hAnsi="Times New Roman"/>
          <w:sz w:val="18"/>
          <w:szCs w:val="18"/>
          <w:color w:val="auto"/>
        </w:rPr>
      </w:pPr>
    </w:p>
    <w:p>
      <w:pPr>
        <w:jc w:val="both"/>
        <w:ind w:firstLine="2584"/>
        <w:spacing w:after="0" w:line="255" w:lineRule="auto"/>
        <w:tabs>
          <w:tab w:leader="none" w:pos="331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Units to which Participant is otherwise not entitled, Participant irrevocably agrees never to institute any claim against the Company Group, waives his or her ability, if any, to bring any such claim, and releases the Company Group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jc w:val="both"/>
        <w:ind w:firstLine="1288"/>
        <w:spacing w:after="0" w:line="253" w:lineRule="auto"/>
        <w:tabs>
          <w:tab w:leader="none" w:pos="19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Laws/Restrictions</w:t>
      </w:r>
      <w:r>
        <w:rPr>
          <w:rFonts w:ascii="Times New Roman" w:cs="Times New Roman" w:eastAsia="Times New Roman" w:hAnsi="Times New Roman"/>
          <w:sz w:val="18"/>
          <w:szCs w:val="18"/>
          <w:color w:val="auto"/>
        </w:rPr>
        <w:t>. The issuance and delivery of Shares pursuant to this Agreement shall comply with Section 16(c) of the Plan as well as comply with (or be exempt from) all applicable requirements of law, including (without limitation) the Securities Act of 1933, as amended, the rules and regulations promulgated thereunder, state securities laws and regulations, non- U.S. law, and the regulations of any stock exchange or other securities market on which the Company’s securities may then be traded. The Company shall not be obligated to file any registration statement under any applicable securities laws to permit the purchase or issuance of any shares of common stock under the Plan or Awards, and accordingly any certificates or other indicia of ownership for shares of common stock may have an appropriate legend or statement of applicable restrictions endorsed thereon. If the Company deems it necessary to ensure that the issuance of shares of common stock under the Plan is not required to be registered under any applicable securities laws, each Participant to whom such shares of common stock would be issued shall deliver to the Company an agreement or certificate containing such representations, warranties and covenants as the Company may reasonably request which satisfies such requirements.</w:t>
      </w:r>
    </w:p>
    <w:p>
      <w:pPr>
        <w:spacing w:after="0" w:line="194" w:lineRule="exact"/>
        <w:rPr>
          <w:rFonts w:ascii="Times New Roman" w:cs="Times New Roman" w:eastAsia="Times New Roman" w:hAnsi="Times New Roman"/>
          <w:sz w:val="18"/>
          <w:szCs w:val="18"/>
          <w:color w:val="auto"/>
        </w:rPr>
      </w:pPr>
    </w:p>
    <w:p>
      <w:pPr>
        <w:jc w:val="both"/>
        <w:ind w:firstLine="1288"/>
        <w:spacing w:after="0" w:line="255" w:lineRule="auto"/>
        <w:tabs>
          <w:tab w:leader="none" w:pos="19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Units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Units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88"/>
        <w:spacing w:after="0" w:line="253" w:lineRule="auto"/>
        <w:tabs>
          <w:tab w:leader="none" w:pos="20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for any applicable taxes and/or social insurance liability obligations and requirements in connection with the Units, including, without limitation, (i) all federal, state, local, and foreign taxes (including Participant’s Federal Insurance Contributions Act (FICA) or other social insurance obligations) that are required to be withheld by the Company Group or other payment of tax-related items related to Participant’s participation in the Plan, and legally applicable to Participant, (ii) Participant’s and, to the extent required by the Company Group, the Company Group’s fringe benefit tax liability, if any, associated with the grant, vesting, or settlement of the Units or sale of Shares, and (iii) any other Company Group taxes the responsibility for which Participant has, or has agreed to bear, with respect to the Units (or settlement thereof or issuance of Shares thereunder) (collectively,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and to take such other action as may be necessary in the opinion of the Committee to satisfy all obligations for the payment of such withholding taxes. Participant acknowledges that, regardless of any action taken by the Company Group. the ultimate liability for any Tax-Related Obligations is and remains Participant’s sole responsibility and may exceed the amount actually withheld by the Company Group.</w:t>
      </w:r>
    </w:p>
    <w:p>
      <w:pPr>
        <w:spacing w:after="0" w:line="194" w:lineRule="exact"/>
        <w:rPr>
          <w:rFonts w:ascii="Times New Roman" w:cs="Times New Roman" w:eastAsia="Times New Roman" w:hAnsi="Times New Roman"/>
          <w:sz w:val="18"/>
          <w:szCs w:val="18"/>
          <w:color w:val="auto"/>
        </w:rPr>
      </w:pPr>
    </w:p>
    <w:p>
      <w:pPr>
        <w:jc w:val="both"/>
        <w:ind w:firstLine="1288"/>
        <w:spacing w:after="0" w:line="258" w:lineRule="auto"/>
        <w:tabs>
          <w:tab w:leader="none" w:pos="20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288"/>
        <w:spacing w:after="0" w:line="253" w:lineRule="auto"/>
        <w:tabs>
          <w:tab w:leader="none" w:pos="2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xml:space="preserve">. The Participant (or the Participant’s beneficiaries) shall be responsible for all taxes with respect to the Units and related Shares, if any, that are vested and settled. The Committee and the Company make no guarantees regarding the tax treatment of this Award. Neither the Committee nor the Company has any obligation to take any action to prevent the assessment of any tax under Section 409A of the Code or Section 457A of the Code or otherwise and none of the Company Group nor or any of its employees or representatives shall have any liability to a Participant with respect thereto. </w:t>
      </w:r>
      <w:r>
        <w:rPr>
          <w:rFonts w:ascii="Times New Roman" w:cs="Times New Roman" w:eastAsia="Times New Roman" w:hAnsi="Times New Roman"/>
          <w:sz w:val="18"/>
          <w:szCs w:val="18"/>
          <w:b w:val="1"/>
          <w:bCs w:val="1"/>
          <w:i w:val="1"/>
          <w:iCs w:val="1"/>
          <w:color w:val="auto"/>
        </w:rPr>
        <w:t>Participant further acknowledges that the Company Group does not (A) make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representations or undertakings regarding the treatment of any Tax Obligations in connection with any aspect of the Units, including, but not limited to, the grant, vesting or settlement of the Units, the subsequent sale of Shares acquired pursuant to such settlement and the receipt of any dividends or other distributions, or (B) make any commitment to or is under any obligation to structure the terms of the grant or any aspect of the Units to reduce or eliminate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Company Group may be required to withhold or account for Tax Obligations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356235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549" w:gutter="0" w:footer="0" w:header="0"/>
        </w:sectPr>
      </w:pPr>
    </w:p>
    <w:bookmarkStart w:id="41" w:name="page42"/>
    <w:bookmarkEnd w:id="41"/>
    <w:p>
      <w:pPr>
        <w:jc w:val="both"/>
        <w:ind w:firstLine="1288"/>
        <w:spacing w:after="0" w:line="261" w:lineRule="auto"/>
        <w:tabs>
          <w:tab w:leader="none" w:pos="19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firstLine="1288"/>
        <w:spacing w:after="0" w:line="256" w:lineRule="auto"/>
        <w:tabs>
          <w:tab w:leader="none" w:pos="2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7" w:lineRule="exact"/>
        <w:rPr>
          <w:rFonts w:ascii="Times New Roman" w:cs="Times New Roman" w:eastAsia="Times New Roman" w:hAnsi="Times New Roman"/>
          <w:sz w:val="18"/>
          <w:szCs w:val="18"/>
          <w:color w:val="auto"/>
        </w:rPr>
      </w:pPr>
    </w:p>
    <w:p>
      <w:pPr>
        <w:ind w:firstLine="1288"/>
        <w:spacing w:after="0" w:line="282" w:lineRule="auto"/>
        <w:tabs>
          <w:tab w:leader="none" w:pos="20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firstLine="1288"/>
        <w:spacing w:after="0" w:line="261" w:lineRule="auto"/>
        <w:tabs>
          <w:tab w:leader="none" w:pos="19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jc w:val="both"/>
        <w:ind w:firstLine="1288"/>
        <w:spacing w:after="0" w:line="256" w:lineRule="auto"/>
        <w:tabs>
          <w:tab w:leader="none" w:pos="20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Agreement, the Award shall be subject to any special terms and conditions set forth in an appendix (if any) to this Agreement for any country whose laws are applicable to the Participant and this Award of Units (as determined by the Committee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the Participant, to the extent the Company determines that the application of such terms and conditions is necessary or advisable for legal or administrative reasons. The Country Addendum constitutes part of this Agreement.</w:t>
      </w:r>
    </w:p>
    <w:p>
      <w:pPr>
        <w:spacing w:after="0" w:line="399" w:lineRule="exact"/>
        <w:rPr>
          <w:rFonts w:ascii="Times New Roman" w:cs="Times New Roman" w:eastAsia="Times New Roman" w:hAnsi="Times New Roman"/>
          <w:sz w:val="18"/>
          <w:szCs w:val="18"/>
          <w:color w:val="auto"/>
        </w:rPr>
      </w:pPr>
    </w:p>
    <w:p>
      <w:pPr>
        <w:jc w:val="both"/>
        <w:ind w:firstLine="1288"/>
        <w:spacing w:after="0" w:line="268" w:lineRule="auto"/>
        <w:tabs>
          <w:tab w:leader="none" w:pos="19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xml:space="preserve"> Participant hereby explicitly and unambiguously consents to the collection, use and transfer, in electronic or other form,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Agreement and any other Unit grant materials by and among, as applicable, the members of the Company Group for the exclusive purpose of implementing, administering and managing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Group may hold certain personal information about Participant, including, but not limited to,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the Administrator, or such other provider as may be selected by the Company in the future, assisting the Company with the implementation, administration and management of the Plan. Participant understands that the recipients of the Data may be located in the United States or elsewhere, and that the recipients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country of operation (e.g., the United States) may have different data privacy laws and protections than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country. Participant understands that if he or she resides outside the United</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States, he or she may request a list with the names and addresses of any potential recipients of the Data by contacting his or her local human resources representative. Participant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Company Group will not be adversely affected. The only adverse consequence of refusing or withdrawing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consent is that the Company would not be able to grant Participant Units or other equity awards or administer or maintain such awards. Therefore, Participant understands that refusing or withdrawing his or her consent may affect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participate in the Plan. For more information on the consequences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refusal to consent or withdrawal of consent, Participant understands that he or she may contact his or her local human resources representative.</w:t>
      </w:r>
    </w:p>
    <w:p>
      <w:pPr>
        <w:spacing w:after="0" w:line="192" w:lineRule="exact"/>
        <w:rPr>
          <w:sz w:val="20"/>
          <w:szCs w:val="20"/>
          <w:color w:val="auto"/>
        </w:rPr>
      </w:pPr>
    </w:p>
    <w:p>
      <w:pPr>
        <w:jc w:val="both"/>
        <w:ind w:firstLine="1288"/>
        <w:spacing w:after="0" w:line="266" w:lineRule="auto"/>
        <w:tabs>
          <w:tab w:leader="none" w:pos="21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Except as required by applicable local law,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firstLine="1288"/>
        <w:spacing w:after="0" w:line="261"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Units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Units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348615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42" w:name="page43"/>
    <w:bookmarkEnd w:id="42"/>
    <w:p>
      <w:pPr>
        <w:ind w:left="1980" w:hanging="692"/>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Agreement and the Units granted hereunder at any time, subject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Plan.</w:t>
      </w:r>
    </w:p>
    <w:p>
      <w:pPr>
        <w:spacing w:after="0" w:line="207" w:lineRule="exact"/>
        <w:rPr>
          <w:sz w:val="20"/>
          <w:szCs w:val="20"/>
          <w:color w:val="auto"/>
        </w:rPr>
      </w:pPr>
    </w:p>
    <w:p>
      <w:pPr>
        <w:ind w:firstLine="1288"/>
        <w:spacing w:after="0" w:line="282" w:lineRule="auto"/>
        <w:tabs>
          <w:tab w:leader="none" w:pos="19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rFonts w:ascii="Times New Roman" w:cs="Times New Roman" w:eastAsia="Times New Roman" w:hAnsi="Times New Roman"/>
          <w:sz w:val="18"/>
          <w:szCs w:val="18"/>
          <w:color w:val="auto"/>
        </w:rPr>
      </w:pPr>
    </w:p>
    <w:p>
      <w:pPr>
        <w:jc w:val="both"/>
        <w:ind w:firstLine="1288"/>
        <w:spacing w:after="0" w:line="255" w:lineRule="auto"/>
        <w:tabs>
          <w:tab w:leader="none" w:pos="19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The Agreement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and, if applicable, the relevant Country Addendum,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Units shall be final and conclusive.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1288"/>
        <w:spacing w:after="0" w:line="255" w:lineRule="auto"/>
        <w:tabs>
          <w:tab w:leader="none" w:pos="2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to the extent that this Award and any compensation associated therewith is considered “incentive-based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8" w:lineRule="exact"/>
        <w:rPr>
          <w:rFonts w:ascii="Times New Roman" w:cs="Times New Roman" w:eastAsia="Times New Roman" w:hAnsi="Times New Roman"/>
          <w:sz w:val="18"/>
          <w:szCs w:val="18"/>
          <w:color w:val="auto"/>
        </w:rPr>
      </w:pPr>
    </w:p>
    <w:p>
      <w:pPr>
        <w:jc w:val="both"/>
        <w:ind w:firstLine="1288"/>
        <w:spacing w:after="0" w:line="255"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the Participant breaches any of the restrictive covenants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then (i) the Participant shall immediately forfeit this Award and any right to receive Shares that have not yet been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(ii) with respect to Shares that have been issued pursuant to this Award, either (A) the Participant shall return such Shares to the Company, or (B) the Participant shall pay to the Company in cash an amount equal to the Fair Market Value of such Shares as of the respective vesting date of the underlying Units.</w:t>
      </w:r>
    </w:p>
    <w:p>
      <w:pPr>
        <w:spacing w:after="0" w:line="188" w:lineRule="exact"/>
        <w:rPr>
          <w:rFonts w:ascii="Times New Roman" w:cs="Times New Roman" w:eastAsia="Times New Roman" w:hAnsi="Times New Roman"/>
          <w:sz w:val="18"/>
          <w:szCs w:val="18"/>
          <w:color w:val="auto"/>
        </w:rPr>
      </w:pPr>
    </w:p>
    <w:p>
      <w:pPr>
        <w:ind w:firstLine="1378"/>
        <w:spacing w:after="0" w:line="282" w:lineRule="auto"/>
        <w:tabs>
          <w:tab w:leader="none" w:pos="19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ectPr>
          <w:pgSz w:w="11900" w:h="16838" w:orient="portrait"/>
          <w:cols w:equalWidth="0" w:num="1">
            <w:col w:w="11080"/>
          </w:cols>
          <w:pgMar w:left="480" w:top="58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 AWARD AGREEMENT</w:t>
      </w:r>
    </w:p>
    <w:p>
      <w:pPr>
        <w:spacing w:after="0" w:line="225" w:lineRule="exact"/>
        <w:rPr>
          <w:sz w:val="20"/>
          <w:szCs w:val="20"/>
          <w:color w:val="auto"/>
        </w:rPr>
      </w:pPr>
    </w:p>
    <w:p>
      <w:pPr>
        <w:jc w:val="both"/>
        <w:ind w:left="100" w:firstLine="1296"/>
        <w:spacing w:after="0" w:line="262" w:lineRule="auto"/>
        <w:rPr>
          <w:sz w:val="20"/>
          <w:szCs w:val="20"/>
          <w:color w:val="auto"/>
        </w:rPr>
      </w:pPr>
      <w:r>
        <w:rPr>
          <w:rFonts w:ascii="Times New Roman" w:cs="Times New Roman" w:eastAsia="Times New Roman" w:hAnsi="Times New Roman"/>
          <w:sz w:val="18"/>
          <w:szCs w:val="18"/>
          <w:color w:val="auto"/>
        </w:rPr>
        <w:t>Upon acceptance by you through the online acceptance procedures of the Third Party Stock Plan Administrator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this Performance Share Unit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the date set forth on your online award acceptance page of the Administrator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which is incorporated by reference herein, between Generac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adopted and its stockholders have approved the Generac Holdings Inc.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Agreement. Capitalized terms not otherwise defined herein shall have the same meanings as in the Plan;</w:t>
      </w:r>
    </w:p>
    <w:p>
      <w:pPr>
        <w:spacing w:after="0" w:line="17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WHEREAS, the Company has adopted the Generac Power Systems, Inc. Executive Change in Control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left="100" w:firstLine="1296"/>
        <w:spacing w:after="0" w:line="268" w:lineRule="auto"/>
        <w:rPr>
          <w:sz w:val="20"/>
          <w:szCs w:val="20"/>
          <w:color w:val="auto"/>
        </w:rPr>
      </w:pPr>
      <w:r>
        <w:rPr>
          <w:rFonts w:ascii="Times New Roman" w:cs="Times New Roman" w:eastAsia="Times New Roman" w:hAnsi="Times New Roman"/>
          <w:sz w:val="18"/>
          <w:szCs w:val="18"/>
          <w:color w:val="auto"/>
        </w:rPr>
        <w:t>WHEREAS, 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has determined that it would be in the best interests of the Company and its stockholders to grant the performance share unit award provided for herein to the Participant pursuant to the Plan and the terms and conditions set forth herein.</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left="100" w:firstLine="1296"/>
        <w:spacing w:after="0" w:line="254" w:lineRule="auto"/>
        <w:tabs>
          <w:tab w:leader="none" w:pos="1936"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 Award</w:t>
      </w:r>
      <w:r>
        <w:rPr>
          <w:rFonts w:ascii="Times New Roman" w:cs="Times New Roman" w:eastAsia="Times New Roman" w:hAnsi="Times New Roman"/>
          <w:sz w:val="18"/>
          <w:szCs w:val="18"/>
          <w:color w:val="auto"/>
        </w:rPr>
        <w:t>. The Company hereby confirms the grant to the Participant, as of the Grant Date and subject to the terms and conditions of this Agreement and the Plan, of an award of Performance Share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in an amount initially equal to the Target Number of Performance Share Units specified on the Participant’s online award acceptance page of the Administrator (“</w:t>
      </w:r>
      <w:r>
        <w:rPr>
          <w:rFonts w:ascii="Times New Roman" w:cs="Times New Roman" w:eastAsia="Times New Roman" w:hAnsi="Times New Roman"/>
          <w:sz w:val="18"/>
          <w:szCs w:val="18"/>
          <w:b w:val="1"/>
          <w:bCs w:val="1"/>
          <w:color w:val="auto"/>
        </w:rPr>
        <w:t>Target Number of Units</w:t>
      </w:r>
      <w:r>
        <w:rPr>
          <w:rFonts w:ascii="Times New Roman" w:cs="Times New Roman" w:eastAsia="Times New Roman" w:hAnsi="Times New Roman"/>
          <w:sz w:val="18"/>
          <w:szCs w:val="18"/>
          <w:color w:val="auto"/>
        </w:rPr>
        <w:t xml:space="preserve">”). The number of Units that may actually be achieved and become eligible to vest pursuant to this Award can be between 0% and 200% of the Target Number of Units. Each Unit that is achieved as a result of the performance goals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having been satisfied and which thereafter vests represents the right to receive one Share of the Company’s common stock. Prior to their settlement or forfeiture in accordance with the terms of this Agreement, the Units granted to the Participant will be credited to a performance share unit account in the Participant’s name maintained by the Company. This account will be unfunded and maintained for book-keeping purposes only, with the Units simply representing an unfunded and unsecured contingent obligation of the Company.</w:t>
      </w:r>
    </w:p>
    <w:p>
      <w:pPr>
        <w:spacing w:after="0" w:line="188" w:lineRule="exact"/>
        <w:rPr>
          <w:rFonts w:ascii="Times New Roman" w:cs="Times New Roman" w:eastAsia="Times New Roman" w:hAnsi="Times New Roman"/>
          <w:sz w:val="18"/>
          <w:szCs w:val="18"/>
          <w:color w:val="auto"/>
        </w:rPr>
      </w:pPr>
    </w:p>
    <w:p>
      <w:pPr>
        <w:ind w:left="1940" w:hanging="544"/>
        <w:spacing w:after="0"/>
        <w:tabs>
          <w:tab w:leader="none" w:pos="19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w:t>
      </w:r>
    </w:p>
    <w:p>
      <w:pPr>
        <w:spacing w:after="0" w:line="225" w:lineRule="exact"/>
        <w:rPr>
          <w:rFonts w:ascii="Times New Roman" w:cs="Times New Roman" w:eastAsia="Times New Roman" w:hAnsi="Times New Roman"/>
          <w:sz w:val="18"/>
          <w:szCs w:val="18"/>
          <w:color w:val="auto"/>
        </w:rPr>
      </w:pPr>
    </w:p>
    <w:p>
      <w:pPr>
        <w:ind w:left="960" w:right="40" w:hanging="329"/>
        <w:spacing w:after="0" w:line="255"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Vesting Date</w:t>
      </w:r>
      <w:r>
        <w:rPr>
          <w:rFonts w:ascii="Times New Roman" w:cs="Times New Roman" w:eastAsia="Times New Roman" w:hAnsi="Times New Roman"/>
          <w:sz w:val="18"/>
          <w:szCs w:val="18"/>
          <w:color w:val="auto"/>
        </w:rPr>
        <w:t xml:space="preserve">. The number of Units that have been achieved during the Performance Period, as determined by the Committee in accordance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will vest on the Scheduled Vesting Date, so long as the Participant’s Service has been continuous from the Grant Date to the Scheduled Vesting Date. For these purposes, the “</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 means the date the Committee certifies (i) the degree to which the applicable performance goals for the Performance Period have been satisfied, and (ii) the number of Units that have been earned based on achievement during the Performance Period specified on the Participant’s online award acceptance page of the Administrator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xml:space="preserve">”) as determined in accordance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certification shall occur no later than March 10 of the calendar year immediately following the calendar year during which the Performance Period ended.</w:t>
      </w:r>
    </w:p>
    <w:p>
      <w:pPr>
        <w:spacing w:after="0" w:line="188" w:lineRule="exact"/>
        <w:rPr>
          <w:rFonts w:ascii="Times New Roman" w:cs="Times New Roman" w:eastAsia="Times New Roman" w:hAnsi="Times New Roman"/>
          <w:sz w:val="18"/>
          <w:szCs w:val="18"/>
          <w:color w:val="auto"/>
        </w:rPr>
      </w:pPr>
    </w:p>
    <w:p>
      <w:pPr>
        <w:ind w:left="940" w:right="100" w:hanging="323"/>
        <w:spacing w:after="0" w:line="266"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for any reason (except as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Units, to the extent not then vested, shall immediately be forfeited by the Participant without consideration.</w:t>
      </w:r>
    </w:p>
    <w:p>
      <w:pPr>
        <w:spacing w:after="0" w:line="175" w:lineRule="exact"/>
        <w:rPr>
          <w:rFonts w:ascii="Times New Roman" w:cs="Times New Roman" w:eastAsia="Times New Roman" w:hAnsi="Times New Roman"/>
          <w:sz w:val="18"/>
          <w:szCs w:val="18"/>
          <w:color w:val="auto"/>
        </w:rPr>
      </w:pPr>
    </w:p>
    <w:p>
      <w:pPr>
        <w:ind w:left="960" w:hanging="329"/>
        <w:spacing w:after="0" w:line="267" w:lineRule="auto"/>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 for Normal Retirement</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hereof, upon a termination of the Participant’s Service by reason of Normal Retirement, as defined below, prior to the Scheduled Vesting Date, the Participant will be entitled to have vest on the Scheduled Vesting Date a pro rata portion (as determined below) of the Units that are achieved during the Performance Period in accordance with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subject to the Participant’s execution and non-revocation on or within the 45-day period after the Award payment date of an effective general release and waiver of all claims against the Company, its Affiliates and their respective officers and directors, in the form provided by the Company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xml:space="preserve">”). The pro rata portion shall be determined by multiplying the number of Units that would otherwise have been determined to have been achieved by a fraction whose numerator is the number of days during the Performance Period prior to the Participant’s employment termination date and whose denominator is the number of days in the Performance Period. For purposes of this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“Normal Retirement” shall mean a voluntary termination of employment by a Participant who has attained at least sixty</w:t>
      </w:r>
    </w:p>
    <w:p>
      <w:pPr>
        <w:spacing w:after="0" w:line="5" w:lineRule="exact"/>
        <w:rPr>
          <w:rFonts w:ascii="Times New Roman" w:cs="Times New Roman" w:eastAsia="Times New Roman" w:hAnsi="Times New Roman"/>
          <w:sz w:val="17"/>
          <w:szCs w:val="17"/>
          <w:color w:val="auto"/>
        </w:rPr>
      </w:pPr>
    </w:p>
    <w:p>
      <w:pPr>
        <w:ind w:left="1300" w:hanging="345"/>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age and has at least fifteen (15) years of service to the Company or any of its Affiliates.</w:t>
      </w:r>
    </w:p>
    <w:p>
      <w:pPr>
        <w:spacing w:after="0" w:line="206" w:lineRule="exact"/>
        <w:rPr>
          <w:rFonts w:ascii="Times New Roman" w:cs="Times New Roman" w:eastAsia="Times New Roman" w:hAnsi="Times New Roman"/>
          <w:sz w:val="18"/>
          <w:szCs w:val="18"/>
          <w:color w:val="auto"/>
        </w:rPr>
      </w:pPr>
    </w:p>
    <w:p>
      <w:pPr>
        <w:ind w:left="940" w:right="20" w:hanging="323"/>
        <w:spacing w:after="0" w:line="26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Death</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his or her death prior to the Scheduled Vesting Date, a pro rata portion of the Target Number of Units shall vest as of the date of Participant’s death and shall be paid to the beneficiary designated by the Participant or, in the absence of any such designation, to the Participant’s estate. The pro rata portion shall be determined utilizing a fraction determined in the same manner as provided in Section 2(c) above.</w:t>
      </w:r>
    </w:p>
    <w:p>
      <w:pPr>
        <w:spacing w:after="0" w:line="179" w:lineRule="exact"/>
        <w:rPr>
          <w:rFonts w:ascii="Times New Roman" w:cs="Times New Roman" w:eastAsia="Times New Roman" w:hAnsi="Times New Roman"/>
          <w:sz w:val="18"/>
          <w:szCs w:val="18"/>
          <w:color w:val="auto"/>
        </w:rPr>
      </w:pPr>
    </w:p>
    <w:p>
      <w:pPr>
        <w:ind w:left="960" w:hanging="329"/>
        <w:spacing w:after="0" w:line="258"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Disability</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his or her Disability prior to the Scheduled Vesting Date, a pro rata portion of the Target Number of Units shall vest as of the date of such termination of Service, subject to the Participant’s execution and non-revocation on or within the 45-day period after the termination of Service date of a Release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pro rata portion shall be determined utilizing a fraction determined in the same manner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351155</wp:posOffset>
            </wp:positionV>
            <wp:extent cx="713232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080"/>
          </w:cols>
          <w:pgMar w:left="480" w:top="117" w:right="339" w:bottom="136" w:gutter="0" w:footer="0" w:header="0"/>
        </w:sectPr>
      </w:pPr>
    </w:p>
    <w:bookmarkStart w:id="44" w:name="page45"/>
    <w:bookmarkEnd w:id="44"/>
    <w:p>
      <w:pPr>
        <w:ind w:left="880" w:right="40" w:hanging="322"/>
        <w:spacing w:after="0" w:line="254" w:lineRule="auto"/>
        <w:tabs>
          <w:tab w:leader="none" w:pos="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in Connection with a Change in 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(i) in the event of a Change in Control the provisions of Section 12 of the Plan shall apply except as specifically provided herein, (ii) in the event of the Participant’s Qualifying Termination (as defined under the CIC Policy)within the two (2) year period following a Change in Control and prior to the last day of the Performance Period, the Target Number of Units shall vest as of the date of such Qualifying Termination, and (iii) in the event of a Qualifying Termination within 120 days prior to the occurrence of a Change in Control and prior to the last day of the Performance Period, the Target Number of Units will vest upon the Change in Control. In all cases the vesting of Units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subject to the Participant’s execution on or after the termination of Service date of an effective general release and waiver of all claims against the Company, its Affiliates and their respective officers and directors.</w:t>
      </w:r>
    </w:p>
    <w:p>
      <w:pPr>
        <w:spacing w:after="0" w:line="187" w:lineRule="exact"/>
        <w:rPr>
          <w:rFonts w:ascii="Times New Roman" w:cs="Times New Roman" w:eastAsia="Times New Roman" w:hAnsi="Times New Roman"/>
          <w:sz w:val="18"/>
          <w:szCs w:val="18"/>
          <w:color w:val="auto"/>
        </w:rPr>
      </w:pPr>
    </w:p>
    <w:p>
      <w:pPr>
        <w:ind w:left="840" w:right="240" w:hanging="323"/>
        <w:spacing w:after="0" w:line="286"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Vesting Schedule</w:t>
      </w:r>
      <w:r>
        <w:rPr>
          <w:rFonts w:ascii="Times New Roman" w:cs="Times New Roman" w:eastAsia="Times New Roman" w:hAnsi="Times New Roman"/>
          <w:sz w:val="18"/>
          <w:szCs w:val="18"/>
          <w:color w:val="auto"/>
        </w:rPr>
        <w:t>. In the event that the Participant takes an authorized leave of absence (“</w:t>
      </w:r>
      <w:r>
        <w:rPr>
          <w:rFonts w:ascii="Times New Roman" w:cs="Times New Roman" w:eastAsia="Times New Roman" w:hAnsi="Times New Roman"/>
          <w:sz w:val="18"/>
          <w:szCs w:val="18"/>
          <w:b w:val="1"/>
          <w:bCs w:val="1"/>
          <w:color w:val="auto"/>
        </w:rPr>
        <w:t>LOA</w:t>
      </w:r>
      <w:r>
        <w:rPr>
          <w:rFonts w:ascii="Times New Roman" w:cs="Times New Roman" w:eastAsia="Times New Roman" w:hAnsi="Times New Roman"/>
          <w:sz w:val="18"/>
          <w:szCs w:val="18"/>
          <w:color w:val="auto"/>
        </w:rPr>
        <w:t>”) prior to the Scheduled Vesting Date, the Units subject to this Agreement that are scheduled to vest shall be modified as follows:</w:t>
      </w:r>
    </w:p>
    <w:p>
      <w:pPr>
        <w:spacing w:after="0" w:line="158" w:lineRule="exact"/>
        <w:rPr>
          <w:rFonts w:ascii="Times New Roman" w:cs="Times New Roman" w:eastAsia="Times New Roman" w:hAnsi="Times New Roman"/>
          <w:sz w:val="18"/>
          <w:szCs w:val="18"/>
          <w:color w:val="auto"/>
        </w:rPr>
      </w:pPr>
    </w:p>
    <w:p>
      <w:pPr>
        <w:ind w:left="1300" w:right="60" w:hanging="4"/>
        <w:spacing w:after="0" w:line="282" w:lineRule="auto"/>
        <w:tabs>
          <w:tab w:leader="none" w:pos="1515"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duration of the Participant’s LOA is sixty (60) days or less, the vesting schedule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not be affected by the Participant’s LOA.</w:t>
      </w:r>
    </w:p>
    <w:p>
      <w:pPr>
        <w:spacing w:after="0" w:line="161" w:lineRule="exact"/>
        <w:rPr>
          <w:rFonts w:ascii="Times New Roman" w:cs="Times New Roman" w:eastAsia="Times New Roman" w:hAnsi="Times New Roman"/>
          <w:sz w:val="18"/>
          <w:szCs w:val="18"/>
          <w:color w:val="auto"/>
        </w:rPr>
      </w:pPr>
    </w:p>
    <w:p>
      <w:pPr>
        <w:ind w:left="1300" w:right="20" w:hanging="4"/>
        <w:spacing w:after="0" w:line="282" w:lineRule="auto"/>
        <w:tabs>
          <w:tab w:leader="none" w:pos="1594"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duration of the Participant’s LOA is greater than sixty (60) days, the scheduled vesting of any Units awarded by this Agreement that are not then vested shall be deferred for a period of time equal to the duration of the Participant’s LOA.</w:t>
      </w:r>
    </w:p>
    <w:p>
      <w:pPr>
        <w:spacing w:after="0" w:line="161" w:lineRule="exact"/>
        <w:rPr>
          <w:rFonts w:ascii="Times New Roman" w:cs="Times New Roman" w:eastAsia="Times New Roman" w:hAnsi="Times New Roman"/>
          <w:sz w:val="18"/>
          <w:szCs w:val="18"/>
          <w:color w:val="auto"/>
        </w:rPr>
      </w:pPr>
    </w:p>
    <w:p>
      <w:pPr>
        <w:jc w:val="both"/>
        <w:ind w:firstLine="1278"/>
        <w:spacing w:after="0" w:line="255" w:lineRule="auto"/>
        <w:tabs>
          <w:tab w:leader="none" w:pos="19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below, as soon as administratively practicable, but not later than sixty (60) days (thirty (30) days in the case of vesting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following the vesting of the Units (as described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Company shall cause to be issued and delivered to the Participant (or to his or her personal representative or designated beneficiary or estate in the event of the Participant’s death, as applicable) one Share in payment and settlement of each vested Unit.</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the Shares shall be effected by the issuance of a stock certificate to the Participant, by an appropriate entry in the stock register maintained by the Company’s transfer agent with a notice of issuance provided to the Participant, or by the electronic delivery of the Shares to Participant’s brokerage account with the Administrator, and shall be subject to the tax withholding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compliance with all applicable legal requirements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and Section 16(c) of the Plan, and shall be in complete satisfaction and settlement of such vested Units.</w:t>
      </w:r>
    </w:p>
    <w:p>
      <w:pPr>
        <w:spacing w:after="0" w:line="189" w:lineRule="exact"/>
        <w:rPr>
          <w:sz w:val="20"/>
          <w:szCs w:val="20"/>
          <w:color w:val="auto"/>
        </w:rPr>
      </w:pPr>
    </w:p>
    <w:p>
      <w:pPr>
        <w:jc w:val="both"/>
        <w:ind w:firstLine="1296"/>
        <w:spacing w:after="0" w:line="266" w:lineRule="auto"/>
        <w:tabs>
          <w:tab w:leader="none" w:pos="18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Participant shall have none of the rights of a stockholder of the Company in connection with the Units unless and until Shares are issued to him or her in settlement of earned and vested Units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296"/>
        <w:spacing w:after="0" w:line="253" w:lineRule="auto"/>
        <w:tabs>
          <w:tab w:leader="none" w:pos="19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xml:space="preserve">. If the Company pays cash dividends on its Shares while any Units subject to this Agreement are outstanding, then on the date this Award vests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 total Dividend Equivalent amount will be credited to the Participant’s performance share unit account and shall be deemed reinvested in additional Units (“</w:t>
      </w:r>
      <w:r>
        <w:rPr>
          <w:rFonts w:ascii="Times New Roman" w:cs="Times New Roman" w:eastAsia="Times New Roman" w:hAnsi="Times New Roman"/>
          <w:sz w:val="18"/>
          <w:szCs w:val="18"/>
          <w:b w:val="1"/>
          <w:bCs w:val="1"/>
          <w:color w:val="auto"/>
        </w:rPr>
        <w:t>Dividend Equivalent Units</w:t>
      </w:r>
      <w:r>
        <w:rPr>
          <w:rFonts w:ascii="Times New Roman" w:cs="Times New Roman" w:eastAsia="Times New Roman" w:hAnsi="Times New Roman"/>
          <w:sz w:val="18"/>
          <w:szCs w:val="18"/>
          <w:color w:val="auto"/>
        </w:rPr>
        <w:t>”). The total Dividend Equivalent amount will be determined by multiplying the number of underlying Units determined to have vested by the per share amount of each cash dividend paid on the Company’s common stock with a record date and payment date occurring between the Grant Date and the applicable vesting date, and adding those products together. Each of those products is referred to as a “</w:t>
      </w:r>
      <w:r>
        <w:rPr>
          <w:rFonts w:ascii="Times New Roman" w:cs="Times New Roman" w:eastAsia="Times New Roman" w:hAnsi="Times New Roman"/>
          <w:sz w:val="18"/>
          <w:szCs w:val="18"/>
          <w:b w:val="1"/>
          <w:bCs w:val="1"/>
          <w:color w:val="auto"/>
        </w:rPr>
        <w:t>Dividend Equivalent Amount</w:t>
      </w:r>
      <w:r>
        <w:rPr>
          <w:rFonts w:ascii="Times New Roman" w:cs="Times New Roman" w:eastAsia="Times New Roman" w:hAnsi="Times New Roman"/>
          <w:sz w:val="18"/>
          <w:szCs w:val="18"/>
          <w:color w:val="auto"/>
        </w:rPr>
        <w:t xml:space="preserve">.” The number of Dividend Equivalent Units to be credited to the Participant’s performance share unit account pursuant to this deemed reinvestment will be determined by dividing each Dividend Equivalent Amount by the Fair Market Value of a share of the Company’s common stock on the applicable dividend payment date, and adding those quotients together. Any Dividend Equivalent Units so credited will be fully vested and subject to settlement with the underlying Units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w:t>
      </w:r>
    </w:p>
    <w:p>
      <w:pPr>
        <w:spacing w:after="0" w:line="194" w:lineRule="exact"/>
        <w:rPr>
          <w:rFonts w:ascii="Times New Roman" w:cs="Times New Roman" w:eastAsia="Times New Roman" w:hAnsi="Times New Roman"/>
          <w:sz w:val="18"/>
          <w:szCs w:val="18"/>
          <w:color w:val="auto"/>
        </w:rPr>
      </w:pPr>
    </w:p>
    <w:p>
      <w:pPr>
        <w:jc w:val="both"/>
        <w:ind w:firstLine="1296"/>
        <w:spacing w:after="0" w:line="266" w:lineRule="auto"/>
        <w:tabs>
          <w:tab w:leader="none" w:pos="18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If applicable, Participant hereby reaffirms their obligations under such Restrictive Covenant Agreement and nothing contained in this Agreement shall cancel, change or modify Participant’s obligations thereunder.</w:t>
      </w:r>
    </w:p>
    <w:p>
      <w:pPr>
        <w:spacing w:after="0" w:line="175" w:lineRule="exact"/>
        <w:rPr>
          <w:rFonts w:ascii="Times New Roman" w:cs="Times New Roman" w:eastAsia="Times New Roman" w:hAnsi="Times New Roman"/>
          <w:sz w:val="18"/>
          <w:szCs w:val="18"/>
          <w:color w:val="auto"/>
        </w:rPr>
      </w:pPr>
    </w:p>
    <w:p>
      <w:pPr>
        <w:jc w:val="both"/>
        <w:ind w:firstLine="1296"/>
        <w:spacing w:after="0" w:line="254" w:lineRule="auto"/>
        <w:tabs>
          <w:tab w:leader="none" w:pos="19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Services to the Company and thereafter to the fullest extent permitted by law, shall not make any oral or written communication to any person or entity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in the foregoing shall preclude the Participant from disclosing any information to Participant’s attorney, or from responding truthfully to any inquiry from a governmental entity, and/or engaging in any protected activities and/or from communicating with the Company’s CEO and/or those employees or directors with a need to know about personnel issues involving Company officers, directors and/or employees;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Section 7 prevents the Participant from discussing or disclosing information about unlawful acts in the workplace, such as harassment or discrimination or any other conduct that Participant has reason to believe is unlawful.</w:t>
      </w:r>
    </w:p>
    <w:p>
      <w:pPr>
        <w:spacing w:after="0" w:line="191" w:lineRule="exact"/>
        <w:rPr>
          <w:rFonts w:ascii="Times New Roman" w:cs="Times New Roman" w:eastAsia="Times New Roman" w:hAnsi="Times New Roman"/>
          <w:sz w:val="18"/>
          <w:szCs w:val="18"/>
          <w:color w:val="auto"/>
        </w:rPr>
      </w:pPr>
    </w:p>
    <w:p>
      <w:pPr>
        <w:jc w:val="both"/>
        <w:ind w:firstLine="1296"/>
        <w:spacing w:after="0" w:line="266" w:lineRule="auto"/>
        <w:tabs>
          <w:tab w:leader="none" w:pos="1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Agreement (including, without limitation, the number and kind of Units subject to this Agreement and the shares of stock deliverable with respect to such Units) may be adjusted as set forth in Section 12(a)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346075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45" w:name="page46"/>
    <w:bookmarkEnd w:id="45"/>
    <w:p>
      <w:pPr>
        <w:jc w:val="both"/>
        <w:ind w:left="-860" w:firstLine="1296"/>
        <w:spacing w:after="0" w:line="266" w:lineRule="auto"/>
        <w:tabs>
          <w:tab w:leader="none" w:pos="9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Units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jc w:val="both"/>
        <w:ind w:left="-860" w:firstLine="1296"/>
        <w:spacing w:after="0" w:line="254" w:lineRule="auto"/>
        <w:tabs>
          <w:tab w:leader="none" w:pos="9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Laws/Restrictions</w:t>
      </w:r>
      <w:r>
        <w:rPr>
          <w:rFonts w:ascii="Times New Roman" w:cs="Times New Roman" w:eastAsia="Times New Roman" w:hAnsi="Times New Roman"/>
          <w:sz w:val="18"/>
          <w:szCs w:val="18"/>
          <w:color w:val="auto"/>
        </w:rPr>
        <w:t>. The issuance and delivery of Shares pursuant to this Agreement shall comply with Section 16(c) of the Plan as well as comply with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of common stock under the Plan or Awards, and accordingly any certificates or other indicia of ownership for shares of common stock may have an appropriate legend or statement of applicable restrictions endorsed thereon. If the Company deems it necessary to ensure that the issuance of shares of common stock under the Plan is not required to be registered under any applicable securities laws, each Participant to whom such shares of common stock would be issued shall deliver to the Company an agreement or certificate containing such representations, warranties and covenants as the Company may reasonably request which satisfies such requirements.</w:t>
      </w:r>
    </w:p>
    <w:p>
      <w:pPr>
        <w:spacing w:after="0" w:line="188" w:lineRule="exact"/>
        <w:rPr>
          <w:rFonts w:ascii="Times New Roman" w:cs="Times New Roman" w:eastAsia="Times New Roman" w:hAnsi="Times New Roman"/>
          <w:sz w:val="18"/>
          <w:szCs w:val="18"/>
          <w:color w:val="auto"/>
        </w:rPr>
      </w:pPr>
    </w:p>
    <w:p>
      <w:pPr>
        <w:jc w:val="both"/>
        <w:ind w:left="-860" w:firstLine="1296"/>
        <w:spacing w:after="0" w:line="255" w:lineRule="auto"/>
        <w:tabs>
          <w:tab w:leader="none" w:pos="9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Units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Units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jc w:val="both"/>
        <w:ind w:left="-860" w:firstLine="1296"/>
        <w:spacing w:after="0" w:line="266" w:lineRule="auto"/>
        <w:tabs>
          <w:tab w:leader="none" w:pos="10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transfer of Shares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jc w:val="both"/>
        <w:ind w:left="-860" w:firstLine="1296"/>
        <w:spacing w:after="0" w:line="261" w:lineRule="auto"/>
        <w:tabs>
          <w:tab w:leader="none" w:pos="9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left="-860" w:firstLine="1296"/>
        <w:spacing w:after="0" w:line="256" w:lineRule="auto"/>
        <w:tabs>
          <w:tab w:leader="none" w:pos="11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7" w:lineRule="exact"/>
        <w:rPr>
          <w:rFonts w:ascii="Times New Roman" w:cs="Times New Roman" w:eastAsia="Times New Roman" w:hAnsi="Times New Roman"/>
          <w:sz w:val="18"/>
          <w:szCs w:val="18"/>
          <w:color w:val="auto"/>
        </w:rPr>
      </w:pPr>
    </w:p>
    <w:p>
      <w:pPr>
        <w:ind w:left="-860" w:right="20" w:firstLine="1296"/>
        <w:spacing w:after="0" w:line="282" w:lineRule="auto"/>
        <w:tabs>
          <w:tab w:leader="none" w:pos="10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left="-900" w:right="160" w:firstLine="1336"/>
        <w:spacing w:after="0" w:line="261" w:lineRule="auto"/>
        <w:tabs>
          <w:tab w:leader="none" w:pos="9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6" w:name="page47"/>
    <w:bookmarkEnd w:id="46"/>
    <w:p>
      <w:pPr>
        <w:jc w:val="both"/>
        <w:ind w:left="-860" w:firstLine="1296"/>
        <w:spacing w:after="0" w:line="266" w:lineRule="auto"/>
        <w:tabs>
          <w:tab w:leader="none" w:pos="10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left="-860" w:firstLine="1296"/>
        <w:spacing w:after="0" w:line="261" w:lineRule="auto"/>
        <w:tabs>
          <w:tab w:leader="none" w:pos="113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Units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Units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9" w:lineRule="exact"/>
        <w:rPr>
          <w:rFonts w:ascii="Times New Roman" w:cs="Times New Roman" w:eastAsia="Times New Roman" w:hAnsi="Times New Roman"/>
          <w:sz w:val="18"/>
          <w:szCs w:val="18"/>
          <w:color w:val="auto"/>
        </w:rPr>
      </w:pPr>
    </w:p>
    <w:p>
      <w:pPr>
        <w:jc w:val="both"/>
        <w:ind w:left="-860" w:firstLine="1296"/>
        <w:spacing w:after="0" w:line="255" w:lineRule="auto"/>
        <w:tabs>
          <w:tab w:leader="none" w:pos="9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Participants (or their beneficiaries) shall be responsible for all taxes with respect to the Units and related Shares, if any, that are vested. The Committee and the Company make no guarantees regarding the tax treatment of this Award. Neither the Committee nor the Company has any obligation to take any action to prevent the assessment of any tax under Section 409A of the Code or Section 457A of the Code or otherwise and none of the Company, any Subsidiary or Affiliate, or any of their employees or representatives shall have any liability to a Participant with respect thereto. If the delivery of Shares pursuant to the vesting of the Units is conditioned upon the execution of a release by the Participant and the combined time period for the execution of the release and the delivery of such shares overlaps the end of a calendar year, the shares of common stock shall be delivered in the second calendar year.</w:t>
      </w:r>
    </w:p>
    <w:p>
      <w:pPr>
        <w:spacing w:after="0" w:line="188" w:lineRule="exact"/>
        <w:rPr>
          <w:rFonts w:ascii="Times New Roman" w:cs="Times New Roman" w:eastAsia="Times New Roman" w:hAnsi="Times New Roman"/>
          <w:sz w:val="18"/>
          <w:szCs w:val="18"/>
          <w:color w:val="auto"/>
        </w:rPr>
      </w:pPr>
    </w:p>
    <w:p>
      <w:pPr>
        <w:ind w:left="-860" w:firstLine="1296"/>
        <w:spacing w:after="0" w:line="282" w:lineRule="auto"/>
        <w:tabs>
          <w:tab w:leader="none" w:pos="10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or the CEO, may amend or alter this Agreement and the Units granted hereunder at any time, subject to the terms of the Plan.</w:t>
      </w:r>
    </w:p>
    <w:p>
      <w:pPr>
        <w:spacing w:after="0" w:line="161" w:lineRule="exact"/>
        <w:rPr>
          <w:rFonts w:ascii="Times New Roman" w:cs="Times New Roman" w:eastAsia="Times New Roman" w:hAnsi="Times New Roman"/>
          <w:sz w:val="18"/>
          <w:szCs w:val="18"/>
          <w:color w:val="auto"/>
        </w:rPr>
      </w:pPr>
    </w:p>
    <w:p>
      <w:pPr>
        <w:ind w:left="-860" w:firstLine="1296"/>
        <w:spacing w:after="0" w:line="282" w:lineRule="auto"/>
        <w:tabs>
          <w:tab w:leader="none" w:pos="9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rFonts w:ascii="Times New Roman" w:cs="Times New Roman" w:eastAsia="Times New Roman" w:hAnsi="Times New Roman"/>
          <w:sz w:val="18"/>
          <w:szCs w:val="18"/>
          <w:color w:val="auto"/>
        </w:rPr>
      </w:pPr>
    </w:p>
    <w:p>
      <w:pPr>
        <w:jc w:val="both"/>
        <w:ind w:left="-860" w:firstLine="1296"/>
        <w:spacing w:after="0" w:line="256" w:lineRule="auto"/>
        <w:tabs>
          <w:tab w:leader="none" w:pos="97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The Agreement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Units shall be final and conclusive.</w:t>
      </w:r>
    </w:p>
    <w:p>
      <w:pPr>
        <w:spacing w:after="0" w:line="187" w:lineRule="exact"/>
        <w:rPr>
          <w:rFonts w:ascii="Times New Roman" w:cs="Times New Roman" w:eastAsia="Times New Roman" w:hAnsi="Times New Roman"/>
          <w:sz w:val="18"/>
          <w:szCs w:val="18"/>
          <w:color w:val="auto"/>
        </w:rPr>
      </w:pPr>
    </w:p>
    <w:p>
      <w:pPr>
        <w:jc w:val="both"/>
        <w:ind w:left="-860" w:firstLine="1296"/>
        <w:spacing w:after="0" w:line="255" w:lineRule="auto"/>
        <w:tabs>
          <w:tab w:leader="none" w:pos="120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to the extent that this Award and any compensation associated therewith is considered “incentive-based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8" w:lineRule="exact"/>
        <w:rPr>
          <w:rFonts w:ascii="Times New Roman" w:cs="Times New Roman" w:eastAsia="Times New Roman" w:hAnsi="Times New Roman"/>
          <w:sz w:val="18"/>
          <w:szCs w:val="18"/>
          <w:color w:val="auto"/>
        </w:rPr>
      </w:pPr>
    </w:p>
    <w:p>
      <w:pPr>
        <w:ind w:left="-960" w:right="40" w:firstLine="1378"/>
        <w:spacing w:after="0" w:line="255" w:lineRule="auto"/>
        <w:tabs>
          <w:tab w:leader="none" w:pos="9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“Restricted Period”), the Participant breaches any of the restrictive covenants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then (i) the Participant shall immediately forfeit this Award and any right to receive Shares that have not yet been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(ii) with respect to Shares that have been issued pursuant to this Award, either (A) the Participant shall return such Shares to the Company, or (B) the Participant shall pay to the Company in cash an amount equal to the Fair Market Value of such Shares as of the respective vesting date of the underlying Units.</w:t>
      </w:r>
    </w:p>
    <w:p>
      <w:pPr>
        <w:sectPr>
          <w:pgSz w:w="11900" w:h="16838" w:orient="portrait"/>
          <w:cols w:equalWidth="0" w:num="1">
            <w:col w:w="10120"/>
          </w:cols>
          <w:pgMar w:left="1440" w:top="58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Upon acceptance by you through the online acceptance procedures of the Third Party Stock Plan Administrator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this Nonqualified Stock Option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the date set forth on your online award acceptance page of the Administrator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which is incorporated by reference herein, between Generac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adopted and the stockholders have approved the Generac Holdings Inc. Amended and Restated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Agreement. Capitalized terms not otherwise defined herein shall have the same meanings as in the Plan;</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WHEREAS, the Company has adopted the Generac Power Systems, Inc. Executive Change in Control Policy (the “</w:t>
      </w:r>
      <w:r>
        <w:rPr>
          <w:rFonts w:ascii="Times New Roman" w:cs="Times New Roman" w:eastAsia="Times New Roman" w:hAnsi="Times New Roman"/>
          <w:sz w:val="17"/>
          <w:szCs w:val="17"/>
          <w:b w:val="1"/>
          <w:bCs w:val="1"/>
          <w:color w:val="auto"/>
        </w:rPr>
        <w:t>CIC Policy</w:t>
      </w:r>
      <w:r>
        <w:rPr>
          <w:rFonts w:ascii="Times New Roman" w:cs="Times New Roman" w:eastAsia="Times New Roman" w:hAnsi="Times New Roman"/>
          <w:sz w:val="17"/>
          <w:szCs w:val="17"/>
          <w:color w:val="auto"/>
        </w:rPr>
        <w:t>”); and</w:t>
      </w:r>
    </w:p>
    <w:p>
      <w:pPr>
        <w:spacing w:after="0" w:line="241" w:lineRule="exact"/>
        <w:rPr>
          <w:sz w:val="20"/>
          <w:szCs w:val="20"/>
          <w:color w:val="auto"/>
        </w:rPr>
      </w:pPr>
    </w:p>
    <w:p>
      <w:pPr>
        <w:jc w:val="both"/>
        <w:ind w:left="100" w:firstLine="1296"/>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1" w:lineRule="exact"/>
        <w:rPr>
          <w:sz w:val="20"/>
          <w:szCs w:val="20"/>
          <w:color w:val="auto"/>
        </w:rPr>
      </w:pPr>
    </w:p>
    <w:p>
      <w:pPr>
        <w:jc w:val="both"/>
        <w:ind w:left="100" w:firstLine="1296"/>
        <w:spacing w:after="0" w:line="262" w:lineRule="auto"/>
        <w:tabs>
          <w:tab w:leader="none" w:pos="20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Option</w:t>
      </w:r>
      <w:r>
        <w:rPr>
          <w:rFonts w:ascii="Times New Roman" w:cs="Times New Roman" w:eastAsia="Times New Roman" w:hAnsi="Times New Roman"/>
          <w:sz w:val="18"/>
          <w:szCs w:val="18"/>
          <w:color w:val="auto"/>
        </w:rPr>
        <w:t>. The Company hereby grants to the Participant the right and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on the terms and conditions hereinafter set forth, all or any part of an aggregate a certain number of Shares as set forth on the Participant’s Notice of Award) attached hereto, which is incorporated herein by reference and made a part of this Agreement. The Option is intended to be a Non-Qualified Stock Option.</w:t>
      </w:r>
    </w:p>
    <w:p>
      <w:pPr>
        <w:spacing w:after="0" w:line="180" w:lineRule="exact"/>
        <w:rPr>
          <w:rFonts w:ascii="Times New Roman" w:cs="Times New Roman" w:eastAsia="Times New Roman" w:hAnsi="Times New Roman"/>
          <w:sz w:val="18"/>
          <w:szCs w:val="18"/>
          <w:color w:val="auto"/>
        </w:rPr>
      </w:pPr>
    </w:p>
    <w:p>
      <w:pPr>
        <w:jc w:val="both"/>
        <w:ind w:left="100" w:firstLine="1296"/>
        <w:spacing w:after="0" w:line="266" w:lineRule="auto"/>
        <w:tabs>
          <w:tab w:leader="none" w:pos="20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purchase price of the Shares subject to the Option shall equal the exercise price as defined and calculated pursuant to Section 7 of the Plan, and which corresponds to the Grant Date set forth on your online award acceptance page of the Administrator and denoted as the award exercise price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00" w:firstLine="1296"/>
        <w:spacing w:after="0" w:line="266" w:lineRule="auto"/>
        <w:tabs>
          <w:tab w:leader="none" w:pos="19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xml:space="preserve">. The term of the Option shall be ten (10) years, commencing on the Date of Grant, unless terminated at an earlier time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Option shall automatically terminate upon the expiration of the Option Term, or at such earlier time specified herein or in the Plan.</w:t>
      </w:r>
    </w:p>
    <w:p>
      <w:pPr>
        <w:spacing w:after="0" w:line="175" w:lineRule="exact"/>
        <w:rPr>
          <w:rFonts w:ascii="Times New Roman" w:cs="Times New Roman" w:eastAsia="Times New Roman" w:hAnsi="Times New Roman"/>
          <w:sz w:val="18"/>
          <w:szCs w:val="18"/>
          <w:color w:val="auto"/>
        </w:rPr>
      </w:pPr>
    </w:p>
    <w:p>
      <w:pPr>
        <w:jc w:val="both"/>
        <w:ind w:left="100" w:firstLine="1296"/>
        <w:spacing w:after="0" w:line="256" w:lineRule="auto"/>
        <w:tabs>
          <w:tab w:leader="none" w:pos="21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Vesting of the Option</w:t>
      </w:r>
      <w:r>
        <w:rPr>
          <w:rFonts w:ascii="Times New Roman" w:cs="Times New Roman" w:eastAsia="Times New Roman" w:hAnsi="Times New Roman"/>
          <w:sz w:val="18"/>
          <w:szCs w:val="18"/>
          <w:color w:val="auto"/>
        </w:rPr>
        <w:t>. Subject to the Participant’s continued Service to the Company through the applicable vesting date, the Option shall vest in equal installments on each of the first four (4) anniversaries of the Date of Grant, such that twenty-five percent (25%) of the Option vests on each such anniversary. At any time, the portion of the Option which has become vested in accordance with the terms hereof shall be called the “</w:t>
      </w:r>
      <w:r>
        <w:rPr>
          <w:rFonts w:ascii="Times New Roman" w:cs="Times New Roman" w:eastAsia="Times New Roman" w:hAnsi="Times New Roman"/>
          <w:sz w:val="18"/>
          <w:szCs w:val="18"/>
          <w:b w:val="1"/>
          <w:bCs w:val="1"/>
          <w:color w:val="auto"/>
        </w:rPr>
        <w:t>Vested Portion</w:t>
      </w:r>
      <w:r>
        <w:rPr>
          <w:rFonts w:ascii="Times New Roman" w:cs="Times New Roman" w:eastAsia="Times New Roman" w:hAnsi="Times New Roman"/>
          <w:sz w:val="18"/>
          <w:szCs w:val="18"/>
          <w:color w:val="auto"/>
        </w:rPr>
        <w:t>”. To the extent the Option has not already been exercised and has not expired or been terminated or cancelled, the Participant or the person otherwise entitled to exercise the Option as provided in this Agreement may at any time during the Option Term purchase all or any portion of the Shares subject to the Vested Portion.</w:t>
      </w:r>
    </w:p>
    <w:p>
      <w:pPr>
        <w:spacing w:after="0" w:line="187" w:lineRule="exact"/>
        <w:rPr>
          <w:rFonts w:ascii="Times New Roman" w:cs="Times New Roman" w:eastAsia="Times New Roman" w:hAnsi="Times New Roman"/>
          <w:sz w:val="18"/>
          <w:szCs w:val="18"/>
          <w:color w:val="auto"/>
        </w:rPr>
      </w:pPr>
    </w:p>
    <w:p>
      <w:pPr>
        <w:jc w:val="both"/>
        <w:ind w:left="100" w:firstLine="1458"/>
        <w:spacing w:after="0" w:line="255" w:lineRule="auto"/>
        <w:tabs>
          <w:tab w:leader="none" w:pos="195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Vesting Upon Termination in Connection with a Change in 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 in the event of a Change in Control, the provisions of Section12 of the Plan shall apply except as specifically provided herein, and (ii) in the event of (1) Participant’s Qualifying Termination (as defined under the CIC Policy) or (2) a termination of Participant’s Service by the Company or any Affiliate without Cause within the one (1) year period following a Change in Control, the Option shall immediately vest and become exercisable in full as of the date of such Qualifying Termination or termination of Participant’s Service, as applicable, and shall remain exercisable until the earlier of (x) one (1) year following such Qualifying Termination or termination of Service, as applicable, and (y) the expiration of the Option Term. In addition, vesting and exercisability of this Option may be accelerated during the term of the Option under the circumstances described in Section 12(b)(2)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354330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48" w:name="page49"/>
    <w:bookmarkEnd w:id="48"/>
    <w:p>
      <w:pPr>
        <w:ind w:left="1948" w:hanging="544"/>
        <w:spacing w:after="0"/>
        <w:tabs>
          <w:tab w:leader="none" w:pos="19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8" w:firstLine="1944"/>
        <w:spacing w:after="0" w:line="282" w:lineRule="auto"/>
        <w:tabs>
          <w:tab w:leader="none" w:pos="2634"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Cause</w:t>
      </w:r>
      <w:r>
        <w:rPr>
          <w:rFonts w:ascii="Times New Roman" w:cs="Times New Roman" w:eastAsia="Times New Roman" w:hAnsi="Times New Roman"/>
          <w:sz w:val="18"/>
          <w:szCs w:val="18"/>
          <w:color w:val="auto"/>
        </w:rPr>
        <w:t>. Upon a termination of the Participant’s Service by the Company for Cause, the Option, including the Vested Portion, shall immediately terminate and be forfeited without consideration.</w:t>
      </w:r>
    </w:p>
    <w:p>
      <w:pPr>
        <w:spacing w:after="0" w:line="161" w:lineRule="exact"/>
        <w:rPr>
          <w:rFonts w:ascii="Times New Roman" w:cs="Times New Roman" w:eastAsia="Times New Roman" w:hAnsi="Times New Roman"/>
          <w:sz w:val="18"/>
          <w:szCs w:val="18"/>
          <w:color w:val="auto"/>
        </w:rPr>
      </w:pPr>
    </w:p>
    <w:p>
      <w:pPr>
        <w:jc w:val="both"/>
        <w:ind w:left="108" w:firstLine="1944"/>
        <w:spacing w:after="0" w:line="254" w:lineRule="auto"/>
        <w:tabs>
          <w:tab w:leader="none" w:pos="2604"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Normal Retirement</w:t>
      </w:r>
      <w:r>
        <w:rPr>
          <w:rFonts w:ascii="Times New Roman" w:cs="Times New Roman" w:eastAsia="Times New Roman" w:hAnsi="Times New Roman"/>
          <w:sz w:val="18"/>
          <w:szCs w:val="18"/>
          <w:color w:val="auto"/>
        </w:rPr>
        <w:t xml:space="preserve">. Upon a termination of the Participant’s Service by reason of Normal Retirement, any unvested portion of the Option shall continue to vest during the period beginning on the last date of the Participant’s employment with the Company and ending on the earlier of (i) one year (two years, if at least six (6) months’ notice of Normal Retirement is provided) following such last date of employment and (ii) the expiration of the Option Term, and any portion so vested shall remain exercisable until the earlier of (i) the end of such one (or two) year period following the last date of employment and (ii) the expiration of the Option Term. However, any unvested portion of an Option issued within six (6) months of this Agreement, as of the Participant’s last date of employment, shall be forfeited. Any Vested Portion as of the last date of employment as contemplated by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remain exercisable until the earlier of (i) one year following such termination of Service and (ii) the expiration of the Option Term. “</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shall mean a voluntary termination of employment or service by a Participant who has attained at least sixty (60) years of age and has at least fifteen (15) years of service to the Company or any of its Affiliates.</w:t>
      </w:r>
    </w:p>
    <w:p>
      <w:pPr>
        <w:spacing w:after="0" w:line="188" w:lineRule="exact"/>
        <w:rPr>
          <w:rFonts w:ascii="Times New Roman" w:cs="Times New Roman" w:eastAsia="Times New Roman" w:hAnsi="Times New Roman"/>
          <w:sz w:val="18"/>
          <w:szCs w:val="18"/>
          <w:color w:val="auto"/>
        </w:rPr>
      </w:pPr>
    </w:p>
    <w:p>
      <w:pPr>
        <w:jc w:val="both"/>
        <w:ind w:left="108" w:firstLine="1926"/>
        <w:spacing w:after="0" w:line="266" w:lineRule="auto"/>
        <w:tabs>
          <w:tab w:leader="none" w:pos="262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Death or Disability</w:t>
      </w:r>
      <w:r>
        <w:rPr>
          <w:rFonts w:ascii="Times New Roman" w:cs="Times New Roman" w:eastAsia="Times New Roman" w:hAnsi="Times New Roman"/>
          <w:sz w:val="18"/>
          <w:szCs w:val="18"/>
          <w:color w:val="auto"/>
        </w:rPr>
        <w:t>. Upon a termination of the Participant’s Service by reason of death or Disability, any unvested portion of the Option shall vest as of the termination of Service and the Option shall remain exercisable until the earlier of (i) one year following such termination of Service and (ii) the expiration of the Option Term.</w:t>
      </w:r>
    </w:p>
    <w:p>
      <w:pPr>
        <w:spacing w:after="0" w:line="175" w:lineRule="exact"/>
        <w:rPr>
          <w:rFonts w:ascii="Times New Roman" w:cs="Times New Roman" w:eastAsia="Times New Roman" w:hAnsi="Times New Roman"/>
          <w:sz w:val="18"/>
          <w:szCs w:val="18"/>
          <w:color w:val="auto"/>
        </w:rPr>
      </w:pPr>
    </w:p>
    <w:p>
      <w:pPr>
        <w:jc w:val="both"/>
        <w:ind w:left="8" w:firstLine="2026"/>
        <w:spacing w:after="0" w:line="257" w:lineRule="auto"/>
        <w:tabs>
          <w:tab w:leader="none" w:pos="278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as contemplated by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6</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xml:space="preserve">, above, any unvested portion of the Option shall immediately terminate and be forfeited without consideration. Any Vested Portion as of the date of a termination of Service contemplated by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shall remain exercisable until the earlier of</w:t>
      </w:r>
    </w:p>
    <w:p>
      <w:pPr>
        <w:spacing w:after="0" w:line="1" w:lineRule="exact"/>
        <w:rPr>
          <w:rFonts w:ascii="Times New Roman" w:cs="Times New Roman" w:eastAsia="Times New Roman" w:hAnsi="Times New Roman"/>
          <w:sz w:val="18"/>
          <w:szCs w:val="18"/>
          <w:color w:val="auto"/>
        </w:rPr>
      </w:pPr>
    </w:p>
    <w:p>
      <w:pPr>
        <w:ind w:left="208" w:hanging="208"/>
        <w:spacing w:after="0"/>
        <w:tabs>
          <w:tab w:leader="none" w:pos="2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following such termination of Service and (ii) the expiration of the Option Term.</w:t>
      </w:r>
    </w:p>
    <w:p>
      <w:pPr>
        <w:spacing w:after="0" w:line="206" w:lineRule="exact"/>
        <w:rPr>
          <w:rFonts w:ascii="Times New Roman" w:cs="Times New Roman" w:eastAsia="Times New Roman" w:hAnsi="Times New Roman"/>
          <w:sz w:val="18"/>
          <w:szCs w:val="18"/>
          <w:color w:val="auto"/>
        </w:rPr>
      </w:pPr>
    </w:p>
    <w:p>
      <w:pPr>
        <w:ind w:left="1948" w:hanging="544"/>
        <w:spacing w:after="0"/>
        <w:tabs>
          <w:tab w:leader="none" w:pos="19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8" w:firstLine="1944"/>
        <w:spacing w:after="0" w:line="255" w:lineRule="auto"/>
        <w:tabs>
          <w:tab w:leader="none" w:pos="2594"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Participant or the Participant’s representative may exercise the Vested Portion or any part thereof prior to the expiration of the Option Term via the Participant’s online award account with the Administrator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Notice of Exercise shall be signed by the person exercising such Option. In the event that such Option is being exercised by the Participant’s representative, the Notice of Exercise shall be accompanied by proof (satisfactory to the Company) of such representative’s right to exercise such Option. In the event the Option is being exercised following the termination of the Participant’s Service, exercise shall be subject to the Participant’s execution within forty-five (45) days after the termination date, and non-revocation of, of an effective general release and waiver of all claims against the Company, its Affiliates and their respective officers and directors, in the form provided by the Company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08" w:firstLine="1944"/>
        <w:spacing w:after="0" w:line="266" w:lineRule="auto"/>
        <w:tabs>
          <w:tab w:leader="none" w:pos="2617"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Participant or the Participant’s representative shall deliver to the Company, at the time the Notice of Exercise is given, payment in a form permissible under Section 7 of the Plan for the full amount of the aggregate Exercise Price for the exercised Option.</w:t>
      </w:r>
    </w:p>
    <w:p>
      <w:pPr>
        <w:spacing w:after="0" w:line="175" w:lineRule="exact"/>
        <w:rPr>
          <w:rFonts w:ascii="Times New Roman" w:cs="Times New Roman" w:eastAsia="Times New Roman" w:hAnsi="Times New Roman"/>
          <w:sz w:val="18"/>
          <w:szCs w:val="18"/>
          <w:color w:val="auto"/>
        </w:rPr>
      </w:pPr>
    </w:p>
    <w:p>
      <w:pPr>
        <w:jc w:val="both"/>
        <w:ind w:left="108" w:firstLine="1944"/>
        <w:spacing w:after="0" w:line="254" w:lineRule="auto"/>
        <w:tabs>
          <w:tab w:leader="none" w:pos="2621"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xml:space="preserve">. Provided the Company receives a properly completed and executed Notice of Exercise and has determined that all other conditions to exercise, including satisfaction of withholding tax obligations and compliance with applicable laws as provided in Section 16(c) of the Plan, have been satisfied, payment for the full amount of the aggregate Exercise Price, and, if applicable, an effective Release as required by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promptly cause to be issued certificates for the Shares underlying the exercised Option, registered in the name of the Person exercising the applicable Option, as evidenced by issuance of a stock certificate or certificates, electronic delivery of such Shares to a brokerage account of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w:t>
      </w:r>
    </w:p>
    <w:p>
      <w:pPr>
        <w:spacing w:after="0" w:line="191" w:lineRule="exact"/>
        <w:rPr>
          <w:rFonts w:ascii="Times New Roman" w:cs="Times New Roman" w:eastAsia="Times New Roman" w:hAnsi="Times New Roman"/>
          <w:sz w:val="18"/>
          <w:szCs w:val="18"/>
          <w:color w:val="auto"/>
        </w:rPr>
      </w:pPr>
    </w:p>
    <w:p>
      <w:pPr>
        <w:jc w:val="both"/>
        <w:ind w:left="108" w:firstLine="1296"/>
        <w:spacing w:after="0" w:line="266" w:lineRule="auto"/>
        <w:tabs>
          <w:tab w:leader="none" w:pos="20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If applicable, Participant hereby reaffirms their obligations under such restrictive covenant agreement and nothing contained in this Agreement shall cancel, change or modify Participant’s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346075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49" w:name="page50"/>
    <w:bookmarkEnd w:id="49"/>
    <w:p>
      <w:pPr>
        <w:jc w:val="both"/>
        <w:ind w:left="100" w:firstLine="1296"/>
        <w:spacing w:after="0" w:line="256" w:lineRule="auto"/>
        <w:tabs>
          <w:tab w:leader="none" w:pos="20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nothing in the foregoing shall preclude the Participant from disclosing any information to Participant’s attorney or in response to a lawful subpoena or court order requiring disclosure of information; and provided further that nothing in this Section 9 prevents the Participant from discussing or disclosing information about unlawful acts in the workplace, such as harassment or discrimination or any other conduct that Participant has reason to believe is unlawful.</w:t>
      </w:r>
    </w:p>
    <w:p>
      <w:pPr>
        <w:spacing w:after="0" w:line="187" w:lineRule="exact"/>
        <w:rPr>
          <w:rFonts w:ascii="Times New Roman" w:cs="Times New Roman" w:eastAsia="Times New Roman" w:hAnsi="Times New Roman"/>
          <w:sz w:val="18"/>
          <w:szCs w:val="18"/>
          <w:color w:val="auto"/>
        </w:rPr>
      </w:pPr>
    </w:p>
    <w:p>
      <w:pPr>
        <w:jc w:val="both"/>
        <w:ind w:left="100" w:firstLine="1296"/>
        <w:spacing w:after="0" w:line="266" w:lineRule="auto"/>
        <w:tabs>
          <w:tab w:leader="none" w:pos="19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Agreement (including, without limitation, the number and kind of Shares subject to this Agreement and the Exercise Price) may be adjusted as set forth in Section 12(a) of the Plan.</w:t>
      </w:r>
    </w:p>
    <w:p>
      <w:pPr>
        <w:spacing w:after="0" w:line="175" w:lineRule="exact"/>
        <w:rPr>
          <w:rFonts w:ascii="Times New Roman" w:cs="Times New Roman" w:eastAsia="Times New Roman" w:hAnsi="Times New Roman"/>
          <w:sz w:val="18"/>
          <w:szCs w:val="18"/>
          <w:color w:val="auto"/>
        </w:rPr>
      </w:pPr>
    </w:p>
    <w:p>
      <w:pPr>
        <w:jc w:val="both"/>
        <w:ind w:left="100" w:firstLine="1296"/>
        <w:spacing w:after="0" w:line="253" w:lineRule="auto"/>
        <w:tabs>
          <w:tab w:leader="none" w:pos="21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PARTICIPANT ACKNOWLEDGES AND AGREES THAT THE VESTING OF THE OPTIONS PURSUANT TO THE VESTING SCHEDULE HEREOF IS OBTAINED ONLY BY CONTINUING AS A SERVICE PROVIDER, WHICH UNLESS PROVIDED OTHERWISE UNDER APPLICABLE LAWS IS AT THE WILL OF THE COMPANY AND ITS AFFILIATES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AND NOT THROUGH THE ACT OF BEING HIRED, BEING GRANTED THIS AWARD OR ACQUIRING OPTIONS OR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GROUP TO TERMINATE PARTICIPANT’S RELATIONSHIP AS A SERVICE PROVIDER, SUBJECT TO APPLICABLE LAW, WHICH TERMINATION, UNLESS PROVIDED OTHERWISE UNDER APPLICABLE LAW, MAY BE AT ANY TIME, WITH OR WITHOUT CAUSE.</w:t>
      </w:r>
    </w:p>
    <w:p>
      <w:pPr>
        <w:spacing w:after="0" w:line="194" w:lineRule="exact"/>
        <w:rPr>
          <w:rFonts w:ascii="Times New Roman" w:cs="Times New Roman" w:eastAsia="Times New Roman" w:hAnsi="Times New Roman"/>
          <w:sz w:val="18"/>
          <w:szCs w:val="18"/>
          <w:color w:val="auto"/>
        </w:rPr>
      </w:pPr>
    </w:p>
    <w:p>
      <w:pPr>
        <w:ind w:left="1940" w:hanging="544"/>
        <w:spacing w:after="0"/>
        <w:tabs>
          <w:tab w:leader="none" w:pos="1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Options, Participant acknowledges, understands and agrees that:</w:t>
      </w:r>
    </w:p>
    <w:p>
      <w:pPr>
        <w:spacing w:after="0" w:line="225" w:lineRule="exact"/>
        <w:rPr>
          <w:rFonts w:ascii="Times New Roman" w:cs="Times New Roman" w:eastAsia="Times New Roman" w:hAnsi="Times New Roman"/>
          <w:sz w:val="18"/>
          <w:szCs w:val="18"/>
          <w:color w:val="auto"/>
        </w:rPr>
      </w:pPr>
    </w:p>
    <w:p>
      <w:pPr>
        <w:ind w:firstLine="1936"/>
        <w:spacing w:after="0" w:line="282" w:lineRule="auto"/>
        <w:tabs>
          <w:tab w:leader="none" w:pos="27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2600" w:hanging="664"/>
        <w:spacing w:after="0"/>
        <w:tabs>
          <w:tab w:leader="none" w:pos="26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Options or other grants, if any, will be at the sole discretion of the Committee;</w:t>
      </w:r>
    </w:p>
    <w:p>
      <w:pPr>
        <w:spacing w:after="0" w:line="225" w:lineRule="exact"/>
        <w:rPr>
          <w:rFonts w:ascii="Times New Roman" w:cs="Times New Roman" w:eastAsia="Times New Roman" w:hAnsi="Times New Roman"/>
          <w:sz w:val="18"/>
          <w:szCs w:val="18"/>
          <w:color w:val="auto"/>
        </w:rPr>
      </w:pPr>
    </w:p>
    <w:p>
      <w:pPr>
        <w:ind w:left="2580" w:hanging="644"/>
        <w:spacing w:after="0"/>
        <w:tabs>
          <w:tab w:leader="none" w:pos="25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2680" w:hanging="744"/>
        <w:spacing w:after="0"/>
        <w:tabs>
          <w:tab w:leader="none" w:pos="2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obtained upon exercise of the Options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6" w:lineRule="exact"/>
        <w:rPr>
          <w:rFonts w:ascii="Times New Roman" w:cs="Times New Roman" w:eastAsia="Times New Roman" w:hAnsi="Times New Roman"/>
          <w:sz w:val="18"/>
          <w:szCs w:val="18"/>
          <w:color w:val="auto"/>
        </w:rPr>
      </w:pPr>
    </w:p>
    <w:p>
      <w:pPr>
        <w:jc w:val="both"/>
        <w:ind w:firstLine="1936"/>
        <w:spacing w:after="0" w:line="266" w:lineRule="auto"/>
        <w:tabs>
          <w:tab w:leader="none" w:pos="263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obtained upon exercise of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2800" w:hanging="864"/>
        <w:spacing w:after="0"/>
        <w:tabs>
          <w:tab w:leader="none" w:pos="28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obtained upon exercise of the Options is unknown, indeterminable and cannot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predicted;</w:t>
      </w:r>
    </w:p>
    <w:p>
      <w:pPr>
        <w:spacing w:after="0" w:line="206" w:lineRule="exact"/>
        <w:rPr>
          <w:rFonts w:ascii="Times New Roman" w:cs="Times New Roman" w:eastAsia="Times New Roman" w:hAnsi="Times New Roman"/>
          <w:sz w:val="18"/>
          <w:szCs w:val="18"/>
          <w:color w:val="auto"/>
        </w:rPr>
      </w:pPr>
    </w:p>
    <w:p>
      <w:pPr>
        <w:jc w:val="both"/>
        <w:ind w:firstLine="1936"/>
        <w:spacing w:after="0" w:line="253" w:lineRule="auto"/>
        <w:tabs>
          <w:tab w:leader="none" w:pos="271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Agreement (including by reference in the Notice of Grant to other arrangements or contracts) or determined by the Committee, Participant’s right to vest in the Options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this Award of Options (including whether Participant may still be considered to be providing services while on a leave of absence and consistent with local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357505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50" w:name="page51"/>
    <w:bookmarkEnd w:id="50"/>
    <w:p>
      <w:pPr>
        <w:jc w:val="both"/>
        <w:ind w:firstLine="1936"/>
        <w:spacing w:after="0" w:line="266" w:lineRule="auto"/>
        <w:tabs>
          <w:tab w:leader="none" w:pos="268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Options and the benefits evidenced by this Agreement do not create any entitlement to have the Options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2640" w:hanging="704"/>
        <w:spacing w:after="0"/>
        <w:tabs>
          <w:tab w:leader="none" w:pos="2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3300" w:hanging="716"/>
        <w:spacing w:after="0"/>
        <w:tabs>
          <w:tab w:leader="none" w:pos="3300"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part of normal or expected compensation or salary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06" w:lineRule="exact"/>
        <w:rPr>
          <w:rFonts w:ascii="Times New Roman" w:cs="Times New Roman" w:eastAsia="Times New Roman" w:hAnsi="Times New Roman"/>
          <w:sz w:val="18"/>
          <w:szCs w:val="18"/>
          <w:color w:val="auto"/>
        </w:rPr>
      </w:pPr>
    </w:p>
    <w:p>
      <w:pPr>
        <w:jc w:val="both"/>
        <w:ind w:firstLine="2584"/>
        <w:spacing w:after="0" w:line="266" w:lineRule="auto"/>
        <w:tabs>
          <w:tab w:leader="none" w:pos="3341"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the Company Group shall not be liable for any foreign exchange rate fluctuation between Participant’s local currency and the United States Dollar that may affect the value of the Options or of Shares obtained upon exercise of the Options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jc w:val="both"/>
        <w:ind w:firstLine="2584"/>
        <w:spacing w:after="0" w:line="273" w:lineRule="auto"/>
        <w:tabs>
          <w:tab w:leader="none" w:pos="3251" w:val="left"/>
        </w:tabs>
        <w:numPr>
          <w:ilvl w:val="3"/>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claim or entitlement to compensation or damages shall arise from forfeiture of the Options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Options to which Participant is otherwise not entitled, Participant irrevocably agrees never to institute any claim against the Company Group, waives his or her ability, if any, to bring any such claim, and releases the Company Group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1" w:lineRule="exact"/>
        <w:rPr>
          <w:rFonts w:ascii="Times New Roman" w:cs="Times New Roman" w:eastAsia="Times New Roman" w:hAnsi="Times New Roman"/>
          <w:sz w:val="17"/>
          <w:szCs w:val="17"/>
          <w:color w:val="auto"/>
        </w:rPr>
      </w:pPr>
    </w:p>
    <w:p>
      <w:pPr>
        <w:jc w:val="both"/>
        <w:ind w:left="100" w:firstLine="1296"/>
        <w:spacing w:after="0" w:line="254" w:lineRule="auto"/>
        <w:tabs>
          <w:tab w:leader="none" w:pos="19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upon exercise of vested Options shall comply with Section 16(c) of the Plan (or be exempt from) all applicable requirements of law, including (without limitation) the Securities Act of 1933, as amended, the rules and regulations promulgated thereunder, state securities laws and regulations, non-U.S. law,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spacing w:after="0" w:line="188" w:lineRule="exact"/>
        <w:rPr>
          <w:rFonts w:ascii="Times New Roman" w:cs="Times New Roman" w:eastAsia="Times New Roman" w:hAnsi="Times New Roman"/>
          <w:sz w:val="18"/>
          <w:szCs w:val="18"/>
          <w:color w:val="auto"/>
        </w:rPr>
      </w:pPr>
    </w:p>
    <w:p>
      <w:pPr>
        <w:jc w:val="both"/>
        <w:ind w:left="100" w:firstLine="1296"/>
        <w:spacing w:after="0" w:line="254" w:lineRule="auto"/>
        <w:tabs>
          <w:tab w:leader="none" w:pos="20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w:t>
      </w:r>
    </w:p>
    <w:p>
      <w:pPr>
        <w:spacing w:after="0" w:line="191" w:lineRule="exact"/>
        <w:rPr>
          <w:rFonts w:ascii="Times New Roman" w:cs="Times New Roman" w:eastAsia="Times New Roman" w:hAnsi="Times New Roman"/>
          <w:sz w:val="18"/>
          <w:szCs w:val="18"/>
          <w:color w:val="auto"/>
        </w:rPr>
      </w:pPr>
    </w:p>
    <w:p>
      <w:pPr>
        <w:ind w:left="1940" w:hanging="544"/>
        <w:spacing w:after="0"/>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0" w:firstLine="2088"/>
        <w:spacing w:after="0" w:line="253" w:lineRule="auto"/>
        <w:tabs>
          <w:tab w:leader="none" w:pos="260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for any applicable taxes and/or social insurance liability obligations and requirements in connection with the Options, including, without limitation, (i) all federal, state, local, and foreign taxes (including Participant’s Federal Insurance Contributions Act (FICA) or other social insurance obligations) that are required to be withheld by the Company Group or other payment of tax-related items related to Participant’s participation in the Plan, and legally applicable to Participant, (ii) Participant’s and, to the extent required by the Company Group, the Company Group’s fringe benefit tax liability, if any, associated with the grant, vesting, or settlement of the Units or sale of Shares, and (iii) any other Company Group taxes the responsibility for which Participant has, or has agreed to bear, with respect to the Options (or exercise thereof or issuance of Shares thereunder) (collectively, the “Tax Obligations”), and to take such other action as may be necessary in the opinion of the Committee to satisfy all obligations for the payment of such withholding taxes. Participant acknowledges that, regardless of any action taken by the Company Group. the ultimate liability for any Tax-Related Obligations is and remains Participant’s sole responsibility and may exceed the amount actually withheld by the Company Group.</w:t>
      </w:r>
    </w:p>
    <w:p>
      <w:pPr>
        <w:spacing w:after="0" w:line="191" w:lineRule="exact"/>
        <w:rPr>
          <w:rFonts w:ascii="Times New Roman" w:cs="Times New Roman" w:eastAsia="Times New Roman" w:hAnsi="Times New Roman"/>
          <w:sz w:val="18"/>
          <w:szCs w:val="18"/>
          <w:color w:val="auto"/>
        </w:rPr>
      </w:pPr>
    </w:p>
    <w:p>
      <w:pPr>
        <w:jc w:val="both"/>
        <w:ind w:left="100" w:firstLine="2088"/>
        <w:spacing w:after="0" w:line="258" w:lineRule="auto"/>
        <w:tabs>
          <w:tab w:leader="none" w:pos="261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left="100" w:firstLine="2088"/>
        <w:spacing w:after="0" w:line="252" w:lineRule="auto"/>
        <w:tabs>
          <w:tab w:leader="none" w:pos="259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xml:space="preserve">. The Participant (or the Participant’s beneficiaries) shall be responsible for all taxes with respect to the Options and Shares obtained upon exercise of such Options, if any. The Committee and the Company make no guarantees regarding the tax treatment of this Award. Neither the Committee nor the Company has any obligation to take any action to prevent the assessment of any tax under Section 409A of the Code or Section 457A of the Code or otherwise and none of the Company Group nor or any of its employees or representatives shall have any liability to a Participant with respect thereto. </w:t>
      </w:r>
      <w:r>
        <w:rPr>
          <w:rFonts w:ascii="Times New Roman" w:cs="Times New Roman" w:eastAsia="Times New Roman" w:hAnsi="Times New Roman"/>
          <w:sz w:val="18"/>
          <w:szCs w:val="18"/>
          <w:b w:val="1"/>
          <w:bCs w:val="1"/>
          <w:i w:val="1"/>
          <w:iCs w:val="1"/>
          <w:color w:val="auto"/>
        </w:rPr>
        <w:t>Participant further acknowledges that the Company Group does not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make any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or (B) make any commitment to or is under any obligation to structure the terms of the grant or any aspect of the Options to reduce or eliminate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liability for Tax Obligations or achieve any particular tax result. Further, if Participant is subject to</w:t>
      </w:r>
    </w:p>
    <w:p>
      <w:pPr>
        <w:spacing w:after="0" w:line="6" w:lineRule="exact"/>
        <w:rPr>
          <w:rFonts w:ascii="Times New Roman" w:cs="Times New Roman" w:eastAsia="Times New Roman" w:hAnsi="Times New Roman"/>
          <w:sz w:val="18"/>
          <w:szCs w:val="18"/>
          <w:color w:val="auto"/>
        </w:rPr>
      </w:pPr>
    </w:p>
    <w:p>
      <w:pPr>
        <w:ind w:left="1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Obligations in more than one jurisdiction between the Grant Date and the date of any relevant taxable or tax withholding event, as applicable, Participant acknowledges that Company Group may be required to withhold or account for Tax Obligations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349885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322" w:gutter="0" w:footer="0" w:header="0"/>
        </w:sectPr>
      </w:pPr>
    </w:p>
    <w:bookmarkStart w:id="51" w:name="page52"/>
    <w:bookmarkEnd w:id="51"/>
    <w:p>
      <w:pPr>
        <w:jc w:val="both"/>
        <w:ind w:firstLine="1296"/>
        <w:spacing w:after="0" w:line="261" w:lineRule="auto"/>
        <w:tabs>
          <w:tab w:leader="none" w:pos="19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firstLine="1296"/>
        <w:spacing w:after="0" w:line="256" w:lineRule="auto"/>
        <w:tabs>
          <w:tab w:leader="none" w:pos="20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7" w:lineRule="exact"/>
        <w:rPr>
          <w:rFonts w:ascii="Times New Roman" w:cs="Times New Roman" w:eastAsia="Times New Roman" w:hAnsi="Times New Roman"/>
          <w:sz w:val="18"/>
          <w:szCs w:val="18"/>
          <w:color w:val="auto"/>
        </w:rPr>
      </w:pPr>
    </w:p>
    <w:p>
      <w:pPr>
        <w:ind w:right="20" w:firstLine="1296"/>
        <w:spacing w:after="0" w:line="282" w:lineRule="auto"/>
        <w:tabs>
          <w:tab w:leader="none" w:pos="1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firstLine="1296"/>
        <w:spacing w:after="0" w:line="261" w:lineRule="auto"/>
        <w:tabs>
          <w:tab w:leader="none" w:pos="1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jc w:val="both"/>
        <w:ind w:firstLine="1296"/>
        <w:spacing w:after="0" w:line="256" w:lineRule="auto"/>
        <w:tabs>
          <w:tab w:leader="none" w:pos="18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Agreement, the Award shall be subject to any special terms and conditions set forth in an appendix (if any) to this Agreement for any country whose laws are applicable to the Participant and this Award of Units (as determined by the Committee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the Participant, to the extent the Company determines that the application of such terms and conditions is necessary or advisable for legal or administrative reasons. The Country Addendum constitutes part of this Agreement.</w:t>
      </w:r>
    </w:p>
    <w:p>
      <w:pPr>
        <w:spacing w:after="0" w:line="183" w:lineRule="exact"/>
        <w:rPr>
          <w:rFonts w:ascii="Times New Roman" w:cs="Times New Roman" w:eastAsia="Times New Roman" w:hAnsi="Times New Roman"/>
          <w:sz w:val="18"/>
          <w:szCs w:val="18"/>
          <w:color w:val="auto"/>
        </w:rPr>
      </w:pPr>
    </w:p>
    <w:p>
      <w:pPr>
        <w:jc w:val="both"/>
        <w:ind w:firstLine="1296"/>
        <w:spacing w:after="0" w:line="268" w:lineRule="auto"/>
        <w:tabs>
          <w:tab w:leader="none" w:pos="18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xml:space="preserve"> Participant hereby explicitly and unambiguously consents to the collection, use and transfer, in electronic or other form,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Agreement and any other Option grant materials by and among, as applicable, the members of the Company Group for the exclusive purpose of implementing, administering and managing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Group may hold certain personal information about Participant, including, but not limited to,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the Administrator, or such other provider as may be selected by the Company in the future, assisting the Company with the implementation, administration and management of the Plan. Participant understands that the recipients of the Data may be located in the United States or elsewhere, and that the recipients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country of operation (e.g., the United States) may have different data privacy laws and protections than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country. Participant understands that if he or she resides outside the United</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States, he or she may request a list with the names and addresses of any potential recipients of the Data by contacting his or her local human resources representative. Participant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Company Group will not be adversely affected. The only adverse consequence of refusing or withdrawing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consent is that the Company would not be able to grant Participant Units or other equity awards or administer or maintain such awards. Therefore, Participant understands that refusing or withdrawing his or her consent may affect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participate in the Plan. For more information on the consequences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356870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52" w:name="page53"/>
    <w:bookmarkEnd w:id="52"/>
    <w:p>
      <w:pPr>
        <w:jc w:val="both"/>
        <w:ind w:firstLine="1296"/>
        <w:spacing w:after="0" w:line="266" w:lineRule="auto"/>
        <w:tabs>
          <w:tab w:leader="none" w:pos="1971"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Except as required by applicable local law,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firstLine="1296"/>
        <w:spacing w:after="0" w:line="261" w:lineRule="auto"/>
        <w:tabs>
          <w:tab w:leader="none" w:pos="1931"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9" w:lineRule="exact"/>
        <w:rPr>
          <w:rFonts w:ascii="Times New Roman" w:cs="Times New Roman" w:eastAsia="Times New Roman" w:hAnsi="Times New Roman"/>
          <w:sz w:val="18"/>
          <w:szCs w:val="18"/>
          <w:color w:val="auto"/>
        </w:rPr>
      </w:pPr>
    </w:p>
    <w:p>
      <w:pPr>
        <w:ind w:left="-40" w:right="400" w:firstLine="1336"/>
        <w:spacing w:after="0" w:line="282" w:lineRule="auto"/>
        <w:tabs>
          <w:tab w:leader="none" w:pos="1832"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or the CEO, if delegated such authority, may amend or alter this Agreement and the Option granted hereunder at any time, subject to the terms of the Plan.</w:t>
      </w:r>
    </w:p>
    <w:p>
      <w:pPr>
        <w:spacing w:after="0" w:line="161" w:lineRule="exact"/>
        <w:rPr>
          <w:rFonts w:ascii="Times New Roman" w:cs="Times New Roman" w:eastAsia="Times New Roman" w:hAnsi="Times New Roman"/>
          <w:sz w:val="18"/>
          <w:szCs w:val="18"/>
          <w:color w:val="auto"/>
        </w:rPr>
      </w:pPr>
    </w:p>
    <w:p>
      <w:pPr>
        <w:ind w:right="20" w:firstLine="1296"/>
        <w:spacing w:after="0" w:line="282" w:lineRule="auto"/>
        <w:tabs>
          <w:tab w:leader="none" w:pos="1836"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rFonts w:ascii="Times New Roman" w:cs="Times New Roman" w:eastAsia="Times New Roman" w:hAnsi="Times New Roman"/>
          <w:sz w:val="18"/>
          <w:szCs w:val="18"/>
          <w:color w:val="auto"/>
        </w:rPr>
      </w:pPr>
    </w:p>
    <w:p>
      <w:pPr>
        <w:jc w:val="both"/>
        <w:ind w:firstLine="1296"/>
        <w:spacing w:after="0" w:line="255" w:lineRule="auto"/>
        <w:tabs>
          <w:tab w:leader="none" w:pos="1971"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The grant of Options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and, if applicable, the relevant Country Addendum, (4) agrees fully to the terms of the Agreement and (5) has consented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Options shall be final and conclusive.</w:t>
      </w:r>
    </w:p>
    <w:p>
      <w:pPr>
        <w:spacing w:after="0" w:line="188" w:lineRule="exact"/>
        <w:rPr>
          <w:rFonts w:ascii="Times New Roman" w:cs="Times New Roman" w:eastAsia="Times New Roman" w:hAnsi="Times New Roman"/>
          <w:sz w:val="18"/>
          <w:szCs w:val="18"/>
          <w:color w:val="auto"/>
        </w:rPr>
      </w:pPr>
    </w:p>
    <w:p>
      <w:pPr>
        <w:jc w:val="both"/>
        <w:ind w:firstLine="1188"/>
        <w:spacing w:after="0" w:line="255" w:lineRule="auto"/>
        <w:tabs>
          <w:tab w:leader="none" w:pos="21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to the extent that this Award and any compensation associated therewith is considered “incentive- 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8" w:lineRule="exact"/>
        <w:rPr>
          <w:rFonts w:ascii="Times New Roman" w:cs="Times New Roman" w:eastAsia="Times New Roman" w:hAnsi="Times New Roman"/>
          <w:sz w:val="18"/>
          <w:szCs w:val="18"/>
          <w:color w:val="auto"/>
        </w:rPr>
      </w:pPr>
    </w:p>
    <w:p>
      <w:pPr>
        <w:jc w:val="both"/>
        <w:ind w:firstLine="1296"/>
        <w:spacing w:after="0" w:line="255" w:lineRule="auto"/>
        <w:tabs>
          <w:tab w:leader="none" w:pos="185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the Participant breaches any of the restrictive covenants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then</w:t>
      </w:r>
    </w:p>
    <w:p>
      <w:pPr>
        <w:spacing w:after="0" w:line="2" w:lineRule="exact"/>
        <w:rPr>
          <w:rFonts w:ascii="Times New Roman" w:cs="Times New Roman" w:eastAsia="Times New Roman" w:hAnsi="Times New Roman"/>
          <w:sz w:val="18"/>
          <w:szCs w:val="18"/>
          <w:color w:val="auto"/>
        </w:rPr>
      </w:pPr>
    </w:p>
    <w:p>
      <w:pPr>
        <w:jc w:val="both"/>
        <w:spacing w:after="0" w:line="253" w:lineRule="auto"/>
        <w:tabs>
          <w:tab w:leader="none" w:pos="2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shall immediately forfeit this Award and any right to receive Options that have not yet been issued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(ii) all outstanding but not-yet-exercised Options shall be canceled, and (iii) with respect to Shares that have been issued pursuant to this Award, either (A) the Participant shall return such Shares to the Company, or (B) the Participant shall pay to the Company in cash an amount equal to the Fair Market Value of such Shares as of their date of issuance pursuant to this Agreement.</w:t>
      </w:r>
    </w:p>
    <w:p>
      <w:pPr>
        <w:spacing w:after="0" w:line="188" w:lineRule="exact"/>
        <w:rPr>
          <w:rFonts w:ascii="Times New Roman" w:cs="Times New Roman" w:eastAsia="Times New Roman" w:hAnsi="Times New Roman"/>
          <w:sz w:val="18"/>
          <w:szCs w:val="18"/>
          <w:color w:val="auto"/>
        </w:rPr>
      </w:pPr>
    </w:p>
    <w:p>
      <w:pPr>
        <w:ind w:left="-100" w:right="380" w:firstLine="1378"/>
        <w:spacing w:after="0" w:line="282" w:lineRule="auto"/>
        <w:tabs>
          <w:tab w:leader="none" w:pos="182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ectPr>
          <w:pgSz w:w="11900" w:h="16838" w:orient="portrait"/>
          <w:cols w:equalWidth="0" w:num="1">
            <w:col w:w="10980"/>
          </w:cols>
          <w:pgMar w:left="580" w:top="58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Jagdfeld,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Aaron Jagdfeld</w:t>
            </w:r>
          </w:p>
        </w:tc>
        <w:tc>
          <w:tcPr>
            <w:tcW w:w="5300" w:type="dxa"/>
            <w:vAlign w:val="bottom"/>
            <w:tcBorders>
              <w:bottom w:val="single" w:sz="8" w:color="auto"/>
            </w:tcBorders>
          </w:tcPr>
          <w:p>
            <w:pPr>
              <w:spacing w:after="0"/>
              <w:rPr>
                <w:sz w:val="20"/>
                <w:szCs w:val="20"/>
                <w:color w:val="auto"/>
              </w:rPr>
            </w:pPr>
          </w:p>
        </w:tc>
      </w:tr>
      <w:tr>
        <w:trPr>
          <w:trHeight w:val="189"/>
        </w:trPr>
        <w:tc>
          <w:tcPr>
            <w:tcW w:w="448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44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York A. Ragen,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5280" w:type="dxa"/>
            <w:vAlign w:val="bottom"/>
            <w:tcBorders>
              <w:bottom w:val="single" w:sz="8" w:color="auto"/>
            </w:tcBorders>
          </w:tcPr>
          <w:p>
            <w:pPr>
              <w:spacing w:after="0"/>
              <w:rPr>
                <w:sz w:val="20"/>
                <w:szCs w:val="20"/>
                <w:color w:val="auto"/>
              </w:rPr>
            </w:pPr>
          </w:p>
        </w:tc>
      </w:tr>
      <w:tr>
        <w:trPr>
          <w:trHeight w:val="189"/>
        </w:trPr>
        <w:tc>
          <w:tcPr>
            <w:tcW w:w="4520" w:type="dxa"/>
            <w:vAlign w:val="bottom"/>
          </w:tcPr>
          <w:p>
            <w:pPr>
              <w:spacing w:after="0"/>
              <w:rPr>
                <w:sz w:val="16"/>
                <w:szCs w:val="16"/>
                <w:color w:val="auto"/>
              </w:rPr>
            </w:pPr>
          </w:p>
        </w:tc>
        <w:tc>
          <w:tcPr>
            <w:tcW w:w="1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firstLine="3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Executive Officer of Generac Holdings Inc. (the “Company”), does hereby certify that to my knowledge:</w:t>
      </w:r>
    </w:p>
    <w:p>
      <w:pPr>
        <w:spacing w:after="0" w:line="162"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fiscal quarter ended March 31, 2026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quarterly report on Form 10-Q for the fiscal quarter ended March 31, 2026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Aaron Jagdfeld</w:t>
            </w:r>
          </w:p>
        </w:tc>
        <w:tc>
          <w:tcPr>
            <w:tcW w:w="5300" w:type="dxa"/>
            <w:vAlign w:val="bottom"/>
            <w:tcBorders>
              <w:bottom w:val="single" w:sz="8" w:color="auto"/>
            </w:tcBorders>
          </w:tcPr>
          <w:p>
            <w:pPr>
              <w:spacing w:after="0"/>
              <w:rPr>
                <w:sz w:val="20"/>
                <w:szCs w:val="20"/>
                <w:color w:val="auto"/>
              </w:rPr>
            </w:pPr>
          </w:p>
        </w:tc>
      </w:tr>
      <w:tr>
        <w:trPr>
          <w:trHeight w:val="189"/>
        </w:trPr>
        <w:tc>
          <w:tcPr>
            <w:tcW w:w="448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44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firstLine="3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Financial Officer of Generac Holdings Inc. (the “Company”), does hereby certify that to my knowledge:</w:t>
      </w:r>
    </w:p>
    <w:p>
      <w:pPr>
        <w:spacing w:after="0" w:line="162" w:lineRule="exact"/>
        <w:rPr>
          <w:sz w:val="20"/>
          <w:szCs w:val="20"/>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fiscal quarter ended March 31, 2026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quarterly report on Form 10-Q for the fiscal quarter ended March 31, 2026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4720" w:type="dxa"/>
            <w:vAlign w:val="bottom"/>
            <w:tcBorders>
              <w:bottom w:val="single" w:sz="8" w:color="auto"/>
            </w:tcBorders>
          </w:tcPr>
          <w:p>
            <w:pPr>
              <w:spacing w:after="0"/>
              <w:rPr>
                <w:sz w:val="20"/>
                <w:szCs w:val="20"/>
                <w:color w:val="auto"/>
              </w:rPr>
            </w:pPr>
          </w:p>
        </w:tc>
      </w:tr>
      <w:tr>
        <w:trPr>
          <w:trHeight w:val="189"/>
        </w:trPr>
        <w:tc>
          <w:tcPr>
            <w:tcW w:w="5000" w:type="dxa"/>
            <w:vAlign w:val="bottom"/>
          </w:tcPr>
          <w:p>
            <w:pPr>
              <w:spacing w:after="0"/>
              <w:rPr>
                <w:sz w:val="16"/>
                <w:szCs w:val="16"/>
                <w:color w:val="auto"/>
              </w:rPr>
            </w:pPr>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50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7"/>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Letter"/>
      <w:start w:val="1"/>
    </w:lvl>
    <w:lvl w:ilvl="1">
      <w:lvlJc w:val="left"/>
      <w:lvlText w:val="•"/>
      <w:numFmt w:val="bullet"/>
      <w:start w:val="1"/>
    </w:lvl>
  </w:abstractNum>
  <w:abstractNum w:abstractNumId="21">
    <w:nsid w:val="2D517796"/>
    <w:multiLevelType w:val="hybridMultilevel"/>
    <w:lvl w:ilvl="0">
      <w:lvlJc w:val="left"/>
      <w:lvlText w:val="(%1)"/>
      <w:numFmt w:val="lowerLetter"/>
      <w:start w:val="6"/>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decimal"/>
      <w:start w:val="104"/>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lvl w:ilvl="1">
      <w:lvlJc w:val="left"/>
      <w:lvlText w:val="%2."/>
      <w:numFmt w:val="lowerLetter"/>
      <w:start w:val="1"/>
    </w:lvl>
  </w:abstractNum>
  <w:abstractNum w:abstractNumId="28">
    <w:nsid w:val="1D4ED43B"/>
    <w:multiLevelType w:val="hybridMultilevel"/>
    <w:lvl w:ilvl="0">
      <w:lvlJc w:val="left"/>
      <w:lvlText w:val="%1."/>
      <w:numFmt w:val="decimal"/>
      <w:start w:val="5"/>
    </w:lvl>
    <w:lvl w:ilvl="1">
      <w:lvlJc w:val="left"/>
      <w:lvlText w:val="%2."/>
      <w:numFmt w:val="lowerLetter"/>
      <w:start w:val="1"/>
    </w:lvl>
  </w:abstractNum>
  <w:abstractNum w:abstractNumId="29">
    <w:nsid w:val="725A06FB"/>
    <w:multiLevelType w:val="hybridMultilevel"/>
    <w:lvl w:ilvl="0">
      <w:lvlJc w:val="left"/>
      <w:lvlText w:val="%1"/>
      <w:numFmt w:val="decimal"/>
      <w:start w:val="1"/>
    </w:lvl>
    <w:lvl w:ilvl="1">
      <w:lvlJc w:val="left"/>
      <w:lvlText w:val="%2."/>
      <w:numFmt w:val="lowerLetter"/>
      <w:start w:val="8"/>
    </w:lvl>
    <w:lvl w:ilvl="2">
      <w:lvlJc w:val="left"/>
      <w:lvlText w:val="(%3)"/>
      <w:numFmt w:val="upperLetter"/>
      <w:start w:val="1"/>
    </w:lvl>
  </w:abstractNum>
  <w:abstractNum w:abstractNumId="30">
    <w:nsid w:val="2CD89A32"/>
    <w:multiLevelType w:val="hybridMultilevel"/>
    <w:lvl w:ilvl="0">
      <w:lvlJc w:val="left"/>
      <w:lvlText w:val="%1."/>
      <w:numFmt w:val="decimal"/>
      <w:start w:val="11"/>
    </w:lvl>
    <w:lvl w:ilvl="1">
      <w:lvlJc w:val="left"/>
      <w:lvlText w:val="%2"/>
      <w:numFmt w:val="lowerLetter"/>
      <w:start w:val="1"/>
    </w:lvl>
    <w:lvl w:ilvl="2">
      <w:lvlJc w:val="left"/>
      <w:lvlText w:val="%3"/>
      <w:numFmt w:val="upperLetter"/>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decimal"/>
      <w:start w:val="14"/>
    </w:lvl>
  </w:abstractNum>
  <w:abstractNum w:abstractNumId="33">
    <w:nsid w:val="4B588F54"/>
    <w:multiLevelType w:val="hybridMultilevel"/>
    <w:lvl w:ilvl="0">
      <w:lvlJc w:val="left"/>
      <w:lvlText w:val="%1."/>
      <w:numFmt w:val="decimal"/>
      <w:start w:val="20"/>
    </w:lvl>
  </w:abstractNum>
  <w:abstractNum w:abstractNumId="34">
    <w:nsid w:val="542289EC"/>
    <w:multiLevelType w:val="hybridMultilevel"/>
    <w:lvl w:ilvl="0">
      <w:lvlJc w:val="left"/>
      <w:lvlText w:val="%1."/>
      <w:numFmt w:val="decimal"/>
      <w:start w:val="22"/>
    </w:lvl>
  </w:abstractNum>
  <w:abstractNum w:abstractNumId="35">
    <w:nsid w:val="6DE91B18"/>
    <w:multiLevelType w:val="hybridMultilevel"/>
    <w:lvl w:ilvl="0">
      <w:lvlJc w:val="left"/>
      <w:lvlText w:val="%1."/>
      <w:numFmt w:val="decimal"/>
      <w:start w:val="23"/>
    </w:lvl>
    <w:lvl w:ilvl="1">
      <w:lvlJc w:val="left"/>
      <w:lvlText w:val="%2."/>
      <w:numFmt w:val="decimal"/>
      <w:start w:val="27"/>
    </w:lvl>
  </w:abstractNum>
  <w:abstractNum w:abstractNumId="36">
    <w:nsid w:val="38437FD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7">
    <w:nsid w:val="7644A45C"/>
    <w:multiLevelType w:val="hybridMultilevel"/>
    <w:lvl w:ilvl="0">
      <w:lvlJc w:val="left"/>
      <w:lvlText w:val="%1."/>
      <w:numFmt w:val="lowerLetter"/>
      <w:start w:val="1"/>
    </w:lvl>
    <w:lvl w:ilvl="1">
      <w:lvlJc w:val="left"/>
      <w:lvlText w:val="(%2)"/>
      <w:numFmt w:val="decimal"/>
      <w:start w:val="60"/>
    </w:lvl>
    <w:lvl w:ilvl="2">
      <w:lvlJc w:val="left"/>
      <w:lvlText w:val="%3"/>
      <w:numFmt w:val="decimal"/>
      <w:start w:val="1"/>
    </w:lvl>
  </w:abstractNum>
  <w:abstractNum w:abstractNumId="38">
    <w:nsid w:val="32FFF902"/>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lvl w:ilvl="3">
      <w:lvlJc w:val="left"/>
      <w:lvlText w:val="%4"/>
      <w:numFmt w:val="lowerRoman"/>
      <w:start w:val="1"/>
    </w:lvl>
  </w:abstractNum>
  <w:abstractNum w:abstractNumId="39">
    <w:nsid w:val="684A481A"/>
    <w:multiLevelType w:val="hybridMultilevel"/>
    <w:lvl w:ilvl="0">
      <w:lvlJc w:val="left"/>
      <w:lvlText w:val="%1."/>
      <w:numFmt w:val="lowerLetter"/>
      <w:start w:val="7"/>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9"/>
    </w:lvl>
  </w:abstractNum>
  <w:abstractNum w:abstractNumId="42">
    <w:nsid w:val="3DC240FB"/>
    <w:multiLevelType w:val="hybridMultilevel"/>
    <w:lvl w:ilvl="0">
      <w:lvlJc w:val="left"/>
      <w:lvlText w:val="%1"/>
      <w:numFmt w:val="decimal"/>
      <w:start w:val="1"/>
    </w:lvl>
    <w:lvl w:ilvl="1">
      <w:lvlJc w:val="left"/>
      <w:lvlText w:val="%2."/>
      <w:numFmt w:val="decimal"/>
      <w:start w:val="17"/>
    </w:lvl>
  </w:abstractNum>
  <w:abstractNum w:abstractNumId="43">
    <w:nsid w:val="1BA026FA"/>
    <w:multiLevelType w:val="hybridMultilevel"/>
    <w:lvl w:ilvl="0">
      <w:lvlJc w:val="left"/>
      <w:lvlText w:val="%1."/>
      <w:numFmt w:val="decimal"/>
      <w:start w:val="24"/>
    </w:lvl>
    <w:lvl w:ilvl="1">
      <w:lvlJc w:val="left"/>
      <w:lvlText w:val="%2"/>
      <w:numFmt w:val="decimal"/>
      <w:start w:val="1"/>
    </w:lvl>
  </w:abstractNum>
  <w:abstractNum w:abstractNumId="44">
    <w:nsid w:val="79A1DEAA"/>
    <w:multiLevelType w:val="hybridMultilevel"/>
    <w:lvl w:ilvl="0">
      <w:lvlJc w:val="left"/>
      <w:lvlText w:val="%1."/>
      <w:numFmt w:val="decimal"/>
      <w:start w:val="1"/>
    </w:lvl>
    <w:lvl w:ilvl="1">
      <w:lvlJc w:val="left"/>
      <w:lvlText w:val="%2."/>
      <w:numFmt w:val="decimal"/>
      <w:start w:val="5"/>
    </w:lvl>
  </w:abstractNum>
  <w:abstractNum w:abstractNumId="45">
    <w:nsid w:val="75C6C33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2"/>
    </w:lvl>
    <w:lvl w:ilvl="3">
      <w:lvlJc w:val="left"/>
      <w:lvlText w:val="(%4)"/>
      <w:numFmt w:val="lowerLetter"/>
      <w:start w:val="1"/>
    </w:lvl>
  </w:abstractNum>
  <w:abstractNum w:abstractNumId="46">
    <w:nsid w:val="12E685FB"/>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47">
    <w:nsid w:val="70C6A529"/>
    <w:multiLevelType w:val="hybridMultilevel"/>
    <w:lvl w:ilvl="0">
      <w:lvlJc w:val="left"/>
      <w:lvlText w:val="%1."/>
      <w:numFmt w:val="decimal"/>
      <w:start w:val="9"/>
    </w:lvl>
    <w:lvl w:ilvl="1">
      <w:lvlJc w:val="left"/>
      <w:lvlText w:val="(%2)"/>
      <w:numFmt w:val="lowerLetter"/>
      <w:start w:val="1"/>
    </w:lvl>
  </w:abstractNum>
  <w:abstractNum w:abstractNumId="48">
    <w:nsid w:val="520EEDD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49">
    <w:nsid w:val="374A3FE6"/>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0">
    <w:nsid w:val="4F4EF005"/>
    <w:multiLevelType w:val="hybridMultilevel"/>
    <w:lvl w:ilvl="0">
      <w:lvlJc w:val="left"/>
      <w:lvlText w:val="%1."/>
      <w:numFmt w:val="decimal"/>
      <w:start w:val="16"/>
    </w:lvl>
  </w:abstractNum>
  <w:abstractNum w:abstractNumId="51">
    <w:nsid w:val="23F9C13C"/>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22"/>
    </w:lvl>
  </w:abstractNum>
  <w:abstractNum w:abstractNumId="52">
    <w:nsid w:val="649BB77C"/>
    <w:multiLevelType w:val="hybridMultilevel"/>
    <w:lvl w:ilvl="0">
      <w:lvlJc w:val="left"/>
      <w:lvlText w:val="%1"/>
      <w:numFmt w:val="lowerRoman"/>
      <w:start w:val="1"/>
    </w:lvl>
    <w:lvl w:ilvl="1">
      <w:lvlJc w:val="left"/>
      <w:lvlText w:val="%2."/>
      <w:numFmt w:val="decimal"/>
      <w:start w:val="26"/>
    </w:lvl>
    <w:lvl w:ilvl="2">
      <w:lvlJc w:val="left"/>
      <w:lvlText w:val="%3"/>
      <w:numFmt w:val="decimal"/>
      <w:start w:val="1"/>
    </w:lvl>
    <w:lvl w:ilvl="3">
      <w:lvlJc w:val="left"/>
      <w:lvlText w:val="%4."/>
      <w:numFmt w:val="decimal"/>
      <w:start w:val="27"/>
    </w:lvl>
  </w:abstractNum>
  <w:abstractNum w:abstractNumId="53">
    <w:nsid w:val="275AC794"/>
    <w:multiLevelType w:val="hybridMultilevel"/>
    <w:lvl w:ilvl="0">
      <w:lvlJc w:val="left"/>
      <w:lvlText w:val="(%1)"/>
      <w:numFmt w:val="lowerRoman"/>
      <w:start w:val="1"/>
    </w:lvl>
    <w:lvl w:ilvl="1">
      <w:lvlJc w:val="left"/>
      <w:lvlText w:val="%2"/>
      <w:numFmt w:val="decimal"/>
      <w:start w:val="1"/>
    </w:lvl>
    <w:lvl w:ilvl="2">
      <w:lvlJc w:val="left"/>
      <w:lvlText w:val="%3."/>
      <w:numFmt w:val="decimal"/>
      <w:start w:val="28"/>
    </w:lvl>
    <w:lvl w:ilvl="3">
      <w:lvlJc w:val="left"/>
      <w:lvlText w:val="%4"/>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2026-05-05T15:32:52Z</dcterms:created>
  <dcterms:modified xsi:type="dcterms:W3CDTF">2026-05-05T15:32:52Z</dcterms:modified>
</cp:coreProperties>
</file>