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10.jpeg" ContentType="image/jpeg"/>
  <Override PartName="/word/media/image29.jpeg" ContentType="image/jpeg"/>
  <Override PartName="/word/media/image9.jpeg" ContentType="image/jpeg"/>
  <Override PartName="/word/media/image11.jpeg" ContentType="image/jpeg"/>
  <Override PartName="/word/media/image31.gif" ContentType="image/gif"/>
  <Override PartName="/word/media/image13.jpeg" ContentType="image/jpeg"/>
  <Override PartName="/word/media/image40.jpeg" ContentType="image/jpeg"/>
  <Override PartName="/word/media/image30.gif" ContentType="image/gif"/>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12.jpeg" ContentType="image/jpeg"/>
  <Override PartName="/word/media/image4.jpeg" ContentType="image/jpeg"/>
  <Override PartName="/word/media/image25.jpeg" ContentType="image/jpeg"/>
  <Override PartName="/word/media/image37.jpeg" ContentType="image/jpeg"/>
  <Override PartName="/word/media/image3.jpeg" ContentType="image/jpeg"/>
  <Override PartName="/word/media/image24.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1388-1_def14a.htm"/>
        <w:bookmarkStart w:id="1" w:name="kstm2613881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557" w:after="283"/>
        <w:ind w:left="1393" w:right="0" w:hanging="0"/>
        <w:jc w:val="center"/>
        <w:rPr>
          <w:rFonts w:ascii="Arial;Helvetica;sans-serif" w:hAnsi="Arial;Helvetica;sans-serif"/>
          <w:b/>
          <w:i w:val="false"/>
          <w:caps w:val="false"/>
          <w:smallCaps w:val="false"/>
          <w:color w:val="000000"/>
          <w:sz w:val="24"/>
        </w:rPr>
      </w:pPr>
      <w:r>
        <w:rPr>
          <w:rFonts w:ascii="Arial;Helvetica;sans-serif" w:hAnsi="Arial;Helvetica;sans-serif"/>
          <w:b/>
          <w:i w:val="false"/>
          <w:caps w:val="false"/>
          <w:smallCaps w:val="false"/>
          <w:color w:val="000000"/>
          <w:spacing w:val="-2"/>
          <w:sz w:val="24"/>
        </w:rPr>
        <w:t xml:space="preserve">UNITED STATES </w:t>
        <w:br/>
        <w:t>SECURITIES AND EXCHANGE COMMISSION</w:t>
      </w:r>
      <w:r>
        <w:rPr>
          <w:rFonts w:ascii="Arial;Helvetica;sans-serif" w:hAnsi="Arial;Helvetica;sans-serif"/>
          <w:b/>
          <w:i w:val="false"/>
          <w:caps w:val="false"/>
          <w:smallCaps w:val="false"/>
          <w:color w:val="000000"/>
          <w:sz w:val="24"/>
        </w:rPr>
        <w:t xml:space="preserve"> </w:t>
        <w:br/>
      </w:r>
      <w:r>
        <w:rPr>
          <w:rFonts w:ascii="Arial;Helvetica;sans-serif" w:hAnsi="Arial;Helvetica;sans-serif"/>
          <w:b/>
          <w:i w:val="false"/>
          <w:caps w:val="false"/>
          <w:smallCaps w:val="false"/>
          <w:color w:val="000000"/>
          <w:spacing w:val="-2"/>
          <w:sz w:val="20"/>
        </w:rPr>
        <w:t>Washington, D.C. 20549</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320" w:before="240" w:after="283"/>
        <w:jc w:val="center"/>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pacing w:val="-3"/>
          <w:sz w:val="28"/>
        </w:rPr>
        <w:t>SCHEDULE 14A</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50" w:before="160" w:after="283"/>
        <w:jc w:val="center"/>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 xml:space="preserve">Proxy Statement Pursuant to Section 14(a) of </w:t>
        <w:br/>
        <w:t>the Securities Exchange Act of 1934 (Amendment No.   )</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Filed by the Registrant ☒</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Filed by a Party other than the Registrant ☐</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Check the appropriate box:</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8" w:before="120" w:after="0"/>
        <w:ind w:left="1793"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Preliminary Proxy Statement</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76200" distB="0" distL="0" distR="0" simplePos="0" locked="0" layoutInCell="1" allowOverlap="1" relativeHeight="104">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8"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8"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8" w:before="120" w:after="0"/>
        <w:ind w:left="1793"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i w:val="false"/>
          <w:caps w:val="false"/>
          <w:smallCaps w:val="false"/>
          <w:color w:val="000000"/>
          <w:spacing w:val="-2"/>
          <w:sz w:val="22"/>
        </w:rPr>
        <w:t>Confidential, for Use of the Commission Only (as permitted by Rule 14a-6(e)(2))</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76200" distB="0" distL="0" distR="0" simplePos="0" locked="0" layoutInCell="1" allowOverlap="1" relativeHeight="139">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8"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8"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8" w:before="120" w:after="0"/>
        <w:ind w:left="1793"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Definitive Proxy Statement</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76200" distB="0" distL="0" distR="0" simplePos="0" locked="0" layoutInCell="1" allowOverlap="1" relativeHeight="140">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8"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8"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8" w:before="120" w:after="0"/>
        <w:ind w:left="1793"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Definitive Additional Materials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76200" distB="0" distL="0" distR="0" simplePos="0" locked="0" layoutInCell="1" allowOverlap="1" relativeHeight="141">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8"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8"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8" w:before="120" w:after="0"/>
        <w:ind w:left="1793" w:right="0" w:hanging="0"/>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Soliciting Material under §240.14a-12 </w:t>
      </w:r>
      <w:r>
        <mc:AlternateContent>
          <mc:Choice Requires="wps">
            <w:drawing>
              <wp:anchor behindDoc="0" distT="76200" distB="0" distL="0" distR="0" simplePos="0" locked="0" layoutInCell="1" allowOverlap="1" relativeHeight="142">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8"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8"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320" w:before="240" w:after="283"/>
        <w:jc w:val="center"/>
        <w:rPr>
          <w:rFonts w:ascii="Arial;Helvetica;sans-serif" w:hAnsi="Arial;Helvetica;sans-serif"/>
          <w:b/>
          <w:i w:val="false"/>
          <w:caps w:val="false"/>
          <w:smallCaps w:val="false"/>
          <w:color w:val="000000"/>
          <w:spacing w:val="-3"/>
          <w:sz w:val="28"/>
        </w:rPr>
      </w:pPr>
      <w:r>
        <w:rPr>
          <w:rFonts w:ascii="Arial;Helvetica;sans-serif" w:hAnsi="Arial;Helvetica;sans-serif"/>
          <w:b/>
          <w:i w:val="false"/>
          <w:caps w:val="false"/>
          <w:smallCaps w:val="false"/>
          <w:color w:val="000000"/>
          <w:spacing w:val="-3"/>
          <w:sz w:val="28"/>
        </w:rPr>
        <w:t xml:space="preserve">GENERAC HOLDINGS INC.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(Name of Registrant as Specified In Its Charter)</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6"/>
          <w:sz w:val="20"/>
        </w:rPr>
        <w:t xml:space="preserve"> </w:t>
      </w:r>
    </w:p>
    <w:p>
      <w:pPr>
        <w:pStyle w:val="TextBody"/>
        <w:bidi w:val="0"/>
        <w:spacing w:lineRule="atLeast" w:line="320" w:before="160" w:after="283"/>
        <w:jc w:val="center"/>
        <w:rPr>
          <w:caps w:val="false"/>
          <w:smallCaps w:val="false"/>
          <w:color w:val="000000"/>
        </w:rPr>
      </w:pPr>
      <w:r>
        <w:rPr>
          <w:caps w:val="false"/>
          <w:smallCaps w:val="false"/>
          <w:color w:val="000000"/>
          <w:spacing w:val="-3"/>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(Name of Person(s) Filing Proxy Statement, if other than the Registrant)</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6"/>
          <w:sz w:val="20"/>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Payment of Filing Fee (Check all boxes that apply):</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8" w:before="120" w:after="0"/>
        <w:ind w:left="1793"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No fee required.</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76200" distB="0" distL="0" distR="0" simplePos="0" locked="0" layoutInCell="1" allowOverlap="1" relativeHeight="143">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8"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8"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8" w:before="120" w:after="0"/>
        <w:ind w:left="1793"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Fee paid previously with preliminary materials.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76200" distB="0" distL="0" distR="0" simplePos="0" locked="0" layoutInCell="1" allowOverlap="1" relativeHeight="144">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8"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8"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8" w:before="120" w:after="0"/>
        <w:ind w:left="1793"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Fee computed on table in exhibit required by Item 25(b) per Exchange Act Rules 14a-6(i)(1) and 0-11.</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76200" distB="0" distL="0" distR="0" simplePos="0" locked="0" layoutInCell="1" allowOverlap="1" relativeHeight="145">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8"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8"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caps w:val="false"/>
          <w:smallCaps w:val="false"/>
          <w:color w:val="FF6A00"/>
        </w:rPr>
      </w:pPr>
      <w:r>
        <w:rPr>
          <w:caps w:val="false"/>
          <w:smallCaps w:val="false"/>
          <w:color w:val="FF6A00"/>
          <w:spacing w:val="-2"/>
        </w:rPr>
        <w:t> </w:t>
      </w:r>
      <w:r>
        <w:rPr>
          <w:caps w:val="false"/>
          <w:smallCaps w:val="false"/>
          <w:color w:val="FF6A00"/>
        </w:rPr>
        <w:t xml:space="preserve"> </w:t>
      </w:r>
    </w:p>
    <w:p>
      <w:pPr>
        <w:pStyle w:val="TextBody"/>
        <w:bidi w:val="0"/>
        <w:spacing w:lineRule="atLeast" w:line="250" w:before="120" w:after="283"/>
        <w:ind w:left="11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April 29, 2026</w:t>
      </w:r>
      <w:r>
        <w:rPr>
          <w:rFonts w:ascii="Arial;Helvetica;sans-serif" w:hAnsi="Arial;Helvetica;sans-serif"/>
          <w:b w:val="false"/>
          <w:i w:val="false"/>
          <w:caps w:val="false"/>
          <w:smallCaps w:val="false"/>
          <w:color w:val="000000"/>
          <w:spacing w:val="4"/>
          <w:sz w:val="22"/>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723900" distR="0" simplePos="0" locked="0" layoutInCell="1" allowOverlap="1" relativeHeight="95">
                <wp:simplePos x="0" y="0"/>
                <wp:positionH relativeFrom="column">
                  <wp:align>left</wp:align>
                </wp:positionH>
                <wp:positionV relativeFrom="line">
                  <wp:posOffset>635</wp:posOffset>
                </wp:positionV>
                <wp:extent cx="1981200" cy="480695"/>
                <wp:effectExtent l="0" t="0" r="0" b="0"/>
                <wp:wrapSquare wrapText="right"/>
                <wp:docPr id="9" name="Frame9"/>
                <a:graphic xmlns:a="http://schemas.openxmlformats.org/drawingml/2006/main">
                  <a:graphicData uri="http://schemas.microsoft.com/office/word/2010/wordprocessingShape">
                    <wps:wsp>
                      <wps:cNvSpPr txBox="1"/>
                      <wps:spPr>
                        <a:xfrm>
                          <a:off x="0" y="0"/>
                          <a:ext cx="1981200" cy="480695"/>
                        </a:xfrm>
                        <a:prstGeom prst="rect"/>
                        <a:solidFill>
                          <a:srgbClr val="FFFFFF"/>
                        </a:solidFill>
                      </wps:spPr>
                      <wps:txbx>
                        <w:txbxContent>
                          <w:p>
                            <w:pPr>
                              <w:pStyle w:val="TextBody"/>
                              <w:bidi w:val="0"/>
                              <w:spacing w:before="0" w:after="0"/>
                              <w:jc w:val="center"/>
                              <w:rPr/>
                            </w:pPr>
                            <w:r>
                              <w:rPr/>
                              <w:drawing>
                                <wp:inline distT="0" distB="0" distL="0" distR="0">
                                  <wp:extent cx="1981200" cy="447675"/>
                                  <wp:effectExtent l="0" t="0" r="0" b="0"/>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2"/>
                                          <a:stretch>
                                            <a:fillRect/>
                                          </a:stretch>
                                        </pic:blipFill>
                                        <pic:spPr bwMode="auto">
                                          <a:xfrm>
                                            <a:off x="0" y="0"/>
                                            <a:ext cx="1981200" cy="4476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56pt;height:37.85pt;mso-wrap-distance-left:57pt;mso-wrap-distance-right:0pt;mso-wrap-distance-top:0pt;mso-wrap-distance-bottom:0pt;margin-top:0pt;mso-position-vertical:top;mso-position-vertical-relative:text;margin-left:57pt;mso-position-horizontal:left;mso-position-horizontal-relative:text">
                <v:textbox>
                  <w:txbxContent>
                    <w:p>
                      <w:pPr>
                        <w:pStyle w:val="TextBody"/>
                        <w:bidi w:val="0"/>
                        <w:spacing w:before="0" w:after="0"/>
                        <w:jc w:val="center"/>
                        <w:rPr/>
                      </w:pPr>
                      <w:r>
                        <w:rPr/>
                        <w:drawing>
                          <wp:inline distT="0" distB="0" distL="0" distR="0">
                            <wp:extent cx="1981200" cy="447675"/>
                            <wp:effectExtent l="0" t="0" r="0" b="0"/>
                            <wp:docPr id="1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 descr=""/>
                                    <pic:cNvPicPr>
                                      <a:picLocks noChangeAspect="1" noChangeArrowheads="1"/>
                                    </pic:cNvPicPr>
                                  </pic:nvPicPr>
                                  <pic:blipFill>
                                    <a:blip r:embed="rId3"/>
                                    <a:stretch>
                                      <a:fillRect/>
                                    </a:stretch>
                                  </pic:blipFill>
                                  <pic:spPr bwMode="auto">
                                    <a:xfrm>
                                      <a:off x="0" y="0"/>
                                      <a:ext cx="1981200" cy="447675"/>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177800" distR="0" simplePos="0" locked="0" layoutInCell="1" allowOverlap="1" relativeHeight="146">
                <wp:simplePos x="0" y="0"/>
                <wp:positionH relativeFrom="column">
                  <wp:align>left</wp:align>
                </wp:positionH>
                <wp:positionV relativeFrom="line">
                  <wp:posOffset>635</wp:posOffset>
                </wp:positionV>
                <wp:extent cx="3949700" cy="701040"/>
                <wp:effectExtent l="0" t="0" r="0" b="0"/>
                <wp:wrapSquare wrapText="right"/>
                <wp:docPr id="12" name="Frame10"/>
                <a:graphic xmlns:a="http://schemas.openxmlformats.org/drawingml/2006/main">
                  <a:graphicData uri="http://schemas.microsoft.com/office/word/2010/wordprocessingShape">
                    <wps:wsp>
                      <wps:cNvSpPr txBox="1"/>
                      <wps:spPr>
                        <a:xfrm>
                          <a:off x="0" y="0"/>
                          <a:ext cx="3949700" cy="701040"/>
                        </a:xfrm>
                        <a:prstGeom prst="rect"/>
                        <a:solidFill>
                          <a:srgbClr val="FFFFFF"/>
                        </a:solidFill>
                      </wps:spPr>
                      <wps:txbx>
                        <w:txbxContent>
                          <w:p>
                            <w:pPr>
                              <w:pStyle w:val="TextBody"/>
                              <w:bidi w:val="0"/>
                              <w:spacing w:lineRule="atLeast" w:line="530" w:before="0" w:after="0"/>
                              <w:jc w:val="left"/>
                              <w:rPr>
                                <w:b/>
                                <w:sz w:val="48"/>
                              </w:rPr>
                            </w:pPr>
                            <w:r>
                              <w:rPr>
                                <w:b/>
                                <w:spacing w:val="-5"/>
                                <w:sz w:val="48"/>
                              </w:rPr>
                              <w:t xml:space="preserve">Notice of Annual </w:t>
                              <w:br/>
                              <w:t>Meeting of Stockholders</w:t>
                            </w:r>
                            <w:r>
                              <w:rPr>
                                <w:b/>
                                <w:sz w:val="48"/>
                              </w:rPr>
                              <w:t xml:space="preserve"> </w:t>
                            </w:r>
                          </w:p>
                        </w:txbxContent>
                      </wps:txbx>
                      <wps:bodyPr anchor="t" lIns="0" tIns="0" rIns="0" bIns="0">
                        <a:noAutofit/>
                      </wps:bodyPr>
                    </wps:wsp>
                  </a:graphicData>
                </a:graphic>
              </wp:anchor>
            </w:drawing>
          </mc:Choice>
          <mc:Fallback>
            <w:pict>
              <v:rect style="position:absolute;rotation:-0;width:311pt;height:55.2pt;mso-wrap-distance-left:14pt;mso-wrap-distance-right:0pt;mso-wrap-distance-top:0pt;mso-wrap-distance-bottom:0pt;margin-top:0pt;mso-position-vertical:top;mso-position-vertical-relative:text;margin-left:227pt;mso-position-horizontal:left;mso-position-horizontal-relative:text">
                <v:textbox>
                  <w:txbxContent>
                    <w:p>
                      <w:pPr>
                        <w:pStyle w:val="TextBody"/>
                        <w:bidi w:val="0"/>
                        <w:spacing w:lineRule="atLeast" w:line="530" w:before="0" w:after="0"/>
                        <w:jc w:val="left"/>
                        <w:rPr>
                          <w:b/>
                          <w:sz w:val="48"/>
                        </w:rPr>
                      </w:pPr>
                      <w:r>
                        <w:rPr>
                          <w:b/>
                          <w:spacing w:val="-5"/>
                          <w:sz w:val="48"/>
                        </w:rPr>
                        <w:t xml:space="preserve">Notice of Annual </w:t>
                        <w:br/>
                        <w:t>Meeting of Stockholders</w:t>
                      </w:r>
                      <w:r>
                        <w:rPr>
                          <w:b/>
                          <w:sz w:val="48"/>
                        </w:rPr>
                        <w:t xml:space="preserve"> </w:t>
                      </w:r>
                    </w:p>
                  </w:txbxContent>
                </v:textbox>
                <w10:wrap type="square" side="right"/>
              </v:rect>
            </w:pict>
          </mc:Fallback>
        </mc:AlternateContent>
      </w:r>
    </w:p>
    <w:p>
      <w:pPr>
        <w:pStyle w:val="TextBody"/>
        <w:bidi w:val="0"/>
        <w:spacing w:lineRule="atLeast" w:line="260" w:before="80" w:after="283"/>
        <w:ind w:left="1140" w:right="0" w:hanging="0"/>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2"/>
          <w:sz w:val="22"/>
        </w:rPr>
        <w:t>To the Stockholders of our Company:</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50" w:before="8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You are cordially invited to attend the 2026 Annual Meeting of Stockholders where we will be voting on the below matters.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60" w:before="120" w:after="283"/>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2"/>
          <w:sz w:val="22"/>
        </w:rPr>
        <w:t>Items of Business</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52" w:before="88"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To elect the three nominees named herein as Class II directors;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5880" distB="0" distL="254000" distR="0" simplePos="0" locked="0" layoutInCell="1" allowOverlap="1" relativeHeight="147">
                <wp:simplePos x="0" y="0"/>
                <wp:positionH relativeFrom="column">
                  <wp:align>left</wp:align>
                </wp:positionH>
                <wp:positionV relativeFrom="line">
                  <wp:align>top</wp:align>
                </wp:positionV>
                <wp:extent cx="254000" cy="350520"/>
                <wp:effectExtent l="0" t="0" r="0" b="0"/>
                <wp:wrapSquare wrapText="right"/>
                <wp:docPr id="13"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spacing w:val="-2"/>
                              </w:rPr>
                              <w:t>•</w:t>
                            </w:r>
                            <w:r>
                              <w:rPr/>
                              <w:t xml:space="preserve"> </w:t>
                            </w:r>
                            <w:r>
                              <w:rPr>
                                <w:sz w:val="22"/>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4pt;mso-wrap-distance-bottom:0pt;margin-top:4.4pt;mso-position-vertical:top;mso-position-vertical-relative:text;margin-left:20pt;mso-position-horizontal:left;mso-position-horizontal-relative:text">
                <v:textbox>
                  <w:txbxContent>
                    <w:p>
                      <w:pPr>
                        <w:pStyle w:val="TextBody"/>
                        <w:bidi w:val="0"/>
                        <w:spacing w:lineRule="atLeast" w:line="252" w:before="0" w:after="283"/>
                        <w:jc w:val="left"/>
                        <w:rPr/>
                      </w:pPr>
                      <w:r>
                        <w:rPr>
                          <w:color w:val="FF6A00"/>
                          <w:spacing w:val="-2"/>
                        </w:rPr>
                        <w:t>•</w:t>
                      </w:r>
                      <w:r>
                        <w:rPr/>
                        <w:t xml:space="preserve"> </w:t>
                      </w:r>
                      <w:r>
                        <w:rPr>
                          <w:sz w:val="22"/>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52" w:before="80"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To ratify the selection of Deloitte &amp; Touche LLP as our independent, registered public accounting firm for the year ending December 31, 2026; and</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254000" distR="0" simplePos="0" locked="0" layoutInCell="1" allowOverlap="1" relativeHeight="148">
                <wp:simplePos x="0" y="0"/>
                <wp:positionH relativeFrom="column">
                  <wp:align>left</wp:align>
                </wp:positionH>
                <wp:positionV relativeFrom="line">
                  <wp:align>top</wp:align>
                </wp:positionV>
                <wp:extent cx="254000" cy="350520"/>
                <wp:effectExtent l="0" t="0" r="0" b="0"/>
                <wp:wrapSquare wrapText="right"/>
                <wp:docPr id="14"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spacing w:val="-2"/>
                              </w:rPr>
                              <w:t>•</w:t>
                            </w:r>
                            <w:r>
                              <w:rPr/>
                              <w:t xml:space="preserve"> </w:t>
                            </w:r>
                            <w:r>
                              <w:rPr>
                                <w:sz w:val="22"/>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52" w:before="0" w:after="283"/>
                        <w:jc w:val="left"/>
                        <w:rPr/>
                      </w:pPr>
                      <w:r>
                        <w:rPr>
                          <w:color w:val="FF6A00"/>
                          <w:spacing w:val="-2"/>
                        </w:rPr>
                        <w:t>•</w:t>
                      </w:r>
                      <w:r>
                        <w:rPr/>
                        <w:t xml:space="preserve"> </w:t>
                      </w:r>
                      <w:r>
                        <w:rPr>
                          <w:sz w:val="22"/>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52" w:before="80"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To approve, on an advisory, non-binding basis, the compensation of our executive officers.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254000" distR="0" simplePos="0" locked="0" layoutInCell="1" allowOverlap="1" relativeHeight="149">
                <wp:simplePos x="0" y="0"/>
                <wp:positionH relativeFrom="column">
                  <wp:align>left</wp:align>
                </wp:positionH>
                <wp:positionV relativeFrom="line">
                  <wp:align>top</wp:align>
                </wp:positionV>
                <wp:extent cx="254000" cy="350520"/>
                <wp:effectExtent l="0" t="0" r="0" b="0"/>
                <wp:wrapSquare wrapText="right"/>
                <wp:docPr id="15"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spacing w:val="-2"/>
                              </w:rPr>
                              <w:t>•</w:t>
                            </w:r>
                            <w:r>
                              <w:rPr/>
                              <w:t xml:space="preserve"> </w:t>
                            </w:r>
                            <w:r>
                              <w:rPr>
                                <w:sz w:val="22"/>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52" w:before="0" w:after="283"/>
                        <w:jc w:val="left"/>
                        <w:rPr/>
                      </w:pPr>
                      <w:r>
                        <w:rPr>
                          <w:color w:val="FF6A00"/>
                          <w:spacing w:val="-2"/>
                        </w:rPr>
                        <w:t>•</w:t>
                      </w:r>
                      <w:r>
                        <w:rPr/>
                        <w:t xml:space="preserve"> </w:t>
                      </w:r>
                      <w:r>
                        <w:rPr>
                          <w:sz w:val="22"/>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In addition, we will consider any other matters that may properly come before the meeting or any adjournments or postponements of the meeting.</w:t>
      </w:r>
      <w:r>
        <w:rPr>
          <w:rFonts w:ascii="Arial;Helvetica;sans-serif" w:hAnsi="Arial;Helvetica;sans-serif"/>
          <w:b w:val="false"/>
          <w:i w:val="false"/>
          <w:caps w:val="false"/>
          <w:smallCaps w:val="false"/>
          <w:color w:val="000000"/>
          <w:spacing w:val="4"/>
          <w:sz w:val="22"/>
        </w:rPr>
        <w:t xml:space="preserve"> </w:t>
      </w:r>
    </w:p>
    <w:tbl>
      <w:tblPr>
        <w:tblW w:w="9065" w:type="dxa"/>
        <w:jc w:val="left"/>
        <w:tblInd w:w="1140" w:type="dxa"/>
        <w:tblLayout w:type="fixed"/>
        <w:tblCellMar>
          <w:top w:w="0" w:type="dxa"/>
          <w:left w:w="0" w:type="dxa"/>
          <w:bottom w:w="0" w:type="dxa"/>
          <w:right w:w="0" w:type="dxa"/>
        </w:tblCellMar>
      </w:tblPr>
      <w:tblGrid>
        <w:gridCol w:w="124"/>
        <w:gridCol w:w="1670"/>
        <w:gridCol w:w="109"/>
        <w:gridCol w:w="109"/>
        <w:gridCol w:w="6898"/>
        <w:gridCol w:w="155"/>
      </w:tblGrid>
      <w:tr>
        <w:trPr/>
        <w:tc>
          <w:tcPr>
            <w:tcW w:w="124" w:type="dxa"/>
            <w:tcBorders/>
            <w:vAlign w:val="center"/>
          </w:tcPr>
          <w:p>
            <w:pPr>
              <w:pStyle w:val="TableContents"/>
              <w:bidi w:val="0"/>
              <w:spacing w:before="0" w:after="283"/>
              <w:jc w:val="left"/>
              <w:rPr/>
            </w:pPr>
            <w:r>
              <w:rPr/>
              <w:t>​</w:t>
            </w:r>
          </w:p>
        </w:tc>
        <w:tc>
          <w:tcPr>
            <w:tcW w:w="1670" w:type="dxa"/>
            <w:tcBorders/>
            <w:vAlign w:val="center"/>
          </w:tcPr>
          <w:p>
            <w:pPr>
              <w:pStyle w:val="TableContents"/>
              <w:bidi w:val="0"/>
              <w:spacing w:before="0" w:after="0"/>
              <w:jc w:val="left"/>
              <w:rPr/>
            </w:pPr>
            <w:r>
              <w:rPr/>
              <w:drawing>
                <wp:inline distT="0" distB="0" distL="0" distR="0">
                  <wp:extent cx="390525" cy="495300"/>
                  <wp:effectExtent l="0" t="0" r="0" b="0"/>
                  <wp:docPr id="1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 descr=""/>
                          <pic:cNvPicPr>
                            <a:picLocks noChangeAspect="1" noChangeArrowheads="1"/>
                          </pic:cNvPicPr>
                        </pic:nvPicPr>
                        <pic:blipFill>
                          <a:blip r:embed="rId4"/>
                          <a:stretch>
                            <a:fillRect/>
                          </a:stretch>
                        </pic:blipFill>
                        <pic:spPr bwMode="auto">
                          <a:xfrm>
                            <a:off x="0" y="0"/>
                            <a:ext cx="390525" cy="495300"/>
                          </a:xfrm>
                          <a:prstGeom prst="rect">
                            <a:avLst/>
                          </a:prstGeom>
                        </pic:spPr>
                      </pic:pic>
                    </a:graphicData>
                  </a:graphic>
                </wp:inline>
              </w:drawing>
            </w:r>
            <w:r>
              <w:rPr/>
              <w:t xml:space="preserve"> </w:t>
            </w:r>
          </w:p>
          <w:p>
            <w:pPr>
              <w:pStyle w:val="TableContents"/>
              <w:bidi w:val="0"/>
              <w:spacing w:lineRule="atLeast" w:line="226" w:before="3" w:after="283"/>
              <w:jc w:val="left"/>
              <w:rPr/>
            </w:pPr>
            <w:r>
              <w:rPr>
                <w:b/>
                <w:color w:val="FF6A00"/>
                <w:spacing w:val="-2"/>
              </w:rPr>
              <w:t>DATE AND TIME:</w:t>
            </w:r>
            <w:r>
              <w:rPr/>
              <w:t xml:space="preserve"> </w:t>
              <w:br/>
            </w:r>
            <w:r>
              <w:rPr>
                <w:spacing w:val="-2"/>
              </w:rPr>
              <w:t xml:space="preserve">Thursday, June 11, 2026 9:00 a.m. CT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98" w:type="dxa"/>
            <w:tcBorders/>
            <w:vAlign w:val="center"/>
          </w:tcPr>
          <w:p>
            <w:pPr>
              <w:pStyle w:val="TableContents"/>
              <w:bidi w:val="0"/>
              <w:spacing w:lineRule="atLeast" w:line="226" w:before="0" w:after="0"/>
              <w:jc w:val="left"/>
              <w:rPr/>
            </w:pPr>
            <w:r>
              <w:rPr>
                <w:spacing w:val="-2"/>
              </w:rPr>
              <w:t>Instructions regarding all methods of voting are contained on any Notice of Internet Availability of Proxy Materials or proxy card provided. If your shares are held in the name of a bank, broker, fiduciary or custodian, follow the voting instructions you receive from your record holder.</w:t>
            </w:r>
            <w:r>
              <w:rPr/>
              <w:t xml:space="preserve"> </w:t>
            </w:r>
          </w:p>
          <w:p>
            <w:pPr>
              <w:pStyle w:val="TableContents"/>
              <w:bidi w:val="0"/>
              <w:spacing w:lineRule="atLeast" w:line="226" w:before="120" w:after="283"/>
              <w:jc w:val="left"/>
              <w:rPr/>
            </w:pPr>
            <w:r>
              <w:rPr>
                <w:b/>
                <w:color w:val="FF6A00"/>
                <w:spacing w:val="-2"/>
              </w:rPr>
              <w:t>Your vote is important.</w:t>
            </w:r>
            <w:r>
              <w:rPr>
                <w:spacing w:val="-2"/>
              </w:rPr>
              <w:t xml:space="preserve"> Whether or not you intend to be present at the meeting, to assure that your shares are represented at the meeting, please vote promptly using one of the methods mentioned below.</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before="0" w:after="0"/>
        <w:ind w:left="1140" w:right="0" w:hanging="0"/>
        <w:jc w:val="left"/>
        <w:rPr>
          <w:caps w:val="false"/>
          <w:smallCaps w:val="false"/>
          <w:color w:val="000000"/>
        </w:rPr>
      </w:pPr>
      <w:r>
        <w:rPr>
          <w:caps w:val="false"/>
          <w:smallCaps w:val="false"/>
          <w:color w:val="000000"/>
        </w:rPr>
        <w:t>​</w:t>
      </w:r>
      <w:r>
        <mc:AlternateContent>
          <mc:Choice Requires="wps">
            <w:drawing>
              <wp:anchor behindDoc="0" distT="0" distB="0" distL="720090" distR="0" simplePos="0" locked="0" layoutInCell="1" allowOverlap="1" relativeHeight="70">
                <wp:simplePos x="0" y="0"/>
                <wp:positionH relativeFrom="column">
                  <wp:align>left</wp:align>
                </wp:positionH>
                <wp:positionV relativeFrom="line">
                  <wp:posOffset>635</wp:posOffset>
                </wp:positionV>
                <wp:extent cx="1371600" cy="2984500"/>
                <wp:effectExtent l="0" t="0" r="0" b="0"/>
                <wp:wrapSquare wrapText="right"/>
                <wp:docPr id="17" name="Frame14"/>
                <a:graphic xmlns:a="http://schemas.openxmlformats.org/drawingml/2006/main">
                  <a:graphicData uri="http://schemas.microsoft.com/office/word/2010/wordprocessingShape">
                    <wps:wsp>
                      <wps:cNvSpPr txBox="1"/>
                      <wps:spPr>
                        <a:xfrm>
                          <a:off x="0" y="0"/>
                          <a:ext cx="1371600" cy="298450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0051"/>
                              <w:gridCol w:w="154"/>
                            </w:tblGrid>
                            <w:tr>
                              <w:trPr/>
                              <w:tc>
                                <w:tcPr>
                                  <w:tcW w:w="10051" w:type="dxa"/>
                                  <w:tcBorders/>
                                  <w:vAlign w:val="center"/>
                                </w:tcPr>
                                <w:p>
                                  <w:pPr>
                                    <w:pStyle w:val="TableContents"/>
                                    <w:bidi w:val="0"/>
                                    <w:spacing w:before="0" w:after="0"/>
                                    <w:jc w:val="left"/>
                                    <w:rPr/>
                                  </w:pPr>
                                  <w:r>
                                    <w:rPr/>
                                    <w:drawing>
                                      <wp:inline distT="0" distB="0" distL="0" distR="0">
                                        <wp:extent cx="352425" cy="409575"/>
                                        <wp:effectExtent l="0" t="0" r="0" b="0"/>
                                        <wp:docPr id="1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 descr=""/>
                                                <pic:cNvPicPr>
                                                  <a:picLocks noChangeAspect="1" noChangeArrowheads="1"/>
                                                </pic:cNvPicPr>
                                              </pic:nvPicPr>
                                              <pic:blipFill>
                                                <a:blip r:embed="rId5"/>
                                                <a:stretch>
                                                  <a:fillRect/>
                                                </a:stretch>
                                              </pic:blipFill>
                                              <pic:spPr bwMode="auto">
                                                <a:xfrm>
                                                  <a:off x="0" y="0"/>
                                                  <a:ext cx="352425" cy="4095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0051" w:type="dxa"/>
                                  <w:tcBorders/>
                                  <w:vAlign w:val="center"/>
                                </w:tcPr>
                                <w:p>
                                  <w:pPr>
                                    <w:pStyle w:val="TableContents"/>
                                    <w:bidi w:val="0"/>
                                    <w:spacing w:before="0" w:after="0"/>
                                    <w:jc w:val="left"/>
                                    <w:rPr/>
                                  </w:pPr>
                                  <w:r>
                                    <w:rPr>
                                      <w:spacing w:val="-2"/>
                                    </w:rPr>
                                    <w:t>WHERE:</w:t>
                                  </w:r>
                                  <w:r>
                                    <w:rPr/>
                                    <w:t xml:space="preserve"> </w:t>
                                  </w:r>
                                </w:p>
                              </w:tc>
                              <w:tc>
                                <w:tcPr>
                                  <w:tcW w:w="154" w:type="dxa"/>
                                  <w:tcBorders/>
                                  <w:vAlign w:val="center"/>
                                </w:tcPr>
                                <w:p>
                                  <w:pPr>
                                    <w:pStyle w:val="TableContents"/>
                                    <w:bidi w:val="0"/>
                                    <w:spacing w:before="0" w:after="283"/>
                                    <w:jc w:val="left"/>
                                    <w:rPr/>
                                  </w:pPr>
                                  <w:r>
                                    <w:rPr/>
                                    <w:t>​</w:t>
                                  </w:r>
                                </w:p>
                              </w:tc>
                            </w:tr>
                            <w:tr>
                              <w:trPr/>
                              <w:tc>
                                <w:tcPr>
                                  <w:tcW w:w="10051" w:type="dxa"/>
                                  <w:tcBorders/>
                                  <w:vAlign w:val="center"/>
                                </w:tcPr>
                                <w:p>
                                  <w:pPr>
                                    <w:pStyle w:val="TableContents"/>
                                    <w:bidi w:val="0"/>
                                    <w:spacing w:lineRule="atLeast" w:line="180" w:before="0" w:after="0"/>
                                    <w:jc w:val="left"/>
                                    <w:rPr/>
                                  </w:pPr>
                                  <w:r>
                                    <w:rPr>
                                      <w:spacing w:val="-2"/>
                                    </w:rPr>
                                    <w:t xml:space="preserve">Generac Power </w:t>
                                    <w:br/>
                                    <w:t xml:space="preserve">Systems, Inc. </w:t>
                                    <w:br/>
                                    <w:t xml:space="preserve">S45 W29290 Hwy. 59 </w:t>
                                    <w:br/>
                                    <w:t>Waukesha, Wisconsin 53189</w:t>
                                  </w:r>
                                  <w:r>
                                    <w:rPr/>
                                    <w:t xml:space="preserve"> </w:t>
                                  </w:r>
                                </w:p>
                                <w:p>
                                  <w:pPr>
                                    <w:pStyle w:val="TableContents"/>
                                    <w:bidi w:val="0"/>
                                    <w:spacing w:before="120" w:after="283"/>
                                    <w:jc w:val="left"/>
                                    <w:rPr/>
                                  </w:pPr>
                                  <w:r>
                                    <w:rPr/>
                                    <w:drawing>
                                      <wp:inline distT="0" distB="0" distL="0" distR="0">
                                        <wp:extent cx="457200" cy="428625"/>
                                        <wp:effectExtent l="0" t="0" r="0" b="0"/>
                                        <wp:docPr id="1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4" descr=""/>
                                                <pic:cNvPicPr>
                                                  <a:picLocks noChangeAspect="1" noChangeArrowheads="1"/>
                                                </pic:cNvPicPr>
                                              </pic:nvPicPr>
                                              <pic:blipFill>
                                                <a:blip r:embed="rId6"/>
                                                <a:stretch>
                                                  <a:fillRect/>
                                                </a:stretch>
                                              </pic:blipFill>
                                              <pic:spPr bwMode="auto">
                                                <a:xfrm>
                                                  <a:off x="0" y="0"/>
                                                  <a:ext cx="457200" cy="428625"/>
                                                </a:xfrm>
                                                <a:prstGeom prst="rect">
                                                  <a:avLst/>
                                                </a:prstGeom>
                                              </pic:spPr>
                                            </pic:pic>
                                          </a:graphicData>
                                        </a:graphic>
                                      </wp:inline>
                                    </w:drawing>
                                  </w:r>
                                  <w:r>
                                    <w:rPr/>
                                    <w:t xml:space="preserve"> </w:t>
                                  </w:r>
                                </w:p>
                                <w:p>
                                  <w:pPr>
                                    <w:pStyle w:val="TableContents"/>
                                    <w:bidi w:val="0"/>
                                    <w:spacing w:lineRule="atLeast" w:line="180" w:before="99" w:after="283"/>
                                    <w:jc w:val="left"/>
                                    <w:rPr/>
                                  </w:pPr>
                                  <w:r>
                                    <w:rPr>
                                      <w:b/>
                                      <w:color w:val="FF6A00"/>
                                      <w:spacing w:val="-2"/>
                                    </w:rPr>
                                    <w:t>ADMISSION:</w:t>
                                  </w:r>
                                  <w:r>
                                    <w:rPr>
                                      <w:spacing w:val="-2"/>
                                    </w:rPr>
                                    <w:t xml:space="preserve"> Holders of record of our common stock at the close of business on April 16, 2026 are entitled to notice of, and to vote at, the annual meeting.</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08pt;height:235pt;mso-wrap-distance-left:56.7pt;mso-wrap-distance-right:0pt;mso-wrap-distance-top:0pt;mso-wrap-distance-bottom:0pt;margin-top:0pt;mso-position-vertical:top;mso-position-vertical-relative:text;margin-left:56.7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0051"/>
                        <w:gridCol w:w="154"/>
                      </w:tblGrid>
                      <w:tr>
                        <w:trPr/>
                        <w:tc>
                          <w:tcPr>
                            <w:tcW w:w="10051" w:type="dxa"/>
                            <w:tcBorders/>
                            <w:vAlign w:val="center"/>
                          </w:tcPr>
                          <w:p>
                            <w:pPr>
                              <w:pStyle w:val="TableContents"/>
                              <w:bidi w:val="0"/>
                              <w:spacing w:before="0" w:after="0"/>
                              <w:jc w:val="left"/>
                              <w:rPr/>
                            </w:pPr>
                            <w:r>
                              <w:rPr/>
                              <w:drawing>
                                <wp:inline distT="0" distB="0" distL="0" distR="0">
                                  <wp:extent cx="352425" cy="409575"/>
                                  <wp:effectExtent l="0" t="0" r="0" b="0"/>
                                  <wp:docPr id="2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 descr=""/>
                                          <pic:cNvPicPr>
                                            <a:picLocks noChangeAspect="1" noChangeArrowheads="1"/>
                                          </pic:cNvPicPr>
                                        </pic:nvPicPr>
                                        <pic:blipFill>
                                          <a:blip r:embed="rId7"/>
                                          <a:stretch>
                                            <a:fillRect/>
                                          </a:stretch>
                                        </pic:blipFill>
                                        <pic:spPr bwMode="auto">
                                          <a:xfrm>
                                            <a:off x="0" y="0"/>
                                            <a:ext cx="352425" cy="4095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0051" w:type="dxa"/>
                            <w:tcBorders/>
                            <w:vAlign w:val="center"/>
                          </w:tcPr>
                          <w:p>
                            <w:pPr>
                              <w:pStyle w:val="TableContents"/>
                              <w:bidi w:val="0"/>
                              <w:spacing w:before="0" w:after="0"/>
                              <w:jc w:val="left"/>
                              <w:rPr/>
                            </w:pPr>
                            <w:r>
                              <w:rPr>
                                <w:spacing w:val="-2"/>
                              </w:rPr>
                              <w:t>WHERE:</w:t>
                            </w:r>
                            <w:r>
                              <w:rPr/>
                              <w:t xml:space="preserve"> </w:t>
                            </w:r>
                          </w:p>
                        </w:tc>
                        <w:tc>
                          <w:tcPr>
                            <w:tcW w:w="154" w:type="dxa"/>
                            <w:tcBorders/>
                            <w:vAlign w:val="center"/>
                          </w:tcPr>
                          <w:p>
                            <w:pPr>
                              <w:pStyle w:val="TableContents"/>
                              <w:bidi w:val="0"/>
                              <w:spacing w:before="0" w:after="283"/>
                              <w:jc w:val="left"/>
                              <w:rPr/>
                            </w:pPr>
                            <w:r>
                              <w:rPr/>
                              <w:t>​</w:t>
                            </w:r>
                          </w:p>
                        </w:tc>
                      </w:tr>
                      <w:tr>
                        <w:trPr/>
                        <w:tc>
                          <w:tcPr>
                            <w:tcW w:w="10051" w:type="dxa"/>
                            <w:tcBorders/>
                            <w:vAlign w:val="center"/>
                          </w:tcPr>
                          <w:p>
                            <w:pPr>
                              <w:pStyle w:val="TableContents"/>
                              <w:bidi w:val="0"/>
                              <w:spacing w:lineRule="atLeast" w:line="180" w:before="0" w:after="0"/>
                              <w:jc w:val="left"/>
                              <w:rPr/>
                            </w:pPr>
                            <w:r>
                              <w:rPr>
                                <w:spacing w:val="-2"/>
                              </w:rPr>
                              <w:t xml:space="preserve">Generac Power </w:t>
                              <w:br/>
                              <w:t xml:space="preserve">Systems, Inc. </w:t>
                              <w:br/>
                              <w:t xml:space="preserve">S45 W29290 Hwy. 59 </w:t>
                              <w:br/>
                              <w:t>Waukesha, Wisconsin 53189</w:t>
                            </w:r>
                            <w:r>
                              <w:rPr/>
                              <w:t xml:space="preserve"> </w:t>
                            </w:r>
                          </w:p>
                          <w:p>
                            <w:pPr>
                              <w:pStyle w:val="TableContents"/>
                              <w:bidi w:val="0"/>
                              <w:spacing w:before="120" w:after="283"/>
                              <w:jc w:val="left"/>
                              <w:rPr/>
                            </w:pPr>
                            <w:r>
                              <w:rPr/>
                              <w:drawing>
                                <wp:inline distT="0" distB="0" distL="0" distR="0">
                                  <wp:extent cx="457200" cy="428625"/>
                                  <wp:effectExtent l="0" t="0" r="0" b="0"/>
                                  <wp:docPr id="2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4" descr=""/>
                                          <pic:cNvPicPr>
                                            <a:picLocks noChangeAspect="1" noChangeArrowheads="1"/>
                                          </pic:cNvPicPr>
                                        </pic:nvPicPr>
                                        <pic:blipFill>
                                          <a:blip r:embed="rId8"/>
                                          <a:stretch>
                                            <a:fillRect/>
                                          </a:stretch>
                                        </pic:blipFill>
                                        <pic:spPr bwMode="auto">
                                          <a:xfrm>
                                            <a:off x="0" y="0"/>
                                            <a:ext cx="457200" cy="428625"/>
                                          </a:xfrm>
                                          <a:prstGeom prst="rect">
                                            <a:avLst/>
                                          </a:prstGeom>
                                        </pic:spPr>
                                      </pic:pic>
                                    </a:graphicData>
                                  </a:graphic>
                                </wp:inline>
                              </w:drawing>
                            </w:r>
                            <w:r>
                              <w:rPr/>
                              <w:t xml:space="preserve"> </w:t>
                            </w:r>
                          </w:p>
                          <w:p>
                            <w:pPr>
                              <w:pStyle w:val="TableContents"/>
                              <w:bidi w:val="0"/>
                              <w:spacing w:lineRule="atLeast" w:line="180" w:before="99" w:after="283"/>
                              <w:jc w:val="left"/>
                              <w:rPr/>
                            </w:pPr>
                            <w:r>
                              <w:rPr>
                                <w:b/>
                                <w:color w:val="FF6A00"/>
                                <w:spacing w:val="-2"/>
                              </w:rPr>
                              <w:t>ADMISSION:</w:t>
                            </w:r>
                            <w:r>
                              <w:rPr>
                                <w:spacing w:val="-2"/>
                              </w:rPr>
                              <w:t xml:space="preserve"> Holders of record of our common stock at the close of business on April 16, 2026 are entitled to notice of, and to vote at, the annual meeting.</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96520" distR="0" simplePos="0" locked="0" layoutInCell="1" allowOverlap="1" relativeHeight="73">
                <wp:simplePos x="0" y="0"/>
                <wp:positionH relativeFrom="column">
                  <wp:align>left</wp:align>
                </wp:positionH>
                <wp:positionV relativeFrom="line">
                  <wp:posOffset>635</wp:posOffset>
                </wp:positionV>
                <wp:extent cx="4648200" cy="5616575"/>
                <wp:effectExtent l="0" t="0" r="0" b="0"/>
                <wp:wrapSquare wrapText="right"/>
                <wp:docPr id="22" name="Frame15"/>
                <a:graphic xmlns:a="http://schemas.openxmlformats.org/drawingml/2006/main">
                  <a:graphicData uri="http://schemas.microsoft.com/office/word/2010/wordprocessingShape">
                    <wps:wsp>
                      <wps:cNvSpPr txBox="1"/>
                      <wps:spPr>
                        <a:xfrm>
                          <a:off x="0" y="0"/>
                          <a:ext cx="4648200" cy="561657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1366"/>
                              <w:gridCol w:w="109"/>
                              <w:gridCol w:w="109"/>
                              <w:gridCol w:w="1220"/>
                              <w:gridCol w:w="109"/>
                              <w:gridCol w:w="109"/>
                              <w:gridCol w:w="5040"/>
                              <w:gridCol w:w="109"/>
                              <w:gridCol w:w="109"/>
                              <w:gridCol w:w="1645"/>
                              <w:gridCol w:w="156"/>
                            </w:tblGrid>
                            <w:tr>
                              <w:trPr/>
                              <w:tc>
                                <w:tcPr>
                                  <w:tcW w:w="124" w:type="dxa"/>
                                  <w:tcBorders/>
                                  <w:vAlign w:val="center"/>
                                </w:tcPr>
                                <w:p>
                                  <w:pPr>
                                    <w:pStyle w:val="TableContents"/>
                                    <w:bidi w:val="0"/>
                                    <w:spacing w:before="0" w:after="283"/>
                                    <w:jc w:val="left"/>
                                    <w:rPr/>
                                  </w:pPr>
                                  <w:r>
                                    <w:rPr/>
                                    <w:t>​</w:t>
                                  </w:r>
                                </w:p>
                              </w:tc>
                              <w:tc>
                                <w:tcPr>
                                  <w:tcW w:w="1366" w:type="dxa"/>
                                  <w:tcBorders/>
                                  <w:vAlign w:val="center"/>
                                </w:tcPr>
                                <w:p>
                                  <w:pPr>
                                    <w:pStyle w:val="TableContents"/>
                                    <w:bidi w:val="0"/>
                                    <w:spacing w:before="0" w:after="0"/>
                                    <w:jc w:val="center"/>
                                    <w:rPr/>
                                  </w:pPr>
                                  <w:r>
                                    <w:rPr/>
                                    <w:drawing>
                                      <wp:inline distT="0" distB="0" distL="0" distR="0">
                                        <wp:extent cx="457200" cy="342900"/>
                                        <wp:effectExtent l="0" t="0" r="0" b="0"/>
                                        <wp:docPr id="2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5" descr=""/>
                                                <pic:cNvPicPr>
                                                  <a:picLocks noChangeAspect="1" noChangeArrowheads="1"/>
                                                </pic:cNvPicPr>
                                              </pic:nvPicPr>
                                              <pic:blipFill>
                                                <a:blip r:embed="rId9"/>
                                                <a:stretch>
                                                  <a:fillRect/>
                                                </a:stretch>
                                              </pic:blipFill>
                                              <pic:spPr bwMode="auto">
                                                <a:xfrm>
                                                  <a:off x="0" y="0"/>
                                                  <a:ext cx="457200" cy="3429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0"/>
                                    <w:jc w:val="center"/>
                                    <w:rPr/>
                                  </w:pPr>
                                  <w:r>
                                    <w:rPr/>
                                    <w:drawing>
                                      <wp:inline distT="0" distB="0" distL="0" distR="0">
                                        <wp:extent cx="219075" cy="428625"/>
                                        <wp:effectExtent l="0" t="0" r="0" b="0"/>
                                        <wp:docPr id="2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6" descr=""/>
                                                <pic:cNvPicPr>
                                                  <a:picLocks noChangeAspect="1" noChangeArrowheads="1"/>
                                                </pic:cNvPicPr>
                                              </pic:nvPicPr>
                                              <pic:blipFill>
                                                <a:blip r:embed="rId10"/>
                                                <a:stretch>
                                                  <a:fillRect/>
                                                </a:stretch>
                                              </pic:blipFill>
                                              <pic:spPr bwMode="auto">
                                                <a:xfrm>
                                                  <a:off x="0" y="0"/>
                                                  <a:ext cx="219075" cy="4286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040" w:type="dxa"/>
                                  <w:tcBorders/>
                                  <w:vAlign w:val="center"/>
                                </w:tcPr>
                                <w:p>
                                  <w:pPr>
                                    <w:pStyle w:val="TableContents"/>
                                    <w:bidi w:val="0"/>
                                    <w:spacing w:before="0" w:after="0"/>
                                    <w:jc w:val="center"/>
                                    <w:rPr/>
                                  </w:pPr>
                                  <w:r>
                                    <w:rPr/>
                                    <w:drawing>
                                      <wp:inline distT="0" distB="0" distL="0" distR="0">
                                        <wp:extent cx="314325" cy="200025"/>
                                        <wp:effectExtent l="0" t="0" r="0" b="0"/>
                                        <wp:docPr id="2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7" descr=""/>
                                                <pic:cNvPicPr>
                                                  <a:picLocks noChangeAspect="1" noChangeArrowheads="1"/>
                                                </pic:cNvPicPr>
                                              </pic:nvPicPr>
                                              <pic:blipFill>
                                                <a:blip r:embed="rId11"/>
                                                <a:stretch>
                                                  <a:fillRect/>
                                                </a:stretch>
                                              </pic:blipFill>
                                              <pic:spPr bwMode="auto">
                                                <a:xfrm>
                                                  <a:off x="0" y="0"/>
                                                  <a:ext cx="314325" cy="2000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5" w:type="dxa"/>
                                  <w:tcBorders/>
                                  <w:vAlign w:val="center"/>
                                </w:tcPr>
                                <w:p>
                                  <w:pPr>
                                    <w:pStyle w:val="TableContents"/>
                                    <w:bidi w:val="0"/>
                                    <w:spacing w:before="0" w:after="0"/>
                                    <w:jc w:val="center"/>
                                    <w:rPr/>
                                  </w:pPr>
                                  <w:r>
                                    <w:rPr/>
                                    <w:drawing>
                                      <wp:inline distT="0" distB="0" distL="0" distR="0">
                                        <wp:extent cx="371475" cy="342900"/>
                                        <wp:effectExtent l="0" t="0" r="0" b="0"/>
                                        <wp:docPr id="2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8" descr=""/>
                                                <pic:cNvPicPr>
                                                  <a:picLocks noChangeAspect="1" noChangeArrowheads="1"/>
                                                </pic:cNvPicPr>
                                              </pic:nvPicPr>
                                              <pic:blipFill>
                                                <a:blip r:embed="rId12"/>
                                                <a:stretch>
                                                  <a:fillRect/>
                                                </a:stretch>
                                              </pic:blipFill>
                                              <pic:spPr bwMode="auto">
                                                <a:xfrm>
                                                  <a:off x="0" y="0"/>
                                                  <a:ext cx="371475" cy="342900"/>
                                                </a:xfrm>
                                                <a:prstGeom prst="rect">
                                                  <a:avLst/>
                                                </a:prstGeom>
                                              </pic:spPr>
                                            </pic:pic>
                                          </a:graphicData>
                                        </a:graphic>
                                      </wp:inline>
                                    </w:drawing>
                                  </w:r>
                                  <w:r>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66" w:type="dxa"/>
                                  <w:tcBorders/>
                                  <w:vAlign w:val="center"/>
                                </w:tcPr>
                                <w:p>
                                  <w:pPr>
                                    <w:pStyle w:val="TableContents"/>
                                    <w:bidi w:val="0"/>
                                    <w:spacing w:before="0" w:after="0"/>
                                    <w:jc w:val="center"/>
                                    <w:rPr>
                                      <w:spacing w:val="-2"/>
                                    </w:rPr>
                                  </w:pPr>
                                  <w:r>
                                    <w:rPr>
                                      <w:spacing w:val="-2"/>
                                    </w:rPr>
                                    <w:t xml:space="preserve">Internet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0"/>
                                    <w:jc w:val="center"/>
                                    <w:rPr>
                                      <w:spacing w:val="-2"/>
                                    </w:rPr>
                                  </w:pPr>
                                  <w:r>
                                    <w:rPr>
                                      <w:spacing w:val="-2"/>
                                    </w:rPr>
                                    <w:t xml:space="preserve">Telephone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040" w:type="dxa"/>
                                  <w:tcBorders/>
                                  <w:vAlign w:val="center"/>
                                </w:tcPr>
                                <w:p>
                                  <w:pPr>
                                    <w:pStyle w:val="TableContents"/>
                                    <w:bidi w:val="0"/>
                                    <w:spacing w:before="0" w:after="0"/>
                                    <w:jc w:val="center"/>
                                    <w:rPr>
                                      <w:spacing w:val="-2"/>
                                    </w:rPr>
                                  </w:pPr>
                                  <w:r>
                                    <w:rPr>
                                      <w:spacing w:val="-2"/>
                                    </w:rPr>
                                    <w:t xml:space="preserve">Mail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5" w:type="dxa"/>
                                  <w:tcBorders/>
                                  <w:vAlign w:val="center"/>
                                </w:tcPr>
                                <w:p>
                                  <w:pPr>
                                    <w:pStyle w:val="TableContents"/>
                                    <w:bidi w:val="0"/>
                                    <w:spacing w:before="0" w:after="0"/>
                                    <w:jc w:val="center"/>
                                    <w:rPr>
                                      <w:spacing w:val="-2"/>
                                    </w:rPr>
                                  </w:pPr>
                                  <w:r>
                                    <w:rPr>
                                      <w:spacing w:val="-2"/>
                                    </w:rPr>
                                    <w:t xml:space="preserve">In Person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66" w:type="dxa"/>
                                  <w:tcBorders/>
                                  <w:vAlign w:val="center"/>
                                </w:tcPr>
                                <w:p>
                                  <w:pPr>
                                    <w:pStyle w:val="TableContents"/>
                                    <w:bidi w:val="0"/>
                                    <w:spacing w:before="0" w:after="0"/>
                                    <w:jc w:val="center"/>
                                    <w:rPr>
                                      <w:spacing w:val="-2"/>
                                    </w:rPr>
                                  </w:pPr>
                                  <w:r>
                                    <w:rPr>
                                      <w:spacing w:val="-2"/>
                                    </w:rPr>
                                    <w:t xml:space="preserve">Visit the internet </w:t>
                                    <w:br/>
                                    <w:t xml:space="preserve">website indicated on </w:t>
                                    <w:br/>
                                    <w:t xml:space="preserve">the Notice of </w:t>
                                    <w:br/>
                                    <w:t xml:space="preserve">Internet Availability </w:t>
                                    <w:br/>
                                    <w:t xml:space="preserve">or any proxy card </w:t>
                                    <w:br/>
                                    <w:t xml:space="preserve">you receive and </w:t>
                                    <w:br/>
                                    <w:t xml:space="preserve">follow the on-screen </w:t>
                                    <w:br/>
                                    <w:t xml:space="preserve">instructions.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0"/>
                                    <w:jc w:val="center"/>
                                    <w:rPr>
                                      <w:spacing w:val="-2"/>
                                    </w:rPr>
                                  </w:pPr>
                                  <w:r>
                                    <w:rPr>
                                      <w:spacing w:val="-2"/>
                                    </w:rPr>
                                    <w:t xml:space="preserve">Use the toll-free </w:t>
                                    <w:br/>
                                    <w:t xml:space="preserve">telephone number </w:t>
                                    <w:br/>
                                    <w:t xml:space="preserve">shown on any </w:t>
                                    <w:br/>
                                    <w:t xml:space="preserve">proxy card you </w:t>
                                    <w:br/>
                                    <w:t xml:space="preserve">receive.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040" w:type="dxa"/>
                                  <w:tcBorders/>
                                  <w:vAlign w:val="center"/>
                                </w:tcPr>
                                <w:p>
                                  <w:pPr>
                                    <w:pStyle w:val="TableContents"/>
                                    <w:bidi w:val="0"/>
                                    <w:spacing w:before="0" w:after="0"/>
                                    <w:jc w:val="center"/>
                                    <w:rPr>
                                      <w:spacing w:val="-2"/>
                                    </w:rPr>
                                  </w:pPr>
                                  <w:r>
                                    <w:rPr>
                                      <w:spacing w:val="-2"/>
                                    </w:rPr>
                                    <w:t xml:space="preserve">If you request a paper proxy card by telephone or internet, you may elect to vote by mail. If you elect to do so, you should date, sign and promptly return your proxy card by mail in the postage prepaid envelope which accompanied that proxy card.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5" w:type="dxa"/>
                                  <w:tcBorders/>
                                  <w:vAlign w:val="center"/>
                                </w:tcPr>
                                <w:p>
                                  <w:pPr>
                                    <w:pStyle w:val="TableContents"/>
                                    <w:bidi w:val="0"/>
                                    <w:spacing w:before="0" w:after="0"/>
                                    <w:jc w:val="center"/>
                                    <w:rPr/>
                                  </w:pPr>
                                  <w:r>
                                    <w:rPr>
                                      <w:spacing w:val="-2"/>
                                    </w:rPr>
                                    <w:t xml:space="preserve">You can deliver a completed proxy card at the </w:t>
                                    <w:br/>
                                    <w:t>meeting or vote in person.</w:t>
                                  </w:r>
                                  <w:r>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5" w:type="dxa"/>
                                  <w:gridSpan w:val="10"/>
                                  <w:tcBorders/>
                                  <w:vAlign w:val="center"/>
                                </w:tcPr>
                                <w:p>
                                  <w:pPr>
                                    <w:pStyle w:val="TableContents"/>
                                    <w:bidi w:val="0"/>
                                    <w:spacing w:lineRule="atLeast" w:line="220" w:before="0" w:after="0"/>
                                    <w:jc w:val="center"/>
                                    <w:rPr>
                                      <w:spacing w:val="-2"/>
                                    </w:rPr>
                                  </w:pPr>
                                  <w:r>
                                    <w:rPr>
                                      <w:spacing w:val="-2"/>
                                    </w:rPr>
                                    <w:t xml:space="preserve">Thank you for your continued support of and interest in the Company. </w:t>
                                  </w:r>
                                </w:p>
                                <w:p>
                                  <w:pPr>
                                    <w:pStyle w:val="TableContents"/>
                                    <w:bidi w:val="0"/>
                                    <w:spacing w:lineRule="atLeast" w:line="258" w:before="120" w:after="283"/>
                                    <w:ind w:left="1600" w:right="0" w:hanging="0"/>
                                    <w:jc w:val="left"/>
                                    <w:rPr/>
                                  </w:pPr>
                                  <w:r>
                                    <w:rPr>
                                      <w:spacing w:val="-2"/>
                                    </w:rPr>
                                    <w:t>By Order of the Board of Directors,</w:t>
                                  </w:r>
                                  <w:r>
                                    <w:rPr/>
                                    <w:t xml:space="preserve"> </w:t>
                                  </w:r>
                                </w:p>
                                <w:p>
                                  <w:pPr>
                                    <w:pStyle w:val="TableContents"/>
                                    <w:bidi w:val="0"/>
                                    <w:spacing w:before="238" w:after="283"/>
                                    <w:ind w:left="1600" w:right="0" w:hanging="0"/>
                                    <w:jc w:val="left"/>
                                    <w:rPr/>
                                  </w:pPr>
                                  <w:r>
                                    <w:rPr/>
                                    <w:drawing>
                                      <wp:inline distT="0" distB="0" distL="0" distR="0">
                                        <wp:extent cx="1343025" cy="390525"/>
                                        <wp:effectExtent l="0" t="0" r="0" b="0"/>
                                        <wp:docPr id="2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9" descr=""/>
                                                <pic:cNvPicPr>
                                                  <a:picLocks noChangeAspect="1" noChangeArrowheads="1"/>
                                                </pic:cNvPicPr>
                                              </pic:nvPicPr>
                                              <pic:blipFill>
                                                <a:blip r:embed="rId13"/>
                                                <a:stretch>
                                                  <a:fillRect/>
                                                </a:stretch>
                                              </pic:blipFill>
                                              <pic:spPr bwMode="auto">
                                                <a:xfrm>
                                                  <a:off x="0" y="0"/>
                                                  <a:ext cx="1343025" cy="390525"/>
                                                </a:xfrm>
                                                <a:prstGeom prst="rect">
                                                  <a:avLst/>
                                                </a:prstGeom>
                                              </pic:spPr>
                                            </pic:pic>
                                          </a:graphicData>
                                        </a:graphic>
                                      </wp:inline>
                                    </w:drawing>
                                  </w:r>
                                  <w:r>
                                    <w:rPr/>
                                    <w:t xml:space="preserve"> </w:t>
                                  </w:r>
                                </w:p>
                                <w:p>
                                  <w:pPr>
                                    <w:pStyle w:val="TableContents"/>
                                    <w:bidi w:val="0"/>
                                    <w:spacing w:lineRule="atLeast" w:line="220" w:before="38" w:after="283"/>
                                    <w:ind w:left="1600" w:right="0" w:hanging="0"/>
                                    <w:jc w:val="left"/>
                                    <w:rPr>
                                      <w:b/>
                                    </w:rPr>
                                  </w:pPr>
                                  <w:r>
                                    <w:rPr>
                                      <w:b/>
                                      <w:spacing w:val="-2"/>
                                    </w:rPr>
                                    <w:t>Raj Kanuru</w:t>
                                  </w:r>
                                  <w:r>
                                    <w:rPr>
                                      <w:b/>
                                    </w:rPr>
                                    <w:t xml:space="preserve"> </w:t>
                                  </w:r>
                                </w:p>
                                <w:p>
                                  <w:pPr>
                                    <w:pStyle w:val="TableContents"/>
                                    <w:bidi w:val="0"/>
                                    <w:spacing w:lineRule="atLeast" w:line="258" w:before="120" w:after="283"/>
                                    <w:ind w:left="1600" w:right="0" w:hanging="0"/>
                                    <w:jc w:val="left"/>
                                    <w:rPr/>
                                  </w:pPr>
                                  <w:r>
                                    <w:rPr>
                                      <w:spacing w:val="-2"/>
                                    </w:rPr>
                                    <w:t>Executive Vice President, General Counsel &amp; Secretary</w:t>
                                  </w:r>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66pt;height:442.25pt;mso-wrap-distance-left:7.6pt;mso-wrap-distance-right:0pt;mso-wrap-distance-top:0pt;mso-wrap-distance-bottom:0pt;margin-top:0pt;mso-position-vertical:top;mso-position-vertical-relative:text;margin-left:172.3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1366"/>
                        <w:gridCol w:w="109"/>
                        <w:gridCol w:w="109"/>
                        <w:gridCol w:w="1220"/>
                        <w:gridCol w:w="109"/>
                        <w:gridCol w:w="109"/>
                        <w:gridCol w:w="5040"/>
                        <w:gridCol w:w="109"/>
                        <w:gridCol w:w="109"/>
                        <w:gridCol w:w="1645"/>
                        <w:gridCol w:w="156"/>
                      </w:tblGrid>
                      <w:tr>
                        <w:trPr/>
                        <w:tc>
                          <w:tcPr>
                            <w:tcW w:w="124" w:type="dxa"/>
                            <w:tcBorders/>
                            <w:vAlign w:val="center"/>
                          </w:tcPr>
                          <w:p>
                            <w:pPr>
                              <w:pStyle w:val="TableContents"/>
                              <w:bidi w:val="0"/>
                              <w:spacing w:before="0" w:after="283"/>
                              <w:jc w:val="left"/>
                              <w:rPr/>
                            </w:pPr>
                            <w:r>
                              <w:rPr/>
                              <w:t>​</w:t>
                            </w:r>
                          </w:p>
                        </w:tc>
                        <w:tc>
                          <w:tcPr>
                            <w:tcW w:w="1366" w:type="dxa"/>
                            <w:tcBorders/>
                            <w:vAlign w:val="center"/>
                          </w:tcPr>
                          <w:p>
                            <w:pPr>
                              <w:pStyle w:val="TableContents"/>
                              <w:bidi w:val="0"/>
                              <w:spacing w:before="0" w:after="0"/>
                              <w:jc w:val="center"/>
                              <w:rPr/>
                            </w:pPr>
                            <w:r>
                              <w:rPr/>
                              <w:drawing>
                                <wp:inline distT="0" distB="0" distL="0" distR="0">
                                  <wp:extent cx="457200" cy="342900"/>
                                  <wp:effectExtent l="0" t="0" r="0" b="0"/>
                                  <wp:docPr id="2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5" descr=""/>
                                          <pic:cNvPicPr>
                                            <a:picLocks noChangeAspect="1" noChangeArrowheads="1"/>
                                          </pic:cNvPicPr>
                                        </pic:nvPicPr>
                                        <pic:blipFill>
                                          <a:blip r:embed="rId14"/>
                                          <a:stretch>
                                            <a:fillRect/>
                                          </a:stretch>
                                        </pic:blipFill>
                                        <pic:spPr bwMode="auto">
                                          <a:xfrm>
                                            <a:off x="0" y="0"/>
                                            <a:ext cx="457200" cy="3429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0"/>
                              <w:jc w:val="center"/>
                              <w:rPr/>
                            </w:pPr>
                            <w:r>
                              <w:rPr/>
                              <w:drawing>
                                <wp:inline distT="0" distB="0" distL="0" distR="0">
                                  <wp:extent cx="219075" cy="428625"/>
                                  <wp:effectExtent l="0" t="0" r="0" b="0"/>
                                  <wp:docPr id="2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6" descr=""/>
                                          <pic:cNvPicPr>
                                            <a:picLocks noChangeAspect="1" noChangeArrowheads="1"/>
                                          </pic:cNvPicPr>
                                        </pic:nvPicPr>
                                        <pic:blipFill>
                                          <a:blip r:embed="rId15"/>
                                          <a:stretch>
                                            <a:fillRect/>
                                          </a:stretch>
                                        </pic:blipFill>
                                        <pic:spPr bwMode="auto">
                                          <a:xfrm>
                                            <a:off x="0" y="0"/>
                                            <a:ext cx="219075" cy="4286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040" w:type="dxa"/>
                            <w:tcBorders/>
                            <w:vAlign w:val="center"/>
                          </w:tcPr>
                          <w:p>
                            <w:pPr>
                              <w:pStyle w:val="TableContents"/>
                              <w:bidi w:val="0"/>
                              <w:spacing w:before="0" w:after="0"/>
                              <w:jc w:val="center"/>
                              <w:rPr/>
                            </w:pPr>
                            <w:r>
                              <w:rPr/>
                              <w:drawing>
                                <wp:inline distT="0" distB="0" distL="0" distR="0">
                                  <wp:extent cx="314325" cy="200025"/>
                                  <wp:effectExtent l="0" t="0" r="0" b="0"/>
                                  <wp:docPr id="3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7" descr=""/>
                                          <pic:cNvPicPr>
                                            <a:picLocks noChangeAspect="1" noChangeArrowheads="1"/>
                                          </pic:cNvPicPr>
                                        </pic:nvPicPr>
                                        <pic:blipFill>
                                          <a:blip r:embed="rId16"/>
                                          <a:stretch>
                                            <a:fillRect/>
                                          </a:stretch>
                                        </pic:blipFill>
                                        <pic:spPr bwMode="auto">
                                          <a:xfrm>
                                            <a:off x="0" y="0"/>
                                            <a:ext cx="314325" cy="2000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5" w:type="dxa"/>
                            <w:tcBorders/>
                            <w:vAlign w:val="center"/>
                          </w:tcPr>
                          <w:p>
                            <w:pPr>
                              <w:pStyle w:val="TableContents"/>
                              <w:bidi w:val="0"/>
                              <w:spacing w:before="0" w:after="0"/>
                              <w:jc w:val="center"/>
                              <w:rPr/>
                            </w:pPr>
                            <w:r>
                              <w:rPr/>
                              <w:drawing>
                                <wp:inline distT="0" distB="0" distL="0" distR="0">
                                  <wp:extent cx="371475" cy="342900"/>
                                  <wp:effectExtent l="0" t="0" r="0" b="0"/>
                                  <wp:docPr id="3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8" descr=""/>
                                          <pic:cNvPicPr>
                                            <a:picLocks noChangeAspect="1" noChangeArrowheads="1"/>
                                          </pic:cNvPicPr>
                                        </pic:nvPicPr>
                                        <pic:blipFill>
                                          <a:blip r:embed="rId17"/>
                                          <a:stretch>
                                            <a:fillRect/>
                                          </a:stretch>
                                        </pic:blipFill>
                                        <pic:spPr bwMode="auto">
                                          <a:xfrm>
                                            <a:off x="0" y="0"/>
                                            <a:ext cx="371475" cy="342900"/>
                                          </a:xfrm>
                                          <a:prstGeom prst="rect">
                                            <a:avLst/>
                                          </a:prstGeom>
                                        </pic:spPr>
                                      </pic:pic>
                                    </a:graphicData>
                                  </a:graphic>
                                </wp:inline>
                              </w:drawing>
                            </w:r>
                            <w:r>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66" w:type="dxa"/>
                            <w:tcBorders/>
                            <w:vAlign w:val="center"/>
                          </w:tcPr>
                          <w:p>
                            <w:pPr>
                              <w:pStyle w:val="TableContents"/>
                              <w:bidi w:val="0"/>
                              <w:spacing w:before="0" w:after="0"/>
                              <w:jc w:val="center"/>
                              <w:rPr>
                                <w:spacing w:val="-2"/>
                              </w:rPr>
                            </w:pPr>
                            <w:r>
                              <w:rPr>
                                <w:spacing w:val="-2"/>
                              </w:rPr>
                              <w:t xml:space="preserve">Internet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0"/>
                              <w:jc w:val="center"/>
                              <w:rPr>
                                <w:spacing w:val="-2"/>
                              </w:rPr>
                            </w:pPr>
                            <w:r>
                              <w:rPr>
                                <w:spacing w:val="-2"/>
                              </w:rPr>
                              <w:t xml:space="preserve">Telephone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040" w:type="dxa"/>
                            <w:tcBorders/>
                            <w:vAlign w:val="center"/>
                          </w:tcPr>
                          <w:p>
                            <w:pPr>
                              <w:pStyle w:val="TableContents"/>
                              <w:bidi w:val="0"/>
                              <w:spacing w:before="0" w:after="0"/>
                              <w:jc w:val="center"/>
                              <w:rPr>
                                <w:spacing w:val="-2"/>
                              </w:rPr>
                            </w:pPr>
                            <w:r>
                              <w:rPr>
                                <w:spacing w:val="-2"/>
                              </w:rPr>
                              <w:t xml:space="preserve">Mail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5" w:type="dxa"/>
                            <w:tcBorders/>
                            <w:vAlign w:val="center"/>
                          </w:tcPr>
                          <w:p>
                            <w:pPr>
                              <w:pStyle w:val="TableContents"/>
                              <w:bidi w:val="0"/>
                              <w:spacing w:before="0" w:after="0"/>
                              <w:jc w:val="center"/>
                              <w:rPr>
                                <w:spacing w:val="-2"/>
                              </w:rPr>
                            </w:pPr>
                            <w:r>
                              <w:rPr>
                                <w:spacing w:val="-2"/>
                              </w:rPr>
                              <w:t xml:space="preserve">In Person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366" w:type="dxa"/>
                            <w:tcBorders/>
                            <w:vAlign w:val="center"/>
                          </w:tcPr>
                          <w:p>
                            <w:pPr>
                              <w:pStyle w:val="TableContents"/>
                              <w:bidi w:val="0"/>
                              <w:spacing w:before="0" w:after="0"/>
                              <w:jc w:val="center"/>
                              <w:rPr>
                                <w:spacing w:val="-2"/>
                              </w:rPr>
                            </w:pPr>
                            <w:r>
                              <w:rPr>
                                <w:spacing w:val="-2"/>
                              </w:rPr>
                              <w:t xml:space="preserve">Visit the internet </w:t>
                              <w:br/>
                              <w:t xml:space="preserve">website indicated on </w:t>
                              <w:br/>
                              <w:t xml:space="preserve">the Notice of </w:t>
                              <w:br/>
                              <w:t xml:space="preserve">Internet Availability </w:t>
                              <w:br/>
                              <w:t xml:space="preserve">or any proxy card </w:t>
                              <w:br/>
                              <w:t xml:space="preserve">you receive and </w:t>
                              <w:br/>
                              <w:t xml:space="preserve">follow the on-screen </w:t>
                              <w:br/>
                              <w:t xml:space="preserve">instructions.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0"/>
                              <w:jc w:val="center"/>
                              <w:rPr>
                                <w:spacing w:val="-2"/>
                              </w:rPr>
                            </w:pPr>
                            <w:r>
                              <w:rPr>
                                <w:spacing w:val="-2"/>
                              </w:rPr>
                              <w:t xml:space="preserve">Use the toll-free </w:t>
                              <w:br/>
                              <w:t xml:space="preserve">telephone number </w:t>
                              <w:br/>
                              <w:t xml:space="preserve">shown on any </w:t>
                              <w:br/>
                              <w:t xml:space="preserve">proxy card you </w:t>
                              <w:br/>
                              <w:t xml:space="preserve">receive.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040" w:type="dxa"/>
                            <w:tcBorders/>
                            <w:vAlign w:val="center"/>
                          </w:tcPr>
                          <w:p>
                            <w:pPr>
                              <w:pStyle w:val="TableContents"/>
                              <w:bidi w:val="0"/>
                              <w:spacing w:before="0" w:after="0"/>
                              <w:jc w:val="center"/>
                              <w:rPr>
                                <w:spacing w:val="-2"/>
                              </w:rPr>
                            </w:pPr>
                            <w:r>
                              <w:rPr>
                                <w:spacing w:val="-2"/>
                              </w:rPr>
                              <w:t xml:space="preserve">If you request a paper proxy card by telephone or internet, you may elect to vote by mail. If you elect to do so, you should date, sign and promptly return your proxy card by mail in the postage prepaid envelope which accompanied that proxy card.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5" w:type="dxa"/>
                            <w:tcBorders/>
                            <w:vAlign w:val="center"/>
                          </w:tcPr>
                          <w:p>
                            <w:pPr>
                              <w:pStyle w:val="TableContents"/>
                              <w:bidi w:val="0"/>
                              <w:spacing w:before="0" w:after="0"/>
                              <w:jc w:val="center"/>
                              <w:rPr/>
                            </w:pPr>
                            <w:r>
                              <w:rPr>
                                <w:spacing w:val="-2"/>
                              </w:rPr>
                              <w:t xml:space="preserve">You can deliver a completed proxy card at the </w:t>
                              <w:br/>
                              <w:t>meeting or vote in person.</w:t>
                            </w:r>
                            <w:r>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25" w:type="dxa"/>
                            <w:gridSpan w:val="10"/>
                            <w:tcBorders/>
                            <w:vAlign w:val="center"/>
                          </w:tcPr>
                          <w:p>
                            <w:pPr>
                              <w:pStyle w:val="TableContents"/>
                              <w:bidi w:val="0"/>
                              <w:spacing w:lineRule="atLeast" w:line="220" w:before="0" w:after="0"/>
                              <w:jc w:val="center"/>
                              <w:rPr>
                                <w:spacing w:val="-2"/>
                              </w:rPr>
                            </w:pPr>
                            <w:r>
                              <w:rPr>
                                <w:spacing w:val="-2"/>
                              </w:rPr>
                              <w:t xml:space="preserve">Thank you for your continued support of and interest in the Company. </w:t>
                            </w:r>
                          </w:p>
                          <w:p>
                            <w:pPr>
                              <w:pStyle w:val="TableContents"/>
                              <w:bidi w:val="0"/>
                              <w:spacing w:lineRule="atLeast" w:line="258" w:before="120" w:after="283"/>
                              <w:ind w:left="1600" w:right="0" w:hanging="0"/>
                              <w:jc w:val="left"/>
                              <w:rPr/>
                            </w:pPr>
                            <w:r>
                              <w:rPr>
                                <w:spacing w:val="-2"/>
                              </w:rPr>
                              <w:t>By Order of the Board of Directors,</w:t>
                            </w:r>
                            <w:r>
                              <w:rPr/>
                              <w:t xml:space="preserve"> </w:t>
                            </w:r>
                          </w:p>
                          <w:p>
                            <w:pPr>
                              <w:pStyle w:val="TableContents"/>
                              <w:bidi w:val="0"/>
                              <w:spacing w:before="238" w:after="283"/>
                              <w:ind w:left="1600" w:right="0" w:hanging="0"/>
                              <w:jc w:val="left"/>
                              <w:rPr/>
                            </w:pPr>
                            <w:r>
                              <w:rPr/>
                              <w:drawing>
                                <wp:inline distT="0" distB="0" distL="0" distR="0">
                                  <wp:extent cx="1343025" cy="390525"/>
                                  <wp:effectExtent l="0" t="0" r="0" b="0"/>
                                  <wp:docPr id="3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9" descr=""/>
                                          <pic:cNvPicPr>
                                            <a:picLocks noChangeAspect="1" noChangeArrowheads="1"/>
                                          </pic:cNvPicPr>
                                        </pic:nvPicPr>
                                        <pic:blipFill>
                                          <a:blip r:embed="rId18"/>
                                          <a:stretch>
                                            <a:fillRect/>
                                          </a:stretch>
                                        </pic:blipFill>
                                        <pic:spPr bwMode="auto">
                                          <a:xfrm>
                                            <a:off x="0" y="0"/>
                                            <a:ext cx="1343025" cy="390525"/>
                                          </a:xfrm>
                                          <a:prstGeom prst="rect">
                                            <a:avLst/>
                                          </a:prstGeom>
                                        </pic:spPr>
                                      </pic:pic>
                                    </a:graphicData>
                                  </a:graphic>
                                </wp:inline>
                              </w:drawing>
                            </w:r>
                            <w:r>
                              <w:rPr/>
                              <w:t xml:space="preserve"> </w:t>
                            </w:r>
                          </w:p>
                          <w:p>
                            <w:pPr>
                              <w:pStyle w:val="TableContents"/>
                              <w:bidi w:val="0"/>
                              <w:spacing w:lineRule="atLeast" w:line="220" w:before="38" w:after="283"/>
                              <w:ind w:left="1600" w:right="0" w:hanging="0"/>
                              <w:jc w:val="left"/>
                              <w:rPr>
                                <w:b/>
                              </w:rPr>
                            </w:pPr>
                            <w:r>
                              <w:rPr>
                                <w:b/>
                                <w:spacing w:val="-2"/>
                              </w:rPr>
                              <w:t>Raj Kanuru</w:t>
                            </w:r>
                            <w:r>
                              <w:rPr>
                                <w:b/>
                              </w:rPr>
                              <w:t xml:space="preserve"> </w:t>
                            </w:r>
                          </w:p>
                          <w:p>
                            <w:pPr>
                              <w:pStyle w:val="TableContents"/>
                              <w:bidi w:val="0"/>
                              <w:spacing w:lineRule="atLeast" w:line="258" w:before="120" w:after="283"/>
                              <w:ind w:left="1600" w:right="0" w:hanging="0"/>
                              <w:jc w:val="left"/>
                              <w:rPr/>
                            </w:pPr>
                            <w:r>
                              <w:rPr>
                                <w:spacing w:val="-2"/>
                              </w:rPr>
                              <w:t>Executive Vice President, General Counsel &amp; Secretary</w:t>
                            </w:r>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TextBody"/>
        <w:bidi w:val="0"/>
        <w:spacing w:lineRule="atLeast" w:line="240" w:before="240" w:after="283"/>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FF6A00"/>
          <w:sz w:val="16"/>
        </w:rPr>
        <w:t xml:space="preserve">​ </w:t>
      </w:r>
    </w:p>
    <w:p>
      <w:pPr>
        <w:pStyle w:val="TextBody"/>
        <w:bidi w:val="0"/>
        <w:spacing w:lineRule="atLeast" w:line="260" w:before="100" w:after="283"/>
        <w:ind w:left="1140" w:right="0" w:hanging="0"/>
        <w:jc w:val="center"/>
        <w:rPr>
          <w:caps w:val="false"/>
          <w:smallCaps w:val="false"/>
          <w:color w:val="FF6A00"/>
        </w:rPr>
      </w:pPr>
      <w:r>
        <w:rPr>
          <w:caps w:val="false"/>
          <w:smallCaps w:val="false"/>
          <w:color w:val="FF6A00"/>
          <w:spacing w:val="-2"/>
        </w:rPr>
        <w:t> </w:t>
      </w:r>
      <w:r>
        <w:rPr>
          <w:caps w:val="false"/>
          <w:smallCaps w:val="false"/>
          <w:color w:val="FF6A00"/>
        </w:rPr>
        <w:t xml:space="preserve"> </w:t>
      </w:r>
    </w:p>
    <w:p>
      <w:pPr>
        <w:pStyle w:val="TextBody"/>
        <w:bidi w:val="0"/>
        <w:spacing w:lineRule="atLeast" w:line="400" w:before="120" w:after="283"/>
        <w:ind w:left="1140" w:right="0" w:hanging="0"/>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TABLE OF CONTENTS</w:t>
      </w:r>
      <w:r>
        <w:rPr>
          <w:rFonts w:ascii="Arial;Helvetica;sans-serif" w:hAnsi="Arial;Helvetica;sans-serif"/>
          <w:b/>
          <w:i w:val="false"/>
          <w:caps w:val="false"/>
          <w:smallCaps w:val="false"/>
          <w:color w:val="000000"/>
          <w:spacing w:val="7"/>
          <w:sz w:val="36"/>
        </w:rPr>
        <w:t xml:space="preserve"> </w:t>
      </w:r>
    </w:p>
    <w:tbl>
      <w:tblPr>
        <w:tblW w:w="9065" w:type="dxa"/>
        <w:jc w:val="left"/>
        <w:tblInd w:w="1140" w:type="dxa"/>
        <w:tblLayout w:type="fixed"/>
        <w:tblCellMar>
          <w:top w:w="0" w:type="dxa"/>
          <w:left w:w="0" w:type="dxa"/>
          <w:bottom w:w="28" w:type="dxa"/>
          <w:right w:w="0" w:type="dxa"/>
        </w:tblCellMar>
      </w:tblPr>
      <w:tblGrid>
        <w:gridCol w:w="124"/>
        <w:gridCol w:w="7865"/>
        <w:gridCol w:w="109"/>
        <w:gridCol w:w="109"/>
        <w:gridCol w:w="109"/>
        <w:gridCol w:w="109"/>
        <w:gridCol w:w="376"/>
        <w:gridCol w:w="109"/>
        <w:gridCol w:w="155"/>
      </w:tblGrid>
      <w:tr>
        <w:trPr/>
        <w:tc>
          <w:tcPr>
            <w:tcW w:w="124" w:type="dxa"/>
            <w:tcBorders>
              <w:bottom w:val="single" w:sz="2" w:space="0" w:color="999999"/>
            </w:tcBorders>
            <w:shd w:fill="CCEEFF" w:val="clear"/>
            <w:vAlign w:val="center"/>
          </w:tcPr>
          <w:p>
            <w:pPr>
              <w:pStyle w:val="TableContents"/>
              <w:bidi w:val="0"/>
              <w:spacing w:before="0" w:after="283"/>
              <w:jc w:val="left"/>
              <w:rPr/>
            </w:pPr>
            <w:r>
              <w:rPr/>
              <w:t>​</w:t>
            </w:r>
          </w:p>
        </w:tc>
        <w:tc>
          <w:tcPr>
            <w:tcW w:w="7865" w:type="dxa"/>
            <w:tcBorders>
              <w:bottom w:val="single" w:sz="2" w:space="0" w:color="999999"/>
            </w:tcBorders>
            <w:shd w:fill="CCEEFF" w:val="clear"/>
            <w:tcMar>
              <w:bottom w:w="40" w:type="dxa"/>
            </w:tcMar>
            <w:vAlign w:val="center"/>
          </w:tcPr>
          <w:p>
            <w:pPr>
              <w:pStyle w:val="TableContents"/>
              <w:bidi w:val="0"/>
              <w:spacing w:before="0" w:after="283"/>
              <w:jc w:val="left"/>
              <w:rPr/>
            </w:pPr>
            <w:hyperlink w:anchor="tSUIN">
              <w:r>
                <w:rPr>
                  <w:rStyle w:val="InternetLink"/>
                  <w:caps/>
                  <w:color w:val="FF6A00"/>
                  <w:spacing w:val="-2"/>
                </w:rPr>
                <w:t xml:space="preserve">SUMMARY INFORMATION </w:t>
              </w:r>
            </w:hyperlink>
          </w:p>
        </w:tc>
        <w:tc>
          <w:tcPr>
            <w:tcW w:w="109" w:type="dxa"/>
            <w:tcBorders>
              <w:bottom w:val="single" w:sz="2" w:space="0" w:color="999999"/>
            </w:tcBorders>
            <w:shd w:fill="CCEEFF" w:val="clear"/>
            <w:vAlign w:val="center"/>
          </w:tcPr>
          <w:p>
            <w:pPr>
              <w:pStyle w:val="TableContents"/>
              <w:bidi w:val="0"/>
              <w:spacing w:before="0" w:after="283"/>
              <w:jc w:val="left"/>
              <w:rPr/>
            </w:pPr>
            <w:r>
              <w:rPr/>
              <w:t>​</w:t>
            </w:r>
          </w:p>
        </w:tc>
        <w:tc>
          <w:tcPr>
            <w:tcW w:w="109" w:type="dxa"/>
            <w:tcBorders>
              <w:bottom w:val="single" w:sz="2" w:space="0" w:color="999999"/>
            </w:tcBorders>
            <w:shd w:fill="CCEEFF" w:val="clear"/>
            <w:vAlign w:val="center"/>
          </w:tcPr>
          <w:p>
            <w:pPr>
              <w:pStyle w:val="TableContents"/>
              <w:bidi w:val="0"/>
              <w:spacing w:before="0" w:after="283"/>
              <w:jc w:val="left"/>
              <w:rPr/>
            </w:pPr>
            <w:r>
              <w:rPr/>
              <w:t>​</w:t>
            </w:r>
          </w:p>
        </w:tc>
        <w:tc>
          <w:tcPr>
            <w:tcW w:w="109" w:type="dxa"/>
            <w:tcBorders>
              <w:bottom w:val="single" w:sz="2" w:space="0" w:color="999999"/>
            </w:tcBorders>
            <w:shd w:fill="CCEEFF" w:val="clear"/>
            <w:vAlign w:val="center"/>
          </w:tcPr>
          <w:p>
            <w:pPr>
              <w:pStyle w:val="TableContents"/>
              <w:bidi w:val="0"/>
              <w:spacing w:before="0" w:after="283"/>
              <w:jc w:val="left"/>
              <w:rPr/>
            </w:pPr>
            <w:r>
              <w:rPr/>
              <w:t>​</w:t>
            </w:r>
          </w:p>
        </w:tc>
        <w:tc>
          <w:tcPr>
            <w:tcW w:w="109" w:type="dxa"/>
            <w:tcBorders>
              <w:bottom w:val="single" w:sz="2" w:space="0" w:color="999999"/>
            </w:tcBorders>
            <w:shd w:fill="CCEEFF" w:val="clear"/>
            <w:tcMar>
              <w:bottom w:w="40" w:type="dxa"/>
            </w:tcMar>
            <w:vAlign w:val="center"/>
          </w:tcPr>
          <w:p>
            <w:pPr>
              <w:pStyle w:val="TableContents"/>
              <w:bidi w:val="0"/>
              <w:spacing w:before="0" w:after="0"/>
              <w:jc w:val="right"/>
              <w:rPr>
                <w:caps/>
              </w:rPr>
            </w:pPr>
            <w:r>
              <w:rPr>
                <w:caps/>
              </w:rPr>
              <w:t>​</w:t>
            </w:r>
          </w:p>
        </w:tc>
        <w:tc>
          <w:tcPr>
            <w:tcW w:w="376" w:type="dxa"/>
            <w:tcBorders>
              <w:bottom w:val="single" w:sz="2" w:space="0" w:color="999999"/>
            </w:tcBorders>
            <w:shd w:fill="CCEEFF" w:val="clear"/>
            <w:tcMar>
              <w:bottom w:w="40" w:type="dxa"/>
            </w:tcMar>
            <w:vAlign w:val="center"/>
          </w:tcPr>
          <w:p>
            <w:pPr>
              <w:pStyle w:val="TableContents"/>
              <w:bidi w:val="0"/>
              <w:spacing w:before="0" w:after="0"/>
              <w:jc w:val="right"/>
              <w:rPr/>
            </w:pPr>
            <w:hyperlink w:anchor="tSUIN">
              <w:r>
                <w:rPr>
                  <w:rStyle w:val="InternetLink"/>
                  <w:caps/>
                  <w:color w:val="FF6A00"/>
                  <w:spacing w:val="-2"/>
                </w:rPr>
                <w:t>1</w:t>
              </w:r>
            </w:hyperlink>
            <w:hyperlink w:anchor="tSUIN">
              <w:r>
                <w:rPr>
                  <w:rStyle w:val="InternetLink"/>
                  <w:caps/>
                  <w:color w:val="FF6A00"/>
                </w:rPr>
                <w:t xml:space="preserve"> </w:t>
              </w:r>
            </w:hyperlink>
          </w:p>
        </w:tc>
        <w:tc>
          <w:tcPr>
            <w:tcW w:w="109" w:type="dxa"/>
            <w:tcBorders>
              <w:bottom w:val="single" w:sz="2" w:space="0" w:color="999999"/>
            </w:tcBorders>
            <w:shd w:fill="CCEEFF" w:val="clear"/>
            <w:vAlign w:val="center"/>
          </w:tcPr>
          <w:p>
            <w:pPr>
              <w:pStyle w:val="TableContents"/>
              <w:bidi w:val="0"/>
              <w:spacing w:before="0" w:after="283"/>
              <w:jc w:val="left"/>
              <w:rPr/>
            </w:pPr>
            <w:r>
              <w:rPr/>
              <w:t>​</w:t>
            </w:r>
          </w:p>
        </w:tc>
        <w:tc>
          <w:tcPr>
            <w:tcW w:w="155" w:type="dxa"/>
            <w:tcBorders>
              <w:bottom w:val="single" w:sz="2" w:space="0" w:color="999999"/>
            </w:tcBorders>
            <w:shd w:fill="CCEEFF" w:val="clear"/>
            <w:vAlign w:val="center"/>
          </w:tcPr>
          <w:p>
            <w:pPr>
              <w:pStyle w:val="TableContents"/>
              <w:bidi w:val="0"/>
              <w:spacing w:before="0" w:after="283"/>
              <w:jc w:val="left"/>
              <w:rPr/>
            </w:pPr>
            <w:r>
              <w:rPr/>
              <w:t>​</w:t>
            </w:r>
          </w:p>
        </w:tc>
      </w:tr>
      <w:tr>
        <w:trPr/>
        <w:tc>
          <w:tcPr>
            <w:tcW w:w="124" w:type="dxa"/>
            <w:tcBorders>
              <w:bottom w:val="single" w:sz="2" w:space="0" w:color="999999"/>
            </w:tcBorders>
            <w:vAlign w:val="center"/>
          </w:tcPr>
          <w:p>
            <w:pPr>
              <w:pStyle w:val="TableContents"/>
              <w:bidi w:val="0"/>
              <w:spacing w:before="0" w:after="283"/>
              <w:jc w:val="left"/>
              <w:rPr/>
            </w:pPr>
            <w:r>
              <w:rPr/>
              <w:t>​</w:t>
            </w:r>
          </w:p>
        </w:tc>
        <w:tc>
          <w:tcPr>
            <w:tcW w:w="7865" w:type="dxa"/>
            <w:tcBorders>
              <w:bottom w:val="single" w:sz="2" w:space="0" w:color="999999"/>
            </w:tcBorders>
            <w:tcMar>
              <w:bottom w:w="40" w:type="dxa"/>
            </w:tcMar>
            <w:vAlign w:val="center"/>
          </w:tcPr>
          <w:p>
            <w:pPr>
              <w:pStyle w:val="TableContents"/>
              <w:bidi w:val="0"/>
              <w:spacing w:before="0" w:after="283"/>
              <w:jc w:val="left"/>
              <w:rPr/>
            </w:pPr>
            <w:hyperlink w:anchor="tP1EO">
              <w:r>
                <w:rPr>
                  <w:rStyle w:val="InternetLink"/>
                  <w:caps/>
                  <w:color w:val="FF6A00"/>
                  <w:spacing w:val="-2"/>
                </w:rPr>
                <w:t xml:space="preserve">PROPOSAL 1 — ELECTION OF CLASS II DIRECTORS </w:t>
              </w:r>
            </w:hyperlink>
          </w:p>
        </w:tc>
        <w:tc>
          <w:tcPr>
            <w:tcW w:w="109" w:type="dxa"/>
            <w:tcBorders>
              <w:bottom w:val="single" w:sz="2" w:space="0" w:color="999999"/>
            </w:tcBorders>
            <w:vAlign w:val="center"/>
          </w:tcPr>
          <w:p>
            <w:pPr>
              <w:pStyle w:val="TableContents"/>
              <w:bidi w:val="0"/>
              <w:spacing w:before="0" w:after="283"/>
              <w:jc w:val="left"/>
              <w:rPr/>
            </w:pPr>
            <w:r>
              <w:rPr/>
              <w:t>​</w:t>
            </w:r>
          </w:p>
        </w:tc>
        <w:tc>
          <w:tcPr>
            <w:tcW w:w="109" w:type="dxa"/>
            <w:tcBorders>
              <w:bottom w:val="single" w:sz="2" w:space="0" w:color="999999"/>
            </w:tcBorders>
            <w:vAlign w:val="center"/>
          </w:tcPr>
          <w:p>
            <w:pPr>
              <w:pStyle w:val="TableContents"/>
              <w:bidi w:val="0"/>
              <w:spacing w:before="0" w:after="283"/>
              <w:jc w:val="left"/>
              <w:rPr/>
            </w:pPr>
            <w:r>
              <w:rPr/>
              <w:t>​</w:t>
            </w:r>
          </w:p>
        </w:tc>
        <w:tc>
          <w:tcPr>
            <w:tcW w:w="109" w:type="dxa"/>
            <w:tcBorders>
              <w:bottom w:val="single" w:sz="2" w:space="0" w:color="999999"/>
            </w:tcBorders>
            <w:vAlign w:val="center"/>
          </w:tcPr>
          <w:p>
            <w:pPr>
              <w:pStyle w:val="TableContents"/>
              <w:bidi w:val="0"/>
              <w:spacing w:before="0" w:after="283"/>
              <w:jc w:val="left"/>
              <w:rPr/>
            </w:pPr>
            <w:r>
              <w:rPr/>
              <w:t>​</w:t>
            </w:r>
          </w:p>
        </w:tc>
        <w:tc>
          <w:tcPr>
            <w:tcW w:w="109" w:type="dxa"/>
            <w:tcBorders>
              <w:bottom w:val="single" w:sz="2" w:space="0" w:color="999999"/>
            </w:tcBorders>
            <w:tcMar>
              <w:bottom w:w="40" w:type="dxa"/>
            </w:tcMar>
            <w:vAlign w:val="center"/>
          </w:tcPr>
          <w:p>
            <w:pPr>
              <w:pStyle w:val="TableContents"/>
              <w:bidi w:val="0"/>
              <w:spacing w:before="0" w:after="0"/>
              <w:jc w:val="right"/>
              <w:rPr>
                <w:caps/>
              </w:rPr>
            </w:pPr>
            <w:r>
              <w:rPr>
                <w:caps/>
              </w:rPr>
              <w:t>​</w:t>
            </w:r>
          </w:p>
        </w:tc>
        <w:tc>
          <w:tcPr>
            <w:tcW w:w="376" w:type="dxa"/>
            <w:tcBorders>
              <w:bottom w:val="single" w:sz="2" w:space="0" w:color="999999"/>
            </w:tcBorders>
            <w:tcMar>
              <w:bottom w:w="40" w:type="dxa"/>
            </w:tcMar>
            <w:vAlign w:val="center"/>
          </w:tcPr>
          <w:p>
            <w:pPr>
              <w:pStyle w:val="TableContents"/>
              <w:bidi w:val="0"/>
              <w:spacing w:before="0" w:after="0"/>
              <w:jc w:val="right"/>
              <w:rPr/>
            </w:pPr>
            <w:hyperlink w:anchor="tP1EO">
              <w:r>
                <w:rPr>
                  <w:rStyle w:val="InternetLink"/>
                  <w:caps/>
                  <w:color w:val="FF6A00"/>
                  <w:spacing w:val="-2"/>
                </w:rPr>
                <w:t>4</w:t>
              </w:r>
            </w:hyperlink>
            <w:hyperlink w:anchor="tP1EO">
              <w:r>
                <w:rPr>
                  <w:rStyle w:val="InternetLink"/>
                  <w:caps/>
                  <w:color w:val="FF6A00"/>
                </w:rPr>
                <w:t xml:space="preserve"> </w:t>
              </w:r>
            </w:hyperlink>
          </w:p>
        </w:tc>
        <w:tc>
          <w:tcPr>
            <w:tcW w:w="109" w:type="dxa"/>
            <w:tcBorders>
              <w:bottom w:val="single" w:sz="2" w:space="0" w:color="999999"/>
            </w:tcBorders>
            <w:vAlign w:val="center"/>
          </w:tcPr>
          <w:p>
            <w:pPr>
              <w:pStyle w:val="TableContents"/>
              <w:bidi w:val="0"/>
              <w:spacing w:before="0" w:after="283"/>
              <w:jc w:val="left"/>
              <w:rPr/>
            </w:pPr>
            <w:r>
              <w:rPr/>
              <w:t>​</w:t>
            </w:r>
          </w:p>
        </w:tc>
        <w:tc>
          <w:tcPr>
            <w:tcW w:w="155" w:type="dxa"/>
            <w:tcBorders>
              <w:bottom w:val="single" w:sz="2" w:space="0" w:color="999999"/>
            </w:tcBorders>
            <w:vAlign w:val="center"/>
          </w:tcPr>
          <w:p>
            <w:pPr>
              <w:pStyle w:val="TableContents"/>
              <w:bidi w:val="0"/>
              <w:spacing w:before="0" w:after="283"/>
              <w:jc w:val="left"/>
              <w:rPr/>
            </w:pPr>
            <w:r>
              <w:rPr/>
              <w:t>​</w:t>
            </w:r>
          </w:p>
        </w:tc>
      </w:tr>
      <w:tr>
        <w:trPr/>
        <w:tc>
          <w:tcPr>
            <w:tcW w:w="124" w:type="dxa"/>
            <w:tcBorders>
              <w:bottom w:val="single" w:sz="2" w:space="0" w:color="999999"/>
            </w:tcBorders>
            <w:shd w:fill="CCEEFF" w:val="clear"/>
            <w:vAlign w:val="center"/>
          </w:tcPr>
          <w:p>
            <w:pPr>
              <w:pStyle w:val="TableContents"/>
              <w:bidi w:val="0"/>
              <w:spacing w:before="0" w:after="283"/>
              <w:jc w:val="left"/>
              <w:rPr/>
            </w:pPr>
            <w:r>
              <w:rPr/>
              <w:t>​</w:t>
            </w:r>
          </w:p>
        </w:tc>
        <w:tc>
          <w:tcPr>
            <w:tcW w:w="7865" w:type="dxa"/>
            <w:tcBorders>
              <w:bottom w:val="single" w:sz="2" w:space="0" w:color="999999"/>
            </w:tcBorders>
            <w:shd w:fill="CCEEFF" w:val="clear"/>
            <w:tcMar>
              <w:bottom w:w="40" w:type="dxa"/>
            </w:tcMar>
            <w:vAlign w:val="center"/>
          </w:tcPr>
          <w:p>
            <w:pPr>
              <w:pStyle w:val="TableContents"/>
              <w:bidi w:val="0"/>
              <w:spacing w:before="0" w:after="283"/>
              <w:jc w:val="left"/>
              <w:rPr/>
            </w:pPr>
            <w:hyperlink w:anchor="tCOGO">
              <w:r>
                <w:rPr>
                  <w:rStyle w:val="InternetLink"/>
                  <w:caps/>
                  <w:color w:val="FF6A00"/>
                  <w:spacing w:val="-2"/>
                </w:rPr>
                <w:t xml:space="preserve">CORPORATE GOVERNANCE </w:t>
              </w:r>
            </w:hyperlink>
          </w:p>
        </w:tc>
        <w:tc>
          <w:tcPr>
            <w:tcW w:w="109" w:type="dxa"/>
            <w:tcBorders>
              <w:bottom w:val="single" w:sz="2" w:space="0" w:color="999999"/>
            </w:tcBorders>
            <w:shd w:fill="CCEEFF" w:val="clear"/>
            <w:vAlign w:val="center"/>
          </w:tcPr>
          <w:p>
            <w:pPr>
              <w:pStyle w:val="TableContents"/>
              <w:bidi w:val="0"/>
              <w:spacing w:before="0" w:after="283"/>
              <w:jc w:val="left"/>
              <w:rPr/>
            </w:pPr>
            <w:r>
              <w:rPr/>
              <w:t>​</w:t>
            </w:r>
          </w:p>
        </w:tc>
        <w:tc>
          <w:tcPr>
            <w:tcW w:w="109" w:type="dxa"/>
            <w:tcBorders>
              <w:bottom w:val="single" w:sz="2" w:space="0" w:color="999999"/>
            </w:tcBorders>
            <w:shd w:fill="CCEEFF" w:val="clear"/>
            <w:vAlign w:val="center"/>
          </w:tcPr>
          <w:p>
            <w:pPr>
              <w:pStyle w:val="TableContents"/>
              <w:bidi w:val="0"/>
              <w:spacing w:before="0" w:after="283"/>
              <w:jc w:val="left"/>
              <w:rPr/>
            </w:pPr>
            <w:r>
              <w:rPr/>
              <w:t>​</w:t>
            </w:r>
          </w:p>
        </w:tc>
        <w:tc>
          <w:tcPr>
            <w:tcW w:w="109" w:type="dxa"/>
            <w:tcBorders>
              <w:bottom w:val="single" w:sz="2" w:space="0" w:color="999999"/>
            </w:tcBorders>
            <w:shd w:fill="CCEEFF" w:val="clear"/>
            <w:vAlign w:val="center"/>
          </w:tcPr>
          <w:p>
            <w:pPr>
              <w:pStyle w:val="TableContents"/>
              <w:bidi w:val="0"/>
              <w:spacing w:before="0" w:after="283"/>
              <w:jc w:val="left"/>
              <w:rPr/>
            </w:pPr>
            <w:r>
              <w:rPr/>
              <w:t>​</w:t>
            </w:r>
          </w:p>
        </w:tc>
        <w:tc>
          <w:tcPr>
            <w:tcW w:w="109" w:type="dxa"/>
            <w:tcBorders>
              <w:bottom w:val="single" w:sz="2" w:space="0" w:color="999999"/>
            </w:tcBorders>
            <w:shd w:fill="CCEEFF" w:val="clear"/>
            <w:tcMar>
              <w:bottom w:w="40" w:type="dxa"/>
            </w:tcMar>
            <w:vAlign w:val="center"/>
          </w:tcPr>
          <w:p>
            <w:pPr>
              <w:pStyle w:val="TableContents"/>
              <w:bidi w:val="0"/>
              <w:spacing w:before="0" w:after="0"/>
              <w:jc w:val="right"/>
              <w:rPr>
                <w:caps/>
              </w:rPr>
            </w:pPr>
            <w:r>
              <w:rPr>
                <w:caps/>
              </w:rPr>
              <w:t>​</w:t>
            </w:r>
          </w:p>
        </w:tc>
        <w:tc>
          <w:tcPr>
            <w:tcW w:w="376" w:type="dxa"/>
            <w:tcBorders>
              <w:bottom w:val="single" w:sz="2" w:space="0" w:color="999999"/>
            </w:tcBorders>
            <w:shd w:fill="CCEEFF" w:val="clear"/>
            <w:tcMar>
              <w:bottom w:w="40" w:type="dxa"/>
            </w:tcMar>
            <w:vAlign w:val="center"/>
          </w:tcPr>
          <w:p>
            <w:pPr>
              <w:pStyle w:val="TableContents"/>
              <w:bidi w:val="0"/>
              <w:spacing w:before="0" w:after="0"/>
              <w:jc w:val="right"/>
              <w:rPr/>
            </w:pPr>
            <w:hyperlink w:anchor="tCOGO">
              <w:r>
                <w:rPr>
                  <w:rStyle w:val="InternetLink"/>
                  <w:caps/>
                  <w:color w:val="FF6A00"/>
                  <w:spacing w:val="-2"/>
                </w:rPr>
                <w:t>16</w:t>
              </w:r>
            </w:hyperlink>
            <w:hyperlink w:anchor="tCOGO">
              <w:r>
                <w:rPr>
                  <w:rStyle w:val="InternetLink"/>
                  <w:caps/>
                  <w:color w:val="FF6A00"/>
                </w:rPr>
                <w:t xml:space="preserve"> </w:t>
              </w:r>
            </w:hyperlink>
          </w:p>
        </w:tc>
        <w:tc>
          <w:tcPr>
            <w:tcW w:w="109" w:type="dxa"/>
            <w:tcBorders>
              <w:bottom w:val="single" w:sz="2" w:space="0" w:color="999999"/>
            </w:tcBorders>
            <w:shd w:fill="CCEEFF" w:val="clear"/>
            <w:vAlign w:val="center"/>
          </w:tcPr>
          <w:p>
            <w:pPr>
              <w:pStyle w:val="TableContents"/>
              <w:bidi w:val="0"/>
              <w:spacing w:before="0" w:after="283"/>
              <w:jc w:val="left"/>
              <w:rPr/>
            </w:pPr>
            <w:r>
              <w:rPr/>
              <w:t>​</w:t>
            </w:r>
          </w:p>
        </w:tc>
        <w:tc>
          <w:tcPr>
            <w:tcW w:w="155" w:type="dxa"/>
            <w:tcBorders>
              <w:bottom w:val="single" w:sz="2" w:space="0" w:color="999999"/>
            </w:tcBorders>
            <w:shd w:fill="CCEEFF" w:val="clear"/>
            <w:vAlign w:val="center"/>
          </w:tcPr>
          <w:p>
            <w:pPr>
              <w:pStyle w:val="TableContents"/>
              <w:bidi w:val="0"/>
              <w:spacing w:before="0" w:after="283"/>
              <w:jc w:val="left"/>
              <w:rPr/>
            </w:pPr>
            <w:r>
              <w:rPr/>
              <w:t>​</w:t>
            </w:r>
          </w:p>
        </w:tc>
      </w:tr>
      <w:tr>
        <w:trPr/>
        <w:tc>
          <w:tcPr>
            <w:tcW w:w="124" w:type="dxa"/>
            <w:tcBorders>
              <w:bottom w:val="single" w:sz="2" w:space="0" w:color="999999"/>
            </w:tcBorders>
            <w:vAlign w:val="center"/>
          </w:tcPr>
          <w:p>
            <w:pPr>
              <w:pStyle w:val="TableContents"/>
              <w:bidi w:val="0"/>
              <w:spacing w:before="0" w:after="283"/>
              <w:jc w:val="left"/>
              <w:rPr/>
            </w:pPr>
            <w:r>
              <w:rPr/>
              <w:t>​</w:t>
            </w:r>
          </w:p>
        </w:tc>
        <w:tc>
          <w:tcPr>
            <w:tcW w:w="7865" w:type="dxa"/>
            <w:tcBorders>
              <w:bottom w:val="single" w:sz="2" w:space="0" w:color="999999"/>
            </w:tcBorders>
            <w:tcMar>
              <w:bottom w:w="40" w:type="dxa"/>
            </w:tcMar>
            <w:vAlign w:val="center"/>
          </w:tcPr>
          <w:p>
            <w:pPr>
              <w:pStyle w:val="TableContents"/>
              <w:bidi w:val="0"/>
              <w:spacing w:before="0" w:after="283"/>
              <w:jc w:val="left"/>
              <w:rPr/>
            </w:pPr>
            <w:hyperlink w:anchor="tBOOO">
              <w:r>
                <w:rPr>
                  <w:rStyle w:val="InternetLink"/>
                  <w:caps/>
                  <w:color w:val="FF6A00"/>
                  <w:spacing w:val="-2"/>
                </w:rPr>
                <w:t xml:space="preserve">BENEFICIAL OWNERSHIP OF OUR COMMON STOCK </w:t>
              </w:r>
            </w:hyperlink>
          </w:p>
        </w:tc>
        <w:tc>
          <w:tcPr>
            <w:tcW w:w="109" w:type="dxa"/>
            <w:tcBorders>
              <w:bottom w:val="single" w:sz="2" w:space="0" w:color="999999"/>
            </w:tcBorders>
            <w:vAlign w:val="center"/>
          </w:tcPr>
          <w:p>
            <w:pPr>
              <w:pStyle w:val="TableContents"/>
              <w:bidi w:val="0"/>
              <w:spacing w:before="0" w:after="283"/>
              <w:jc w:val="left"/>
              <w:rPr/>
            </w:pPr>
            <w:r>
              <w:rPr/>
              <w:t>​</w:t>
            </w:r>
          </w:p>
        </w:tc>
        <w:tc>
          <w:tcPr>
            <w:tcW w:w="109" w:type="dxa"/>
            <w:tcBorders>
              <w:bottom w:val="single" w:sz="2" w:space="0" w:color="999999"/>
            </w:tcBorders>
            <w:vAlign w:val="center"/>
          </w:tcPr>
          <w:p>
            <w:pPr>
              <w:pStyle w:val="TableContents"/>
              <w:bidi w:val="0"/>
              <w:spacing w:before="0" w:after="283"/>
              <w:jc w:val="left"/>
              <w:rPr/>
            </w:pPr>
            <w:r>
              <w:rPr/>
              <w:t>​</w:t>
            </w:r>
          </w:p>
        </w:tc>
        <w:tc>
          <w:tcPr>
            <w:tcW w:w="109" w:type="dxa"/>
            <w:tcBorders>
              <w:bottom w:val="single" w:sz="2" w:space="0" w:color="999999"/>
            </w:tcBorders>
            <w:vAlign w:val="center"/>
          </w:tcPr>
          <w:p>
            <w:pPr>
              <w:pStyle w:val="TableContents"/>
              <w:bidi w:val="0"/>
              <w:spacing w:before="0" w:after="283"/>
              <w:jc w:val="left"/>
              <w:rPr/>
            </w:pPr>
            <w:r>
              <w:rPr/>
              <w:t>​</w:t>
            </w:r>
          </w:p>
        </w:tc>
        <w:tc>
          <w:tcPr>
            <w:tcW w:w="109" w:type="dxa"/>
            <w:tcBorders>
              <w:bottom w:val="single" w:sz="2" w:space="0" w:color="999999"/>
            </w:tcBorders>
            <w:tcMar>
              <w:bottom w:w="40" w:type="dxa"/>
            </w:tcMar>
            <w:vAlign w:val="center"/>
          </w:tcPr>
          <w:p>
            <w:pPr>
              <w:pStyle w:val="TableContents"/>
              <w:bidi w:val="0"/>
              <w:spacing w:before="0" w:after="0"/>
              <w:jc w:val="right"/>
              <w:rPr>
                <w:caps/>
              </w:rPr>
            </w:pPr>
            <w:r>
              <w:rPr>
                <w:caps/>
              </w:rPr>
              <w:t>​</w:t>
            </w:r>
          </w:p>
        </w:tc>
        <w:tc>
          <w:tcPr>
            <w:tcW w:w="376" w:type="dxa"/>
            <w:tcBorders>
              <w:bottom w:val="single" w:sz="2" w:space="0" w:color="999999"/>
            </w:tcBorders>
            <w:tcMar>
              <w:bottom w:w="40" w:type="dxa"/>
            </w:tcMar>
            <w:vAlign w:val="center"/>
          </w:tcPr>
          <w:p>
            <w:pPr>
              <w:pStyle w:val="TableContents"/>
              <w:bidi w:val="0"/>
              <w:spacing w:before="0" w:after="0"/>
              <w:jc w:val="right"/>
              <w:rPr/>
            </w:pPr>
            <w:hyperlink w:anchor="tBOOO">
              <w:r>
                <w:rPr>
                  <w:rStyle w:val="InternetLink"/>
                  <w:caps/>
                  <w:color w:val="FF6A00"/>
                  <w:spacing w:val="-2"/>
                </w:rPr>
                <w:t>25</w:t>
              </w:r>
            </w:hyperlink>
            <w:hyperlink w:anchor="tBOOO">
              <w:r>
                <w:rPr>
                  <w:rStyle w:val="InternetLink"/>
                  <w:caps/>
                  <w:color w:val="FF6A00"/>
                </w:rPr>
                <w:t xml:space="preserve"> </w:t>
              </w:r>
            </w:hyperlink>
          </w:p>
        </w:tc>
        <w:tc>
          <w:tcPr>
            <w:tcW w:w="109" w:type="dxa"/>
            <w:tcBorders>
              <w:bottom w:val="single" w:sz="2" w:space="0" w:color="999999"/>
            </w:tcBorders>
            <w:vAlign w:val="center"/>
          </w:tcPr>
          <w:p>
            <w:pPr>
              <w:pStyle w:val="TableContents"/>
              <w:bidi w:val="0"/>
              <w:spacing w:before="0" w:after="283"/>
              <w:jc w:val="left"/>
              <w:rPr/>
            </w:pPr>
            <w:r>
              <w:rPr/>
              <w:t>​</w:t>
            </w:r>
          </w:p>
        </w:tc>
        <w:tc>
          <w:tcPr>
            <w:tcW w:w="155" w:type="dxa"/>
            <w:tcBorders>
              <w:bottom w:val="single" w:sz="2" w:space="0" w:color="999999"/>
            </w:tcBorders>
            <w:vAlign w:val="center"/>
          </w:tcPr>
          <w:p>
            <w:pPr>
              <w:pStyle w:val="TableContents"/>
              <w:bidi w:val="0"/>
              <w:spacing w:before="0" w:after="283"/>
              <w:jc w:val="left"/>
              <w:rPr/>
            </w:pPr>
            <w:r>
              <w:rPr/>
              <w:t>​</w:t>
            </w:r>
          </w:p>
        </w:tc>
      </w:tr>
      <w:tr>
        <w:trPr/>
        <w:tc>
          <w:tcPr>
            <w:tcW w:w="124" w:type="dxa"/>
            <w:tcBorders>
              <w:bottom w:val="single" w:sz="2" w:space="0" w:color="999999"/>
            </w:tcBorders>
            <w:shd w:fill="CCEEFF" w:val="clear"/>
            <w:vAlign w:val="center"/>
          </w:tcPr>
          <w:p>
            <w:pPr>
              <w:pStyle w:val="TableContents"/>
              <w:bidi w:val="0"/>
              <w:spacing w:before="0" w:after="283"/>
              <w:jc w:val="left"/>
              <w:rPr/>
            </w:pPr>
            <w:r>
              <w:rPr/>
              <w:t>​</w:t>
            </w:r>
          </w:p>
        </w:tc>
        <w:tc>
          <w:tcPr>
            <w:tcW w:w="7865" w:type="dxa"/>
            <w:tcBorders>
              <w:bottom w:val="single" w:sz="2" w:space="0" w:color="999999"/>
            </w:tcBorders>
            <w:shd w:fill="CCEEFF" w:val="clear"/>
            <w:tcMar>
              <w:bottom w:w="40" w:type="dxa"/>
            </w:tcMar>
            <w:vAlign w:val="center"/>
          </w:tcPr>
          <w:p>
            <w:pPr>
              <w:pStyle w:val="TableContents"/>
              <w:bidi w:val="0"/>
              <w:spacing w:before="0" w:after="283"/>
              <w:jc w:val="left"/>
              <w:rPr/>
            </w:pPr>
            <w:hyperlink w:anchor="tEXCO">
              <w:r>
                <w:rPr>
                  <w:rStyle w:val="InternetLink"/>
                  <w:caps/>
                  <w:color w:val="FF6A00"/>
                  <w:spacing w:val="-2"/>
                </w:rPr>
                <w:t xml:space="preserve">EXECUTIVE COMPENSATION </w:t>
              </w:r>
            </w:hyperlink>
          </w:p>
        </w:tc>
        <w:tc>
          <w:tcPr>
            <w:tcW w:w="109" w:type="dxa"/>
            <w:tcBorders>
              <w:bottom w:val="single" w:sz="2" w:space="0" w:color="999999"/>
            </w:tcBorders>
            <w:shd w:fill="CCEEFF" w:val="clear"/>
            <w:vAlign w:val="center"/>
          </w:tcPr>
          <w:p>
            <w:pPr>
              <w:pStyle w:val="TableContents"/>
              <w:bidi w:val="0"/>
              <w:spacing w:before="0" w:after="283"/>
              <w:jc w:val="left"/>
              <w:rPr/>
            </w:pPr>
            <w:r>
              <w:rPr/>
              <w:t>​</w:t>
            </w:r>
          </w:p>
        </w:tc>
        <w:tc>
          <w:tcPr>
            <w:tcW w:w="109" w:type="dxa"/>
            <w:tcBorders>
              <w:bottom w:val="single" w:sz="2" w:space="0" w:color="999999"/>
            </w:tcBorders>
            <w:shd w:fill="CCEEFF" w:val="clear"/>
            <w:vAlign w:val="center"/>
          </w:tcPr>
          <w:p>
            <w:pPr>
              <w:pStyle w:val="TableContents"/>
              <w:bidi w:val="0"/>
              <w:spacing w:before="0" w:after="283"/>
              <w:jc w:val="left"/>
              <w:rPr/>
            </w:pPr>
            <w:r>
              <w:rPr/>
              <w:t>​</w:t>
            </w:r>
          </w:p>
        </w:tc>
        <w:tc>
          <w:tcPr>
            <w:tcW w:w="109" w:type="dxa"/>
            <w:tcBorders>
              <w:bottom w:val="single" w:sz="2" w:space="0" w:color="999999"/>
            </w:tcBorders>
            <w:shd w:fill="CCEEFF" w:val="clear"/>
            <w:vAlign w:val="center"/>
          </w:tcPr>
          <w:p>
            <w:pPr>
              <w:pStyle w:val="TableContents"/>
              <w:bidi w:val="0"/>
              <w:spacing w:before="0" w:after="283"/>
              <w:jc w:val="left"/>
              <w:rPr/>
            </w:pPr>
            <w:r>
              <w:rPr/>
              <w:t>​</w:t>
            </w:r>
          </w:p>
        </w:tc>
        <w:tc>
          <w:tcPr>
            <w:tcW w:w="109" w:type="dxa"/>
            <w:tcBorders>
              <w:bottom w:val="single" w:sz="2" w:space="0" w:color="999999"/>
            </w:tcBorders>
            <w:shd w:fill="CCEEFF" w:val="clear"/>
            <w:tcMar>
              <w:bottom w:w="40" w:type="dxa"/>
            </w:tcMar>
            <w:vAlign w:val="center"/>
          </w:tcPr>
          <w:p>
            <w:pPr>
              <w:pStyle w:val="TableContents"/>
              <w:bidi w:val="0"/>
              <w:spacing w:before="0" w:after="0"/>
              <w:jc w:val="right"/>
              <w:rPr>
                <w:caps/>
              </w:rPr>
            </w:pPr>
            <w:r>
              <w:rPr>
                <w:caps/>
              </w:rPr>
              <w:t>​</w:t>
            </w:r>
          </w:p>
        </w:tc>
        <w:tc>
          <w:tcPr>
            <w:tcW w:w="376" w:type="dxa"/>
            <w:tcBorders>
              <w:bottom w:val="single" w:sz="2" w:space="0" w:color="999999"/>
            </w:tcBorders>
            <w:shd w:fill="CCEEFF" w:val="clear"/>
            <w:tcMar>
              <w:bottom w:w="40" w:type="dxa"/>
            </w:tcMar>
            <w:vAlign w:val="center"/>
          </w:tcPr>
          <w:p>
            <w:pPr>
              <w:pStyle w:val="TableContents"/>
              <w:bidi w:val="0"/>
              <w:spacing w:before="0" w:after="0"/>
              <w:jc w:val="right"/>
              <w:rPr/>
            </w:pPr>
            <w:hyperlink w:anchor="tEXCO">
              <w:r>
                <w:rPr>
                  <w:rStyle w:val="InternetLink"/>
                  <w:caps/>
                  <w:color w:val="FF6A00"/>
                  <w:spacing w:val="-2"/>
                </w:rPr>
                <w:t>27</w:t>
              </w:r>
            </w:hyperlink>
            <w:hyperlink w:anchor="tEXCO">
              <w:r>
                <w:rPr>
                  <w:rStyle w:val="InternetLink"/>
                  <w:caps/>
                  <w:color w:val="FF6A00"/>
                </w:rPr>
                <w:t xml:space="preserve"> </w:t>
              </w:r>
            </w:hyperlink>
          </w:p>
        </w:tc>
        <w:tc>
          <w:tcPr>
            <w:tcW w:w="109" w:type="dxa"/>
            <w:tcBorders>
              <w:bottom w:val="single" w:sz="2" w:space="0" w:color="999999"/>
            </w:tcBorders>
            <w:shd w:fill="CCEEFF" w:val="clear"/>
            <w:vAlign w:val="center"/>
          </w:tcPr>
          <w:p>
            <w:pPr>
              <w:pStyle w:val="TableContents"/>
              <w:bidi w:val="0"/>
              <w:spacing w:before="0" w:after="283"/>
              <w:jc w:val="left"/>
              <w:rPr/>
            </w:pPr>
            <w:r>
              <w:rPr/>
              <w:t>​</w:t>
            </w:r>
          </w:p>
        </w:tc>
        <w:tc>
          <w:tcPr>
            <w:tcW w:w="155" w:type="dxa"/>
            <w:tcBorders>
              <w:bottom w:val="single" w:sz="2" w:space="0" w:color="999999"/>
            </w:tcBorders>
            <w:shd w:fill="CCEEFF" w:val="clear"/>
            <w:vAlign w:val="center"/>
          </w:tcPr>
          <w:p>
            <w:pPr>
              <w:pStyle w:val="TableContents"/>
              <w:bidi w:val="0"/>
              <w:spacing w:before="0" w:after="283"/>
              <w:jc w:val="left"/>
              <w:rPr/>
            </w:pPr>
            <w:r>
              <w:rPr/>
              <w:t>​</w:t>
            </w:r>
          </w:p>
        </w:tc>
      </w:tr>
      <w:tr>
        <w:trPr/>
        <w:tc>
          <w:tcPr>
            <w:tcW w:w="124" w:type="dxa"/>
            <w:tcBorders>
              <w:bottom w:val="single" w:sz="2" w:space="0" w:color="999999"/>
            </w:tcBorders>
            <w:vAlign w:val="center"/>
          </w:tcPr>
          <w:p>
            <w:pPr>
              <w:pStyle w:val="TableContents"/>
              <w:bidi w:val="0"/>
              <w:spacing w:before="0" w:after="283"/>
              <w:jc w:val="left"/>
              <w:rPr/>
            </w:pPr>
            <w:r>
              <w:rPr/>
              <w:t>​</w:t>
            </w:r>
          </w:p>
        </w:tc>
        <w:tc>
          <w:tcPr>
            <w:tcW w:w="7865" w:type="dxa"/>
            <w:tcBorders>
              <w:bottom w:val="single" w:sz="2" w:space="0" w:color="999999"/>
            </w:tcBorders>
            <w:tcMar>
              <w:bottom w:w="40" w:type="dxa"/>
            </w:tcMar>
            <w:vAlign w:val="center"/>
          </w:tcPr>
          <w:p>
            <w:pPr>
              <w:pStyle w:val="TableContents"/>
              <w:bidi w:val="0"/>
              <w:spacing w:before="0" w:after="283"/>
              <w:jc w:val="left"/>
              <w:rPr/>
            </w:pPr>
            <w:hyperlink w:anchor="tROTH">
              <w:r>
                <w:rPr>
                  <w:rStyle w:val="InternetLink"/>
                  <w:caps/>
                  <w:color w:val="FF6A00"/>
                  <w:spacing w:val="-2"/>
                </w:rPr>
                <w:t xml:space="preserve">REPORT OF THE HUMAN CAPITAL AND COMPENSATION COMMITTEE </w:t>
              </w:r>
            </w:hyperlink>
          </w:p>
        </w:tc>
        <w:tc>
          <w:tcPr>
            <w:tcW w:w="109" w:type="dxa"/>
            <w:tcBorders>
              <w:bottom w:val="single" w:sz="2" w:space="0" w:color="999999"/>
            </w:tcBorders>
            <w:vAlign w:val="center"/>
          </w:tcPr>
          <w:p>
            <w:pPr>
              <w:pStyle w:val="TableContents"/>
              <w:bidi w:val="0"/>
              <w:spacing w:before="0" w:after="283"/>
              <w:jc w:val="left"/>
              <w:rPr/>
            </w:pPr>
            <w:r>
              <w:rPr/>
              <w:t>​</w:t>
            </w:r>
          </w:p>
        </w:tc>
        <w:tc>
          <w:tcPr>
            <w:tcW w:w="109" w:type="dxa"/>
            <w:tcBorders>
              <w:bottom w:val="single" w:sz="2" w:space="0" w:color="999999"/>
            </w:tcBorders>
            <w:vAlign w:val="center"/>
          </w:tcPr>
          <w:p>
            <w:pPr>
              <w:pStyle w:val="TableContents"/>
              <w:bidi w:val="0"/>
              <w:spacing w:before="0" w:after="283"/>
              <w:jc w:val="left"/>
              <w:rPr/>
            </w:pPr>
            <w:r>
              <w:rPr/>
              <w:t>​</w:t>
            </w:r>
          </w:p>
        </w:tc>
        <w:tc>
          <w:tcPr>
            <w:tcW w:w="109" w:type="dxa"/>
            <w:tcBorders>
              <w:bottom w:val="single" w:sz="2" w:space="0" w:color="999999"/>
            </w:tcBorders>
            <w:vAlign w:val="center"/>
          </w:tcPr>
          <w:p>
            <w:pPr>
              <w:pStyle w:val="TableContents"/>
              <w:bidi w:val="0"/>
              <w:spacing w:before="0" w:after="283"/>
              <w:jc w:val="left"/>
              <w:rPr/>
            </w:pPr>
            <w:r>
              <w:rPr/>
              <w:t>​</w:t>
            </w:r>
          </w:p>
        </w:tc>
        <w:tc>
          <w:tcPr>
            <w:tcW w:w="109" w:type="dxa"/>
            <w:tcBorders>
              <w:bottom w:val="single" w:sz="2" w:space="0" w:color="999999"/>
            </w:tcBorders>
            <w:tcMar>
              <w:bottom w:w="40" w:type="dxa"/>
            </w:tcMar>
            <w:vAlign w:val="center"/>
          </w:tcPr>
          <w:p>
            <w:pPr>
              <w:pStyle w:val="TableContents"/>
              <w:bidi w:val="0"/>
              <w:spacing w:before="0" w:after="0"/>
              <w:jc w:val="right"/>
              <w:rPr>
                <w:caps/>
              </w:rPr>
            </w:pPr>
            <w:r>
              <w:rPr>
                <w:caps/>
              </w:rPr>
              <w:t>​</w:t>
            </w:r>
          </w:p>
        </w:tc>
        <w:tc>
          <w:tcPr>
            <w:tcW w:w="376" w:type="dxa"/>
            <w:tcBorders>
              <w:bottom w:val="single" w:sz="2" w:space="0" w:color="999999"/>
            </w:tcBorders>
            <w:tcMar>
              <w:bottom w:w="40" w:type="dxa"/>
            </w:tcMar>
            <w:vAlign w:val="center"/>
          </w:tcPr>
          <w:p>
            <w:pPr>
              <w:pStyle w:val="TableContents"/>
              <w:bidi w:val="0"/>
              <w:spacing w:before="0" w:after="0"/>
              <w:jc w:val="right"/>
              <w:rPr/>
            </w:pPr>
            <w:hyperlink w:anchor="tROTH">
              <w:r>
                <w:rPr>
                  <w:rStyle w:val="InternetLink"/>
                  <w:caps/>
                  <w:color w:val="FF6A00"/>
                  <w:spacing w:val="-2"/>
                </w:rPr>
                <w:t>45</w:t>
              </w:r>
            </w:hyperlink>
            <w:hyperlink w:anchor="tROTH">
              <w:r>
                <w:rPr>
                  <w:rStyle w:val="InternetLink"/>
                  <w:caps/>
                  <w:color w:val="FF6A00"/>
                </w:rPr>
                <w:t xml:space="preserve"> </w:t>
              </w:r>
            </w:hyperlink>
          </w:p>
        </w:tc>
        <w:tc>
          <w:tcPr>
            <w:tcW w:w="109" w:type="dxa"/>
            <w:tcBorders>
              <w:bottom w:val="single" w:sz="2" w:space="0" w:color="999999"/>
            </w:tcBorders>
            <w:vAlign w:val="center"/>
          </w:tcPr>
          <w:p>
            <w:pPr>
              <w:pStyle w:val="TableContents"/>
              <w:bidi w:val="0"/>
              <w:spacing w:before="0" w:after="283"/>
              <w:jc w:val="left"/>
              <w:rPr/>
            </w:pPr>
            <w:r>
              <w:rPr/>
              <w:t>​</w:t>
            </w:r>
          </w:p>
        </w:tc>
        <w:tc>
          <w:tcPr>
            <w:tcW w:w="155" w:type="dxa"/>
            <w:tcBorders>
              <w:bottom w:val="single" w:sz="2" w:space="0" w:color="999999"/>
            </w:tcBorders>
            <w:vAlign w:val="center"/>
          </w:tcPr>
          <w:p>
            <w:pPr>
              <w:pStyle w:val="TableContents"/>
              <w:bidi w:val="0"/>
              <w:spacing w:before="0" w:after="283"/>
              <w:jc w:val="left"/>
              <w:rPr/>
            </w:pPr>
            <w:r>
              <w:rPr/>
              <w:t>​</w:t>
            </w:r>
          </w:p>
        </w:tc>
      </w:tr>
      <w:tr>
        <w:trPr/>
        <w:tc>
          <w:tcPr>
            <w:tcW w:w="124" w:type="dxa"/>
            <w:tcBorders>
              <w:bottom w:val="single" w:sz="2" w:space="0" w:color="999999"/>
            </w:tcBorders>
            <w:shd w:fill="CCEEFF" w:val="clear"/>
            <w:vAlign w:val="center"/>
          </w:tcPr>
          <w:p>
            <w:pPr>
              <w:pStyle w:val="TableContents"/>
              <w:bidi w:val="0"/>
              <w:spacing w:before="0" w:after="283"/>
              <w:jc w:val="left"/>
              <w:rPr/>
            </w:pPr>
            <w:r>
              <w:rPr/>
              <w:t>​</w:t>
            </w:r>
          </w:p>
        </w:tc>
        <w:tc>
          <w:tcPr>
            <w:tcW w:w="7865" w:type="dxa"/>
            <w:tcBorders>
              <w:bottom w:val="single" w:sz="2" w:space="0" w:color="999999"/>
            </w:tcBorders>
            <w:shd w:fill="CCEEFF" w:val="clear"/>
            <w:tcMar>
              <w:bottom w:w="40" w:type="dxa"/>
            </w:tcMar>
            <w:vAlign w:val="center"/>
          </w:tcPr>
          <w:p>
            <w:pPr>
              <w:pStyle w:val="TableContents"/>
              <w:bidi w:val="0"/>
              <w:spacing w:before="0" w:after="283"/>
              <w:jc w:val="left"/>
              <w:rPr/>
            </w:pPr>
            <w:hyperlink w:anchor="t2DC">
              <w:r>
                <w:rPr>
                  <w:rStyle w:val="InternetLink"/>
                  <w:caps/>
                  <w:color w:val="FF6A00"/>
                  <w:spacing w:val="-2"/>
                </w:rPr>
                <w:t xml:space="preserve">2025 DIRECTOR COMPENSATION </w:t>
              </w:r>
            </w:hyperlink>
          </w:p>
        </w:tc>
        <w:tc>
          <w:tcPr>
            <w:tcW w:w="109" w:type="dxa"/>
            <w:tcBorders>
              <w:bottom w:val="single" w:sz="2" w:space="0" w:color="999999"/>
            </w:tcBorders>
            <w:shd w:fill="CCEEFF" w:val="clear"/>
            <w:vAlign w:val="center"/>
          </w:tcPr>
          <w:p>
            <w:pPr>
              <w:pStyle w:val="TableContents"/>
              <w:bidi w:val="0"/>
              <w:spacing w:before="0" w:after="283"/>
              <w:jc w:val="left"/>
              <w:rPr/>
            </w:pPr>
            <w:r>
              <w:rPr/>
              <w:t>​</w:t>
            </w:r>
          </w:p>
        </w:tc>
        <w:tc>
          <w:tcPr>
            <w:tcW w:w="109" w:type="dxa"/>
            <w:tcBorders>
              <w:bottom w:val="single" w:sz="2" w:space="0" w:color="999999"/>
            </w:tcBorders>
            <w:shd w:fill="CCEEFF" w:val="clear"/>
            <w:vAlign w:val="center"/>
          </w:tcPr>
          <w:p>
            <w:pPr>
              <w:pStyle w:val="TableContents"/>
              <w:bidi w:val="0"/>
              <w:spacing w:before="0" w:after="283"/>
              <w:jc w:val="left"/>
              <w:rPr/>
            </w:pPr>
            <w:r>
              <w:rPr/>
              <w:t>​</w:t>
            </w:r>
          </w:p>
        </w:tc>
        <w:tc>
          <w:tcPr>
            <w:tcW w:w="109" w:type="dxa"/>
            <w:tcBorders>
              <w:bottom w:val="single" w:sz="2" w:space="0" w:color="999999"/>
            </w:tcBorders>
            <w:shd w:fill="CCEEFF" w:val="clear"/>
            <w:vAlign w:val="center"/>
          </w:tcPr>
          <w:p>
            <w:pPr>
              <w:pStyle w:val="TableContents"/>
              <w:bidi w:val="0"/>
              <w:spacing w:before="0" w:after="283"/>
              <w:jc w:val="left"/>
              <w:rPr/>
            </w:pPr>
            <w:r>
              <w:rPr/>
              <w:t>​</w:t>
            </w:r>
          </w:p>
        </w:tc>
        <w:tc>
          <w:tcPr>
            <w:tcW w:w="109" w:type="dxa"/>
            <w:tcBorders>
              <w:bottom w:val="single" w:sz="2" w:space="0" w:color="999999"/>
            </w:tcBorders>
            <w:shd w:fill="CCEEFF" w:val="clear"/>
            <w:tcMar>
              <w:bottom w:w="40" w:type="dxa"/>
            </w:tcMar>
            <w:vAlign w:val="center"/>
          </w:tcPr>
          <w:p>
            <w:pPr>
              <w:pStyle w:val="TableContents"/>
              <w:bidi w:val="0"/>
              <w:spacing w:before="0" w:after="0"/>
              <w:jc w:val="right"/>
              <w:rPr>
                <w:caps/>
              </w:rPr>
            </w:pPr>
            <w:r>
              <w:rPr>
                <w:caps/>
              </w:rPr>
              <w:t>​</w:t>
            </w:r>
          </w:p>
        </w:tc>
        <w:tc>
          <w:tcPr>
            <w:tcW w:w="376" w:type="dxa"/>
            <w:tcBorders>
              <w:bottom w:val="single" w:sz="2" w:space="0" w:color="999999"/>
            </w:tcBorders>
            <w:shd w:fill="CCEEFF" w:val="clear"/>
            <w:tcMar>
              <w:bottom w:w="40" w:type="dxa"/>
            </w:tcMar>
            <w:vAlign w:val="center"/>
          </w:tcPr>
          <w:p>
            <w:pPr>
              <w:pStyle w:val="TableContents"/>
              <w:bidi w:val="0"/>
              <w:spacing w:before="0" w:after="0"/>
              <w:jc w:val="right"/>
              <w:rPr/>
            </w:pPr>
            <w:hyperlink w:anchor="t2DC">
              <w:r>
                <w:rPr>
                  <w:rStyle w:val="InternetLink"/>
                  <w:caps/>
                  <w:color w:val="FF6A00"/>
                  <w:spacing w:val="-2"/>
                </w:rPr>
                <w:t>57</w:t>
              </w:r>
            </w:hyperlink>
            <w:hyperlink w:anchor="t2DC">
              <w:r>
                <w:rPr>
                  <w:rStyle w:val="InternetLink"/>
                  <w:caps/>
                  <w:color w:val="FF6A00"/>
                </w:rPr>
                <w:t xml:space="preserve"> </w:t>
              </w:r>
            </w:hyperlink>
          </w:p>
        </w:tc>
        <w:tc>
          <w:tcPr>
            <w:tcW w:w="109" w:type="dxa"/>
            <w:tcBorders>
              <w:bottom w:val="single" w:sz="2" w:space="0" w:color="999999"/>
            </w:tcBorders>
            <w:shd w:fill="CCEEFF" w:val="clear"/>
            <w:vAlign w:val="center"/>
          </w:tcPr>
          <w:p>
            <w:pPr>
              <w:pStyle w:val="TableContents"/>
              <w:bidi w:val="0"/>
              <w:spacing w:before="0" w:after="283"/>
              <w:jc w:val="left"/>
              <w:rPr/>
            </w:pPr>
            <w:r>
              <w:rPr/>
              <w:t>​</w:t>
            </w:r>
          </w:p>
        </w:tc>
        <w:tc>
          <w:tcPr>
            <w:tcW w:w="155" w:type="dxa"/>
            <w:tcBorders>
              <w:bottom w:val="single" w:sz="2" w:space="0" w:color="999999"/>
            </w:tcBorders>
            <w:shd w:fill="CCEEFF" w:val="clear"/>
            <w:vAlign w:val="center"/>
          </w:tcPr>
          <w:p>
            <w:pPr>
              <w:pStyle w:val="TableContents"/>
              <w:bidi w:val="0"/>
              <w:spacing w:before="0" w:after="283"/>
              <w:jc w:val="left"/>
              <w:rPr/>
            </w:pPr>
            <w:r>
              <w:rPr/>
              <w:t>​</w:t>
            </w:r>
          </w:p>
        </w:tc>
      </w:tr>
      <w:tr>
        <w:trPr/>
        <w:tc>
          <w:tcPr>
            <w:tcW w:w="124" w:type="dxa"/>
            <w:tcBorders>
              <w:bottom w:val="single" w:sz="2" w:space="0" w:color="999999"/>
            </w:tcBorders>
            <w:vAlign w:val="center"/>
          </w:tcPr>
          <w:p>
            <w:pPr>
              <w:pStyle w:val="TableContents"/>
              <w:bidi w:val="0"/>
              <w:spacing w:before="0" w:after="283"/>
              <w:jc w:val="left"/>
              <w:rPr/>
            </w:pPr>
            <w:r>
              <w:rPr/>
              <w:t>​</w:t>
            </w:r>
          </w:p>
        </w:tc>
        <w:tc>
          <w:tcPr>
            <w:tcW w:w="7865" w:type="dxa"/>
            <w:tcBorders>
              <w:bottom w:val="single" w:sz="2" w:space="0" w:color="999999"/>
            </w:tcBorders>
            <w:tcMar>
              <w:bottom w:w="40" w:type="dxa"/>
            </w:tcMar>
            <w:vAlign w:val="center"/>
          </w:tcPr>
          <w:p>
            <w:pPr>
              <w:pStyle w:val="TableContents"/>
              <w:bidi w:val="0"/>
              <w:spacing w:before="0" w:after="283"/>
              <w:jc w:val="left"/>
              <w:rPr/>
            </w:pPr>
            <w:hyperlink w:anchor="tRPT">
              <w:r>
                <w:rPr>
                  <w:rStyle w:val="InternetLink"/>
                  <w:caps/>
                  <w:color w:val="FF6A00"/>
                  <w:spacing w:val="-2"/>
                </w:rPr>
                <w:t xml:space="preserve">RELATED PERSON TRANSACTIONS </w:t>
              </w:r>
            </w:hyperlink>
          </w:p>
        </w:tc>
        <w:tc>
          <w:tcPr>
            <w:tcW w:w="109" w:type="dxa"/>
            <w:tcBorders>
              <w:bottom w:val="single" w:sz="2" w:space="0" w:color="999999"/>
            </w:tcBorders>
            <w:vAlign w:val="center"/>
          </w:tcPr>
          <w:p>
            <w:pPr>
              <w:pStyle w:val="TableContents"/>
              <w:bidi w:val="0"/>
              <w:spacing w:before="0" w:after="283"/>
              <w:jc w:val="left"/>
              <w:rPr/>
            </w:pPr>
            <w:r>
              <w:rPr/>
              <w:t>​</w:t>
            </w:r>
          </w:p>
        </w:tc>
        <w:tc>
          <w:tcPr>
            <w:tcW w:w="109" w:type="dxa"/>
            <w:tcBorders>
              <w:bottom w:val="single" w:sz="2" w:space="0" w:color="999999"/>
            </w:tcBorders>
            <w:vAlign w:val="center"/>
          </w:tcPr>
          <w:p>
            <w:pPr>
              <w:pStyle w:val="TableContents"/>
              <w:bidi w:val="0"/>
              <w:spacing w:before="0" w:after="283"/>
              <w:jc w:val="left"/>
              <w:rPr/>
            </w:pPr>
            <w:r>
              <w:rPr/>
              <w:t>​</w:t>
            </w:r>
          </w:p>
        </w:tc>
        <w:tc>
          <w:tcPr>
            <w:tcW w:w="109" w:type="dxa"/>
            <w:tcBorders>
              <w:bottom w:val="single" w:sz="2" w:space="0" w:color="999999"/>
            </w:tcBorders>
            <w:vAlign w:val="center"/>
          </w:tcPr>
          <w:p>
            <w:pPr>
              <w:pStyle w:val="TableContents"/>
              <w:bidi w:val="0"/>
              <w:spacing w:before="0" w:after="283"/>
              <w:jc w:val="left"/>
              <w:rPr/>
            </w:pPr>
            <w:r>
              <w:rPr/>
              <w:t>​</w:t>
            </w:r>
          </w:p>
        </w:tc>
        <w:tc>
          <w:tcPr>
            <w:tcW w:w="109" w:type="dxa"/>
            <w:tcBorders>
              <w:bottom w:val="single" w:sz="2" w:space="0" w:color="999999"/>
            </w:tcBorders>
            <w:tcMar>
              <w:bottom w:w="40" w:type="dxa"/>
            </w:tcMar>
            <w:vAlign w:val="center"/>
          </w:tcPr>
          <w:p>
            <w:pPr>
              <w:pStyle w:val="TableContents"/>
              <w:bidi w:val="0"/>
              <w:spacing w:before="0" w:after="0"/>
              <w:jc w:val="right"/>
              <w:rPr>
                <w:caps/>
              </w:rPr>
            </w:pPr>
            <w:r>
              <w:rPr>
                <w:caps/>
              </w:rPr>
              <w:t>​</w:t>
            </w:r>
          </w:p>
        </w:tc>
        <w:tc>
          <w:tcPr>
            <w:tcW w:w="376" w:type="dxa"/>
            <w:tcBorders>
              <w:bottom w:val="single" w:sz="2" w:space="0" w:color="999999"/>
            </w:tcBorders>
            <w:tcMar>
              <w:bottom w:w="40" w:type="dxa"/>
            </w:tcMar>
            <w:vAlign w:val="center"/>
          </w:tcPr>
          <w:p>
            <w:pPr>
              <w:pStyle w:val="TableContents"/>
              <w:bidi w:val="0"/>
              <w:spacing w:before="0" w:after="0"/>
              <w:jc w:val="right"/>
              <w:rPr/>
            </w:pPr>
            <w:hyperlink w:anchor="tRPT">
              <w:r>
                <w:rPr>
                  <w:rStyle w:val="InternetLink"/>
                  <w:caps/>
                  <w:color w:val="FF6A00"/>
                  <w:spacing w:val="-2"/>
                </w:rPr>
                <w:t>59</w:t>
              </w:r>
            </w:hyperlink>
            <w:hyperlink w:anchor="tRPT">
              <w:r>
                <w:rPr>
                  <w:rStyle w:val="InternetLink"/>
                  <w:caps/>
                  <w:color w:val="FF6A00"/>
                </w:rPr>
                <w:t xml:space="preserve"> </w:t>
              </w:r>
            </w:hyperlink>
          </w:p>
        </w:tc>
        <w:tc>
          <w:tcPr>
            <w:tcW w:w="109" w:type="dxa"/>
            <w:tcBorders>
              <w:bottom w:val="single" w:sz="2" w:space="0" w:color="999999"/>
            </w:tcBorders>
            <w:vAlign w:val="center"/>
          </w:tcPr>
          <w:p>
            <w:pPr>
              <w:pStyle w:val="TableContents"/>
              <w:bidi w:val="0"/>
              <w:spacing w:before="0" w:after="283"/>
              <w:jc w:val="left"/>
              <w:rPr/>
            </w:pPr>
            <w:r>
              <w:rPr/>
              <w:t>​</w:t>
            </w:r>
          </w:p>
        </w:tc>
        <w:tc>
          <w:tcPr>
            <w:tcW w:w="155" w:type="dxa"/>
            <w:tcBorders>
              <w:bottom w:val="single" w:sz="2" w:space="0" w:color="999999"/>
            </w:tcBorders>
            <w:vAlign w:val="center"/>
          </w:tcPr>
          <w:p>
            <w:pPr>
              <w:pStyle w:val="TableContents"/>
              <w:bidi w:val="0"/>
              <w:spacing w:before="0" w:after="283"/>
              <w:jc w:val="left"/>
              <w:rPr/>
            </w:pPr>
            <w:r>
              <w:rPr/>
              <w:t>​</w:t>
            </w:r>
          </w:p>
        </w:tc>
      </w:tr>
      <w:tr>
        <w:trPr/>
        <w:tc>
          <w:tcPr>
            <w:tcW w:w="124" w:type="dxa"/>
            <w:tcBorders>
              <w:bottom w:val="single" w:sz="2" w:space="0" w:color="999999"/>
            </w:tcBorders>
            <w:shd w:fill="CCEEFF" w:val="clear"/>
            <w:vAlign w:val="center"/>
          </w:tcPr>
          <w:p>
            <w:pPr>
              <w:pStyle w:val="TableContents"/>
              <w:bidi w:val="0"/>
              <w:spacing w:before="0" w:after="283"/>
              <w:jc w:val="left"/>
              <w:rPr/>
            </w:pPr>
            <w:r>
              <w:rPr/>
              <w:t>​</w:t>
            </w:r>
          </w:p>
        </w:tc>
        <w:tc>
          <w:tcPr>
            <w:tcW w:w="7865" w:type="dxa"/>
            <w:tcBorders>
              <w:bottom w:val="single" w:sz="2" w:space="0" w:color="999999"/>
            </w:tcBorders>
            <w:shd w:fill="CCEEFF" w:val="clear"/>
            <w:vAlign w:val="center"/>
          </w:tcPr>
          <w:p>
            <w:pPr>
              <w:pStyle w:val="TableContents"/>
              <w:bidi w:val="0"/>
              <w:spacing w:before="0" w:after="0"/>
              <w:ind w:left="240" w:right="0" w:hanging="240"/>
              <w:jc w:val="left"/>
              <w:rPr/>
            </w:pPr>
            <w:hyperlink w:anchor="tP2RO">
              <w:r>
                <w:rPr>
                  <w:rStyle w:val="InternetLink"/>
                  <w:caps/>
                  <w:color w:val="FF6A00"/>
                  <w:spacing w:val="-2"/>
                </w:rPr>
                <w:t xml:space="preserve">PROPOSAL 2 — RATIFICATION OF THE SELECTION OF INDEPENDENT REGISTERED PUBLIC ACCOUNTING FIRM </w:t>
              </w:r>
            </w:hyperlink>
          </w:p>
        </w:tc>
        <w:tc>
          <w:tcPr>
            <w:tcW w:w="109" w:type="dxa"/>
            <w:tcBorders>
              <w:bottom w:val="single" w:sz="2" w:space="0" w:color="999999"/>
            </w:tcBorders>
            <w:shd w:fill="CCEEFF" w:val="clear"/>
            <w:vAlign w:val="center"/>
          </w:tcPr>
          <w:p>
            <w:pPr>
              <w:pStyle w:val="TableContents"/>
              <w:bidi w:val="0"/>
              <w:spacing w:before="0" w:after="283"/>
              <w:jc w:val="left"/>
              <w:rPr/>
            </w:pPr>
            <w:r>
              <w:rPr/>
              <w:t>​</w:t>
            </w:r>
          </w:p>
        </w:tc>
        <w:tc>
          <w:tcPr>
            <w:tcW w:w="109" w:type="dxa"/>
            <w:tcBorders>
              <w:bottom w:val="single" w:sz="2" w:space="0" w:color="999999"/>
            </w:tcBorders>
            <w:shd w:fill="CCEEFF" w:val="clear"/>
            <w:vAlign w:val="center"/>
          </w:tcPr>
          <w:p>
            <w:pPr>
              <w:pStyle w:val="TableContents"/>
              <w:bidi w:val="0"/>
              <w:spacing w:before="0" w:after="283"/>
              <w:jc w:val="left"/>
              <w:rPr/>
            </w:pPr>
            <w:r>
              <w:rPr/>
              <w:t>​</w:t>
            </w:r>
          </w:p>
        </w:tc>
        <w:tc>
          <w:tcPr>
            <w:tcW w:w="109" w:type="dxa"/>
            <w:tcBorders>
              <w:bottom w:val="single" w:sz="2" w:space="0" w:color="999999"/>
            </w:tcBorders>
            <w:shd w:fill="CCEEFF" w:val="clear"/>
            <w:vAlign w:val="center"/>
          </w:tcPr>
          <w:p>
            <w:pPr>
              <w:pStyle w:val="TableContents"/>
              <w:bidi w:val="0"/>
              <w:spacing w:before="0" w:after="283"/>
              <w:jc w:val="left"/>
              <w:rPr/>
            </w:pPr>
            <w:r>
              <w:rPr/>
              <w:t>​</w:t>
            </w:r>
          </w:p>
        </w:tc>
        <w:tc>
          <w:tcPr>
            <w:tcW w:w="109" w:type="dxa"/>
            <w:tcBorders>
              <w:bottom w:val="single" w:sz="2" w:space="0" w:color="999999"/>
            </w:tcBorders>
            <w:shd w:fill="CCEEFF" w:val="clear"/>
            <w:vAlign w:val="center"/>
          </w:tcPr>
          <w:p>
            <w:pPr>
              <w:pStyle w:val="TableContents"/>
              <w:bidi w:val="0"/>
              <w:spacing w:before="0" w:after="0"/>
              <w:jc w:val="right"/>
              <w:rPr>
                <w:caps/>
              </w:rPr>
            </w:pPr>
            <w:r>
              <w:rPr>
                <w:caps/>
              </w:rPr>
              <w:t>​</w:t>
            </w:r>
          </w:p>
        </w:tc>
        <w:tc>
          <w:tcPr>
            <w:tcW w:w="376" w:type="dxa"/>
            <w:tcBorders>
              <w:bottom w:val="single" w:sz="2" w:space="0" w:color="999999"/>
            </w:tcBorders>
            <w:shd w:fill="CCEEFF" w:val="clear"/>
            <w:vAlign w:val="center"/>
          </w:tcPr>
          <w:p>
            <w:pPr>
              <w:pStyle w:val="TableContents"/>
              <w:bidi w:val="0"/>
              <w:spacing w:before="0" w:after="0"/>
              <w:jc w:val="right"/>
              <w:rPr/>
            </w:pPr>
            <w:hyperlink w:anchor="tP2RO">
              <w:r>
                <w:rPr>
                  <w:rStyle w:val="InternetLink"/>
                  <w:caps/>
                  <w:color w:val="FF6A00"/>
                  <w:spacing w:val="-2"/>
                </w:rPr>
                <w:t>60</w:t>
              </w:r>
            </w:hyperlink>
            <w:hyperlink w:anchor="tP2RO">
              <w:r>
                <w:rPr>
                  <w:rStyle w:val="InternetLink"/>
                  <w:caps/>
                  <w:color w:val="FF6A00"/>
                </w:rPr>
                <w:t xml:space="preserve"> </w:t>
              </w:r>
            </w:hyperlink>
          </w:p>
        </w:tc>
        <w:tc>
          <w:tcPr>
            <w:tcW w:w="109" w:type="dxa"/>
            <w:tcBorders>
              <w:bottom w:val="single" w:sz="2" w:space="0" w:color="999999"/>
            </w:tcBorders>
            <w:shd w:fill="CCEEFF" w:val="clear"/>
            <w:vAlign w:val="center"/>
          </w:tcPr>
          <w:p>
            <w:pPr>
              <w:pStyle w:val="TableContents"/>
              <w:bidi w:val="0"/>
              <w:spacing w:before="0" w:after="283"/>
              <w:jc w:val="left"/>
              <w:rPr/>
            </w:pPr>
            <w:r>
              <w:rPr/>
              <w:t>​</w:t>
            </w:r>
          </w:p>
        </w:tc>
        <w:tc>
          <w:tcPr>
            <w:tcW w:w="155" w:type="dxa"/>
            <w:tcBorders>
              <w:bottom w:val="single" w:sz="2" w:space="0" w:color="999999"/>
            </w:tcBorders>
            <w:shd w:fill="CCEEFF" w:val="clear"/>
            <w:vAlign w:val="center"/>
          </w:tcPr>
          <w:p>
            <w:pPr>
              <w:pStyle w:val="TableContents"/>
              <w:bidi w:val="0"/>
              <w:spacing w:before="0" w:after="283"/>
              <w:jc w:val="left"/>
              <w:rPr/>
            </w:pPr>
            <w:r>
              <w:rPr/>
              <w:t>​</w:t>
            </w:r>
          </w:p>
        </w:tc>
      </w:tr>
      <w:tr>
        <w:trPr/>
        <w:tc>
          <w:tcPr>
            <w:tcW w:w="124" w:type="dxa"/>
            <w:tcBorders>
              <w:bottom w:val="single" w:sz="2" w:space="0" w:color="999999"/>
            </w:tcBorders>
            <w:vAlign w:val="center"/>
          </w:tcPr>
          <w:p>
            <w:pPr>
              <w:pStyle w:val="TableContents"/>
              <w:bidi w:val="0"/>
              <w:spacing w:before="0" w:after="283"/>
              <w:jc w:val="left"/>
              <w:rPr/>
            </w:pPr>
            <w:r>
              <w:rPr/>
              <w:t>​</w:t>
            </w:r>
          </w:p>
        </w:tc>
        <w:tc>
          <w:tcPr>
            <w:tcW w:w="7865" w:type="dxa"/>
            <w:tcBorders>
              <w:bottom w:val="single" w:sz="2" w:space="0" w:color="999999"/>
            </w:tcBorders>
            <w:tcMar>
              <w:bottom w:w="40" w:type="dxa"/>
            </w:tcMar>
            <w:vAlign w:val="center"/>
          </w:tcPr>
          <w:p>
            <w:pPr>
              <w:pStyle w:val="TableContents"/>
              <w:bidi w:val="0"/>
              <w:spacing w:before="0" w:after="283"/>
              <w:jc w:val="left"/>
              <w:rPr/>
            </w:pPr>
            <w:hyperlink w:anchor="tP3AA">
              <w:r>
                <w:rPr>
                  <w:rStyle w:val="InternetLink"/>
                  <w:caps/>
                  <w:color w:val="FF6A00"/>
                  <w:spacing w:val="-2"/>
                </w:rPr>
                <w:t xml:space="preserve">PROPOSAL 3 — ADVISORY APPROVAL OF EXECUTIVE COMPENSATION </w:t>
              </w:r>
            </w:hyperlink>
          </w:p>
        </w:tc>
        <w:tc>
          <w:tcPr>
            <w:tcW w:w="109" w:type="dxa"/>
            <w:tcBorders>
              <w:bottom w:val="single" w:sz="2" w:space="0" w:color="999999"/>
            </w:tcBorders>
            <w:vAlign w:val="center"/>
          </w:tcPr>
          <w:p>
            <w:pPr>
              <w:pStyle w:val="TableContents"/>
              <w:bidi w:val="0"/>
              <w:spacing w:before="0" w:after="283"/>
              <w:jc w:val="left"/>
              <w:rPr/>
            </w:pPr>
            <w:r>
              <w:rPr/>
              <w:t>​</w:t>
            </w:r>
          </w:p>
        </w:tc>
        <w:tc>
          <w:tcPr>
            <w:tcW w:w="109" w:type="dxa"/>
            <w:tcBorders>
              <w:bottom w:val="single" w:sz="2" w:space="0" w:color="999999"/>
            </w:tcBorders>
            <w:vAlign w:val="center"/>
          </w:tcPr>
          <w:p>
            <w:pPr>
              <w:pStyle w:val="TableContents"/>
              <w:bidi w:val="0"/>
              <w:spacing w:before="0" w:after="283"/>
              <w:jc w:val="left"/>
              <w:rPr/>
            </w:pPr>
            <w:r>
              <w:rPr/>
              <w:t>​</w:t>
            </w:r>
          </w:p>
        </w:tc>
        <w:tc>
          <w:tcPr>
            <w:tcW w:w="109" w:type="dxa"/>
            <w:tcBorders>
              <w:bottom w:val="single" w:sz="2" w:space="0" w:color="999999"/>
            </w:tcBorders>
            <w:vAlign w:val="center"/>
          </w:tcPr>
          <w:p>
            <w:pPr>
              <w:pStyle w:val="TableContents"/>
              <w:bidi w:val="0"/>
              <w:spacing w:before="0" w:after="283"/>
              <w:jc w:val="left"/>
              <w:rPr/>
            </w:pPr>
            <w:r>
              <w:rPr/>
              <w:t>​</w:t>
            </w:r>
          </w:p>
        </w:tc>
        <w:tc>
          <w:tcPr>
            <w:tcW w:w="109" w:type="dxa"/>
            <w:tcBorders>
              <w:bottom w:val="single" w:sz="2" w:space="0" w:color="999999"/>
            </w:tcBorders>
            <w:tcMar>
              <w:bottom w:w="40" w:type="dxa"/>
            </w:tcMar>
            <w:vAlign w:val="center"/>
          </w:tcPr>
          <w:p>
            <w:pPr>
              <w:pStyle w:val="TableContents"/>
              <w:bidi w:val="0"/>
              <w:spacing w:before="0" w:after="0"/>
              <w:jc w:val="right"/>
              <w:rPr>
                <w:caps/>
              </w:rPr>
            </w:pPr>
            <w:r>
              <w:rPr>
                <w:caps/>
              </w:rPr>
              <w:t>​</w:t>
            </w:r>
          </w:p>
        </w:tc>
        <w:tc>
          <w:tcPr>
            <w:tcW w:w="376" w:type="dxa"/>
            <w:tcBorders>
              <w:bottom w:val="single" w:sz="2" w:space="0" w:color="999999"/>
            </w:tcBorders>
            <w:tcMar>
              <w:bottom w:w="40" w:type="dxa"/>
            </w:tcMar>
            <w:vAlign w:val="center"/>
          </w:tcPr>
          <w:p>
            <w:pPr>
              <w:pStyle w:val="TableContents"/>
              <w:bidi w:val="0"/>
              <w:spacing w:before="0" w:after="0"/>
              <w:jc w:val="right"/>
              <w:rPr/>
            </w:pPr>
            <w:hyperlink w:anchor="tP3AA">
              <w:r>
                <w:rPr>
                  <w:rStyle w:val="InternetLink"/>
                  <w:caps/>
                  <w:color w:val="FF6A00"/>
                  <w:spacing w:val="-2"/>
                </w:rPr>
                <w:t>62</w:t>
              </w:r>
            </w:hyperlink>
            <w:hyperlink w:anchor="tP3AA">
              <w:r>
                <w:rPr>
                  <w:rStyle w:val="InternetLink"/>
                  <w:caps/>
                  <w:color w:val="FF6A00"/>
                </w:rPr>
                <w:t xml:space="preserve"> </w:t>
              </w:r>
            </w:hyperlink>
          </w:p>
        </w:tc>
        <w:tc>
          <w:tcPr>
            <w:tcW w:w="109" w:type="dxa"/>
            <w:tcBorders>
              <w:bottom w:val="single" w:sz="2" w:space="0" w:color="999999"/>
            </w:tcBorders>
            <w:vAlign w:val="center"/>
          </w:tcPr>
          <w:p>
            <w:pPr>
              <w:pStyle w:val="TableContents"/>
              <w:bidi w:val="0"/>
              <w:spacing w:before="0" w:after="283"/>
              <w:jc w:val="left"/>
              <w:rPr/>
            </w:pPr>
            <w:r>
              <w:rPr/>
              <w:t>​</w:t>
            </w:r>
          </w:p>
        </w:tc>
        <w:tc>
          <w:tcPr>
            <w:tcW w:w="155" w:type="dxa"/>
            <w:tcBorders>
              <w:bottom w:val="single" w:sz="2" w:space="0" w:color="999999"/>
            </w:tcBorders>
            <w:vAlign w:val="center"/>
          </w:tcPr>
          <w:p>
            <w:pPr>
              <w:pStyle w:val="TableContents"/>
              <w:bidi w:val="0"/>
              <w:spacing w:before="0" w:after="283"/>
              <w:jc w:val="left"/>
              <w:rPr/>
            </w:pPr>
            <w:r>
              <w:rPr/>
              <w:t>​</w:t>
            </w:r>
          </w:p>
        </w:tc>
      </w:tr>
      <w:tr>
        <w:trPr/>
        <w:tc>
          <w:tcPr>
            <w:tcW w:w="124" w:type="dxa"/>
            <w:tcBorders>
              <w:bottom w:val="single" w:sz="2" w:space="0" w:color="999999"/>
            </w:tcBorders>
            <w:shd w:fill="CCEEFF" w:val="clear"/>
            <w:vAlign w:val="center"/>
          </w:tcPr>
          <w:p>
            <w:pPr>
              <w:pStyle w:val="TableContents"/>
              <w:bidi w:val="0"/>
              <w:spacing w:before="0" w:after="283"/>
              <w:jc w:val="left"/>
              <w:rPr/>
            </w:pPr>
            <w:r>
              <w:rPr/>
              <w:t>​</w:t>
            </w:r>
          </w:p>
        </w:tc>
        <w:tc>
          <w:tcPr>
            <w:tcW w:w="7865" w:type="dxa"/>
            <w:tcBorders>
              <w:bottom w:val="single" w:sz="2" w:space="0" w:color="999999"/>
            </w:tcBorders>
            <w:shd w:fill="CCEEFF" w:val="clear"/>
            <w:tcMar>
              <w:bottom w:w="40" w:type="dxa"/>
            </w:tcMar>
            <w:vAlign w:val="center"/>
          </w:tcPr>
          <w:p>
            <w:pPr>
              <w:pStyle w:val="TableContents"/>
              <w:bidi w:val="0"/>
              <w:spacing w:before="0" w:after="283"/>
              <w:jc w:val="left"/>
              <w:rPr/>
            </w:pPr>
            <w:hyperlink w:anchor="tROTA">
              <w:r>
                <w:rPr>
                  <w:rStyle w:val="InternetLink"/>
                  <w:caps/>
                  <w:color w:val="FF6A00"/>
                  <w:spacing w:val="-2"/>
                </w:rPr>
                <w:t xml:space="preserve">REPORT OF THE AUDIT COMMITTEE </w:t>
              </w:r>
            </w:hyperlink>
          </w:p>
        </w:tc>
        <w:tc>
          <w:tcPr>
            <w:tcW w:w="109" w:type="dxa"/>
            <w:tcBorders>
              <w:bottom w:val="single" w:sz="2" w:space="0" w:color="999999"/>
            </w:tcBorders>
            <w:shd w:fill="CCEEFF" w:val="clear"/>
            <w:vAlign w:val="center"/>
          </w:tcPr>
          <w:p>
            <w:pPr>
              <w:pStyle w:val="TableContents"/>
              <w:bidi w:val="0"/>
              <w:spacing w:before="0" w:after="283"/>
              <w:jc w:val="left"/>
              <w:rPr/>
            </w:pPr>
            <w:r>
              <w:rPr/>
              <w:t>​</w:t>
            </w:r>
          </w:p>
        </w:tc>
        <w:tc>
          <w:tcPr>
            <w:tcW w:w="109" w:type="dxa"/>
            <w:tcBorders>
              <w:bottom w:val="single" w:sz="2" w:space="0" w:color="999999"/>
            </w:tcBorders>
            <w:shd w:fill="CCEEFF" w:val="clear"/>
            <w:vAlign w:val="center"/>
          </w:tcPr>
          <w:p>
            <w:pPr>
              <w:pStyle w:val="TableContents"/>
              <w:bidi w:val="0"/>
              <w:spacing w:before="0" w:after="283"/>
              <w:jc w:val="left"/>
              <w:rPr/>
            </w:pPr>
            <w:r>
              <w:rPr/>
              <w:t>​</w:t>
            </w:r>
          </w:p>
        </w:tc>
        <w:tc>
          <w:tcPr>
            <w:tcW w:w="109" w:type="dxa"/>
            <w:tcBorders>
              <w:bottom w:val="single" w:sz="2" w:space="0" w:color="999999"/>
            </w:tcBorders>
            <w:shd w:fill="CCEEFF" w:val="clear"/>
            <w:vAlign w:val="center"/>
          </w:tcPr>
          <w:p>
            <w:pPr>
              <w:pStyle w:val="TableContents"/>
              <w:bidi w:val="0"/>
              <w:spacing w:before="0" w:after="283"/>
              <w:jc w:val="left"/>
              <w:rPr/>
            </w:pPr>
            <w:r>
              <w:rPr/>
              <w:t>​</w:t>
            </w:r>
          </w:p>
        </w:tc>
        <w:tc>
          <w:tcPr>
            <w:tcW w:w="109" w:type="dxa"/>
            <w:tcBorders>
              <w:bottom w:val="single" w:sz="2" w:space="0" w:color="999999"/>
            </w:tcBorders>
            <w:shd w:fill="CCEEFF" w:val="clear"/>
            <w:tcMar>
              <w:bottom w:w="40" w:type="dxa"/>
            </w:tcMar>
            <w:vAlign w:val="center"/>
          </w:tcPr>
          <w:p>
            <w:pPr>
              <w:pStyle w:val="TableContents"/>
              <w:bidi w:val="0"/>
              <w:spacing w:before="0" w:after="0"/>
              <w:jc w:val="right"/>
              <w:rPr>
                <w:caps/>
              </w:rPr>
            </w:pPr>
            <w:r>
              <w:rPr>
                <w:caps/>
              </w:rPr>
              <w:t>​</w:t>
            </w:r>
          </w:p>
        </w:tc>
        <w:tc>
          <w:tcPr>
            <w:tcW w:w="376" w:type="dxa"/>
            <w:tcBorders>
              <w:bottom w:val="single" w:sz="2" w:space="0" w:color="999999"/>
            </w:tcBorders>
            <w:shd w:fill="CCEEFF" w:val="clear"/>
            <w:tcMar>
              <w:bottom w:w="40" w:type="dxa"/>
            </w:tcMar>
            <w:vAlign w:val="center"/>
          </w:tcPr>
          <w:p>
            <w:pPr>
              <w:pStyle w:val="TableContents"/>
              <w:bidi w:val="0"/>
              <w:spacing w:before="0" w:after="0"/>
              <w:jc w:val="right"/>
              <w:rPr/>
            </w:pPr>
            <w:hyperlink w:anchor="tROTA">
              <w:r>
                <w:rPr>
                  <w:rStyle w:val="InternetLink"/>
                  <w:caps/>
                  <w:color w:val="FF6A00"/>
                  <w:spacing w:val="-2"/>
                </w:rPr>
                <w:t>63</w:t>
              </w:r>
            </w:hyperlink>
            <w:hyperlink w:anchor="tROTA">
              <w:r>
                <w:rPr>
                  <w:rStyle w:val="InternetLink"/>
                  <w:caps/>
                  <w:color w:val="FF6A00"/>
                </w:rPr>
                <w:t xml:space="preserve"> </w:t>
              </w:r>
            </w:hyperlink>
          </w:p>
        </w:tc>
        <w:tc>
          <w:tcPr>
            <w:tcW w:w="109" w:type="dxa"/>
            <w:tcBorders>
              <w:bottom w:val="single" w:sz="2" w:space="0" w:color="999999"/>
            </w:tcBorders>
            <w:shd w:fill="CCEEFF" w:val="clear"/>
            <w:vAlign w:val="center"/>
          </w:tcPr>
          <w:p>
            <w:pPr>
              <w:pStyle w:val="TableContents"/>
              <w:bidi w:val="0"/>
              <w:spacing w:before="0" w:after="283"/>
              <w:jc w:val="left"/>
              <w:rPr/>
            </w:pPr>
            <w:r>
              <w:rPr/>
              <w:t>​</w:t>
            </w:r>
          </w:p>
        </w:tc>
        <w:tc>
          <w:tcPr>
            <w:tcW w:w="155" w:type="dxa"/>
            <w:tcBorders>
              <w:bottom w:val="single" w:sz="2" w:space="0" w:color="999999"/>
            </w:tcBorders>
            <w:shd w:fill="CCEEFF" w:val="clear"/>
            <w:vAlign w:val="center"/>
          </w:tcPr>
          <w:p>
            <w:pPr>
              <w:pStyle w:val="TableContents"/>
              <w:bidi w:val="0"/>
              <w:spacing w:before="0" w:after="283"/>
              <w:jc w:val="left"/>
              <w:rPr/>
            </w:pPr>
            <w:r>
              <w:rPr/>
              <w:t>​</w:t>
            </w:r>
          </w:p>
        </w:tc>
      </w:tr>
      <w:tr>
        <w:trPr/>
        <w:tc>
          <w:tcPr>
            <w:tcW w:w="124" w:type="dxa"/>
            <w:tcBorders>
              <w:bottom w:val="single" w:sz="2" w:space="0" w:color="999999"/>
            </w:tcBorders>
            <w:vAlign w:val="center"/>
          </w:tcPr>
          <w:p>
            <w:pPr>
              <w:pStyle w:val="TableContents"/>
              <w:bidi w:val="0"/>
              <w:spacing w:before="0" w:after="283"/>
              <w:jc w:val="left"/>
              <w:rPr/>
            </w:pPr>
            <w:r>
              <w:rPr/>
              <w:t>​</w:t>
            </w:r>
          </w:p>
        </w:tc>
        <w:tc>
          <w:tcPr>
            <w:tcW w:w="7865" w:type="dxa"/>
            <w:tcBorders>
              <w:bottom w:val="single" w:sz="2" w:space="0" w:color="999999"/>
            </w:tcBorders>
            <w:tcMar>
              <w:bottom w:w="40" w:type="dxa"/>
            </w:tcMar>
            <w:vAlign w:val="center"/>
          </w:tcPr>
          <w:p>
            <w:pPr>
              <w:pStyle w:val="TableContents"/>
              <w:bidi w:val="0"/>
              <w:spacing w:before="0" w:after="283"/>
              <w:jc w:val="left"/>
              <w:rPr/>
            </w:pPr>
            <w:hyperlink w:anchor="tNAPB">
              <w:r>
                <w:rPr>
                  <w:rStyle w:val="InternetLink"/>
                  <w:caps/>
                  <w:color w:val="FF6A00"/>
                  <w:spacing w:val="-2"/>
                </w:rPr>
                <w:t xml:space="preserve">NOMINATIONS AND PROPOSALS BY STOCKHOLDERS </w:t>
              </w:r>
            </w:hyperlink>
          </w:p>
        </w:tc>
        <w:tc>
          <w:tcPr>
            <w:tcW w:w="109" w:type="dxa"/>
            <w:tcBorders>
              <w:bottom w:val="single" w:sz="2" w:space="0" w:color="999999"/>
            </w:tcBorders>
            <w:vAlign w:val="center"/>
          </w:tcPr>
          <w:p>
            <w:pPr>
              <w:pStyle w:val="TableContents"/>
              <w:bidi w:val="0"/>
              <w:spacing w:before="0" w:after="283"/>
              <w:jc w:val="left"/>
              <w:rPr/>
            </w:pPr>
            <w:r>
              <w:rPr/>
              <w:t>​</w:t>
            </w:r>
          </w:p>
        </w:tc>
        <w:tc>
          <w:tcPr>
            <w:tcW w:w="109" w:type="dxa"/>
            <w:tcBorders>
              <w:bottom w:val="single" w:sz="2" w:space="0" w:color="999999"/>
            </w:tcBorders>
            <w:vAlign w:val="center"/>
          </w:tcPr>
          <w:p>
            <w:pPr>
              <w:pStyle w:val="TableContents"/>
              <w:bidi w:val="0"/>
              <w:spacing w:before="0" w:after="283"/>
              <w:jc w:val="left"/>
              <w:rPr/>
            </w:pPr>
            <w:r>
              <w:rPr/>
              <w:t>​</w:t>
            </w:r>
          </w:p>
        </w:tc>
        <w:tc>
          <w:tcPr>
            <w:tcW w:w="109" w:type="dxa"/>
            <w:tcBorders>
              <w:bottom w:val="single" w:sz="2" w:space="0" w:color="999999"/>
            </w:tcBorders>
            <w:vAlign w:val="center"/>
          </w:tcPr>
          <w:p>
            <w:pPr>
              <w:pStyle w:val="TableContents"/>
              <w:bidi w:val="0"/>
              <w:spacing w:before="0" w:after="283"/>
              <w:jc w:val="left"/>
              <w:rPr/>
            </w:pPr>
            <w:r>
              <w:rPr/>
              <w:t>​</w:t>
            </w:r>
          </w:p>
        </w:tc>
        <w:tc>
          <w:tcPr>
            <w:tcW w:w="109" w:type="dxa"/>
            <w:tcBorders>
              <w:bottom w:val="single" w:sz="2" w:space="0" w:color="999999"/>
            </w:tcBorders>
            <w:tcMar>
              <w:bottom w:w="40" w:type="dxa"/>
            </w:tcMar>
            <w:vAlign w:val="center"/>
          </w:tcPr>
          <w:p>
            <w:pPr>
              <w:pStyle w:val="TableContents"/>
              <w:bidi w:val="0"/>
              <w:spacing w:before="0" w:after="0"/>
              <w:jc w:val="right"/>
              <w:rPr>
                <w:caps/>
              </w:rPr>
            </w:pPr>
            <w:r>
              <w:rPr>
                <w:caps/>
              </w:rPr>
              <w:t>​</w:t>
            </w:r>
          </w:p>
        </w:tc>
        <w:tc>
          <w:tcPr>
            <w:tcW w:w="376" w:type="dxa"/>
            <w:tcBorders>
              <w:bottom w:val="single" w:sz="2" w:space="0" w:color="999999"/>
            </w:tcBorders>
            <w:tcMar>
              <w:bottom w:w="40" w:type="dxa"/>
            </w:tcMar>
            <w:vAlign w:val="center"/>
          </w:tcPr>
          <w:p>
            <w:pPr>
              <w:pStyle w:val="TableContents"/>
              <w:bidi w:val="0"/>
              <w:spacing w:before="0" w:after="0"/>
              <w:jc w:val="right"/>
              <w:rPr/>
            </w:pPr>
            <w:hyperlink w:anchor="tNAPB">
              <w:r>
                <w:rPr>
                  <w:rStyle w:val="InternetLink"/>
                  <w:caps/>
                  <w:color w:val="FF6A00"/>
                  <w:spacing w:val="-2"/>
                </w:rPr>
                <w:t>65</w:t>
              </w:r>
            </w:hyperlink>
            <w:hyperlink w:anchor="tNAPB">
              <w:r>
                <w:rPr>
                  <w:rStyle w:val="InternetLink"/>
                  <w:caps/>
                  <w:color w:val="FF6A00"/>
                </w:rPr>
                <w:t xml:space="preserve"> </w:t>
              </w:r>
            </w:hyperlink>
          </w:p>
        </w:tc>
        <w:tc>
          <w:tcPr>
            <w:tcW w:w="109" w:type="dxa"/>
            <w:tcBorders>
              <w:bottom w:val="single" w:sz="2" w:space="0" w:color="999999"/>
            </w:tcBorders>
            <w:vAlign w:val="center"/>
          </w:tcPr>
          <w:p>
            <w:pPr>
              <w:pStyle w:val="TableContents"/>
              <w:bidi w:val="0"/>
              <w:spacing w:before="0" w:after="283"/>
              <w:jc w:val="left"/>
              <w:rPr/>
            </w:pPr>
            <w:r>
              <w:rPr/>
              <w:t>​</w:t>
            </w:r>
          </w:p>
        </w:tc>
        <w:tc>
          <w:tcPr>
            <w:tcW w:w="155" w:type="dxa"/>
            <w:tcBorders>
              <w:bottom w:val="single" w:sz="2" w:space="0" w:color="999999"/>
            </w:tcBorders>
            <w:vAlign w:val="center"/>
          </w:tcPr>
          <w:p>
            <w:pPr>
              <w:pStyle w:val="TableContents"/>
              <w:bidi w:val="0"/>
              <w:spacing w:before="0" w:after="283"/>
              <w:jc w:val="left"/>
              <w:rPr/>
            </w:pPr>
            <w:r>
              <w:rPr/>
              <w:t>​</w:t>
            </w:r>
          </w:p>
        </w:tc>
      </w:tr>
      <w:tr>
        <w:trPr/>
        <w:tc>
          <w:tcPr>
            <w:tcW w:w="124" w:type="dxa"/>
            <w:tcBorders>
              <w:bottom w:val="single" w:sz="2" w:space="0" w:color="999999"/>
            </w:tcBorders>
            <w:shd w:fill="CCEEFF" w:val="clear"/>
            <w:vAlign w:val="center"/>
          </w:tcPr>
          <w:p>
            <w:pPr>
              <w:pStyle w:val="TableContents"/>
              <w:bidi w:val="0"/>
              <w:spacing w:before="0" w:after="283"/>
              <w:jc w:val="left"/>
              <w:rPr/>
            </w:pPr>
            <w:r>
              <w:rPr/>
              <w:t>​</w:t>
            </w:r>
          </w:p>
        </w:tc>
        <w:tc>
          <w:tcPr>
            <w:tcW w:w="7865" w:type="dxa"/>
            <w:tcBorders>
              <w:bottom w:val="single" w:sz="2" w:space="0" w:color="999999"/>
            </w:tcBorders>
            <w:shd w:fill="CCEEFF" w:val="clear"/>
            <w:tcMar>
              <w:bottom w:w="40" w:type="dxa"/>
            </w:tcMar>
            <w:vAlign w:val="center"/>
          </w:tcPr>
          <w:p>
            <w:pPr>
              <w:pStyle w:val="TableContents"/>
              <w:bidi w:val="0"/>
              <w:spacing w:before="0" w:after="283"/>
              <w:jc w:val="left"/>
              <w:rPr/>
            </w:pPr>
            <w:hyperlink w:anchor="tICSA">
              <w:r>
                <w:rPr>
                  <w:rStyle w:val="InternetLink"/>
                  <w:caps/>
                  <w:color w:val="FF6A00"/>
                  <w:spacing w:val="-2"/>
                </w:rPr>
                <w:t xml:space="preserve">INFORMATION CONCERNING SOLICITATION AND VOTING </w:t>
              </w:r>
            </w:hyperlink>
          </w:p>
        </w:tc>
        <w:tc>
          <w:tcPr>
            <w:tcW w:w="109" w:type="dxa"/>
            <w:tcBorders>
              <w:bottom w:val="single" w:sz="2" w:space="0" w:color="999999"/>
            </w:tcBorders>
            <w:shd w:fill="CCEEFF" w:val="clear"/>
            <w:vAlign w:val="center"/>
          </w:tcPr>
          <w:p>
            <w:pPr>
              <w:pStyle w:val="TableContents"/>
              <w:bidi w:val="0"/>
              <w:spacing w:before="0" w:after="283"/>
              <w:jc w:val="left"/>
              <w:rPr/>
            </w:pPr>
            <w:r>
              <w:rPr/>
              <w:t>​</w:t>
            </w:r>
          </w:p>
        </w:tc>
        <w:tc>
          <w:tcPr>
            <w:tcW w:w="109" w:type="dxa"/>
            <w:tcBorders>
              <w:bottom w:val="single" w:sz="2" w:space="0" w:color="999999"/>
            </w:tcBorders>
            <w:shd w:fill="CCEEFF" w:val="clear"/>
            <w:vAlign w:val="center"/>
          </w:tcPr>
          <w:p>
            <w:pPr>
              <w:pStyle w:val="TableContents"/>
              <w:bidi w:val="0"/>
              <w:spacing w:before="0" w:after="283"/>
              <w:jc w:val="left"/>
              <w:rPr/>
            </w:pPr>
            <w:r>
              <w:rPr/>
              <w:t>​</w:t>
            </w:r>
          </w:p>
        </w:tc>
        <w:tc>
          <w:tcPr>
            <w:tcW w:w="109" w:type="dxa"/>
            <w:tcBorders>
              <w:bottom w:val="single" w:sz="2" w:space="0" w:color="999999"/>
            </w:tcBorders>
            <w:shd w:fill="CCEEFF" w:val="clear"/>
            <w:vAlign w:val="center"/>
          </w:tcPr>
          <w:p>
            <w:pPr>
              <w:pStyle w:val="TableContents"/>
              <w:bidi w:val="0"/>
              <w:spacing w:before="0" w:after="283"/>
              <w:jc w:val="left"/>
              <w:rPr/>
            </w:pPr>
            <w:r>
              <w:rPr/>
              <w:t>​</w:t>
            </w:r>
          </w:p>
        </w:tc>
        <w:tc>
          <w:tcPr>
            <w:tcW w:w="109" w:type="dxa"/>
            <w:tcBorders>
              <w:bottom w:val="single" w:sz="2" w:space="0" w:color="999999"/>
            </w:tcBorders>
            <w:shd w:fill="CCEEFF" w:val="clear"/>
            <w:tcMar>
              <w:bottom w:w="40" w:type="dxa"/>
            </w:tcMar>
            <w:vAlign w:val="center"/>
          </w:tcPr>
          <w:p>
            <w:pPr>
              <w:pStyle w:val="TableContents"/>
              <w:bidi w:val="0"/>
              <w:spacing w:before="0" w:after="0"/>
              <w:jc w:val="right"/>
              <w:rPr>
                <w:caps/>
              </w:rPr>
            </w:pPr>
            <w:r>
              <w:rPr>
                <w:caps/>
              </w:rPr>
              <w:t>​</w:t>
            </w:r>
          </w:p>
        </w:tc>
        <w:tc>
          <w:tcPr>
            <w:tcW w:w="376" w:type="dxa"/>
            <w:tcBorders>
              <w:bottom w:val="single" w:sz="2" w:space="0" w:color="999999"/>
            </w:tcBorders>
            <w:shd w:fill="CCEEFF" w:val="clear"/>
            <w:tcMar>
              <w:bottom w:w="40" w:type="dxa"/>
            </w:tcMar>
            <w:vAlign w:val="center"/>
          </w:tcPr>
          <w:p>
            <w:pPr>
              <w:pStyle w:val="TableContents"/>
              <w:bidi w:val="0"/>
              <w:spacing w:before="0" w:after="0"/>
              <w:jc w:val="right"/>
              <w:rPr/>
            </w:pPr>
            <w:hyperlink w:anchor="tICSA">
              <w:r>
                <w:rPr>
                  <w:rStyle w:val="InternetLink"/>
                  <w:caps/>
                  <w:color w:val="FF6A00"/>
                  <w:spacing w:val="-2"/>
                </w:rPr>
                <w:t>66</w:t>
              </w:r>
            </w:hyperlink>
            <w:r>
              <w:rPr>
                <w:caps/>
              </w:rPr>
              <w:t xml:space="preserve"> </w:t>
            </w:r>
          </w:p>
        </w:tc>
        <w:tc>
          <w:tcPr>
            <w:tcW w:w="109" w:type="dxa"/>
            <w:tcBorders>
              <w:bottom w:val="single" w:sz="2" w:space="0" w:color="999999"/>
            </w:tcBorders>
            <w:shd w:fill="CCEEFF" w:val="clear"/>
            <w:vAlign w:val="center"/>
          </w:tcPr>
          <w:p>
            <w:pPr>
              <w:pStyle w:val="TableContents"/>
              <w:bidi w:val="0"/>
              <w:spacing w:before="0" w:after="283"/>
              <w:jc w:val="left"/>
              <w:rPr/>
            </w:pPr>
            <w:r>
              <w:rPr/>
              <w:t>​</w:t>
            </w:r>
          </w:p>
        </w:tc>
        <w:tc>
          <w:tcPr>
            <w:tcW w:w="155" w:type="dxa"/>
            <w:tcBorders>
              <w:bottom w:val="single" w:sz="2" w:space="0" w:color="999999"/>
            </w:tcBorders>
            <w:shd w:fill="CCEEFF" w:val="clear"/>
            <w:vAlign w:val="center"/>
          </w:tcPr>
          <w:p>
            <w:pPr>
              <w:pStyle w:val="TableContents"/>
              <w:bidi w:val="0"/>
              <w:spacing w:before="0" w:after="283"/>
              <w:jc w:val="left"/>
              <w:rPr/>
            </w:pPr>
            <w:r>
              <w:rPr/>
              <w:t>​</w:t>
            </w:r>
          </w:p>
        </w:tc>
      </w:tr>
    </w:tbl>
    <w:tbl>
      <w:tblPr>
        <w:tblW w:w="9065" w:type="dxa"/>
        <w:jc w:val="left"/>
        <w:tblInd w:w="1140" w:type="dxa"/>
        <w:tblLayout w:type="fixed"/>
        <w:tblCellMar>
          <w:top w:w="0" w:type="dxa"/>
          <w:left w:w="0" w:type="dxa"/>
          <w:bottom w:w="0" w:type="dxa"/>
          <w:right w:w="0" w:type="dxa"/>
        </w:tblCellMar>
      </w:tblPr>
      <w:tblGrid>
        <w:gridCol w:w="124"/>
        <w:gridCol w:w="109"/>
        <w:gridCol w:w="8569"/>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569" w:type="dxa"/>
            <w:tcBorders/>
            <w:vAlign w:val="center"/>
          </w:tcPr>
          <w:p>
            <w:pPr>
              <w:pStyle w:val="TableContents"/>
              <w:bidi w:val="0"/>
              <w:spacing w:before="0" w:after="283"/>
              <w:jc w:val="left"/>
              <w:rPr/>
            </w:pPr>
            <w:r>
              <w:rPr>
                <w:spacing w:val="-2"/>
              </w:rPr>
              <w:t>Important notice:</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569" w:type="dxa"/>
            <w:tcBorders/>
            <w:vAlign w:val="center"/>
          </w:tcPr>
          <w:p>
            <w:pPr>
              <w:pStyle w:val="TableContents"/>
              <w:bidi w:val="0"/>
              <w:spacing w:before="0" w:after="283"/>
              <w:jc w:val="left"/>
              <w:rPr/>
            </w:pPr>
            <w:r>
              <w:rPr>
                <w:spacing w:val="-2"/>
              </w:rPr>
              <w:t xml:space="preserve">The Board of Directors (the </w:t>
            </w:r>
            <w:r>
              <w:rPr/>
              <w:t>“</w:t>
            </w:r>
            <w:r>
              <w:rPr>
                <w:i/>
              </w:rPr>
              <w:t>Board of Directors”</w:t>
            </w:r>
            <w:r>
              <w:rPr>
                <w:spacing w:val="-2"/>
              </w:rPr>
              <w:t xml:space="preserve"> or </w:t>
            </w:r>
            <w:r>
              <w:rPr/>
              <w:t>“</w:t>
            </w:r>
            <w:r>
              <w:rPr>
                <w:i/>
              </w:rPr>
              <w:t>Board”</w:t>
            </w:r>
            <w:r>
              <w:rPr>
                <w:spacing w:val="-2"/>
              </w:rPr>
              <w:t>) of Generac Holdings Inc. (</w:t>
            </w:r>
            <w:r>
              <w:rPr/>
              <w:t>“</w:t>
            </w:r>
            <w:r>
              <w:rPr>
                <w:i/>
              </w:rPr>
              <w:t>Generac,” “we,” “us,” “our,”</w:t>
            </w:r>
            <w:r>
              <w:rPr>
                <w:spacing w:val="-2"/>
              </w:rPr>
              <w:t xml:space="preserve"> or the </w:t>
            </w:r>
            <w:r>
              <w:rPr/>
              <w:t>“</w:t>
            </w:r>
            <w:r>
              <w:rPr>
                <w:i/>
              </w:rPr>
              <w:t>Company”</w:t>
            </w:r>
            <w:r>
              <w:rPr>
                <w:spacing w:val="-2"/>
              </w:rPr>
              <w:t xml:space="preserve">) is soliciting your proxy to be voted at the Annual Meeting of Stockholders to be held on Thursday, June 11, 2026.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FF6A00"/>
            </w:tcBorders>
            <w:tcMar>
              <w:bottom w:w="28" w:type="dxa"/>
            </w:tcMar>
            <w:vAlign w:val="center"/>
          </w:tcPr>
          <w:p>
            <w:pPr>
              <w:pStyle w:val="TableContents"/>
              <w:bidi w:val="0"/>
              <w:spacing w:before="0" w:after="283"/>
              <w:jc w:val="left"/>
              <w:rPr/>
            </w:pPr>
            <w:r>
              <w:rPr/>
              <w:t>​</w:t>
            </w:r>
          </w:p>
        </w:tc>
        <w:tc>
          <w:tcPr>
            <w:tcW w:w="8569" w:type="dxa"/>
            <w:tcBorders>
              <w:bottom w:val="single" w:sz="8" w:space="0" w:color="FF6A00"/>
            </w:tcBorders>
            <w:tcMar>
              <w:bottom w:w="120" w:type="dxa"/>
            </w:tcMar>
            <w:vAlign w:val="center"/>
          </w:tcPr>
          <w:p>
            <w:pPr>
              <w:pStyle w:val="TableContents"/>
              <w:bidi w:val="0"/>
              <w:spacing w:before="0" w:after="283"/>
              <w:jc w:val="left"/>
              <w:rPr/>
            </w:pPr>
            <w:r>
              <w:rPr>
                <w:spacing w:val="-2"/>
              </w:rPr>
              <w:t>Instead of mailing a printed copy of our proxy materials to each stockholder, we furnish proxy materials to our stockholders over the internet by mailing a Notice of Internet Availability of Proxy Materials (“</w:t>
            </w:r>
            <w:r>
              <w:rPr>
                <w:i/>
              </w:rPr>
              <w:t>Notice of Internet Availability</w:t>
            </w:r>
            <w:r>
              <w:rPr>
                <w:spacing w:val="-2"/>
              </w:rPr>
              <w:t>”), unless otherwise instructed by the stockholder. The Notice of Internet Availability includes information on where to view all proxy materials online, as well as voting instructions. If you received a Notice of Internet Availability and you would like to receive a printed copy of our proxy materials, you should follow the instructions for requesting such materials included in the Notice of Internet Availability. The Notice of Internet Availability was first mailed on or about April 29, 2026 to all stockholders of record as of the record date for the annual meeting, which was the close of business on April 16, 2026.</w:t>
            </w:r>
            <w:r>
              <w:rPr/>
              <w:t xml:space="preserve"> </w:t>
            </w:r>
          </w:p>
        </w:tc>
        <w:tc>
          <w:tcPr>
            <w:tcW w:w="109" w:type="dxa"/>
            <w:tcBorders>
              <w:bottom w:val="single" w:sz="8" w:space="0" w:color="FF6A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30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765" w:type="dxa"/>
        <w:jc w:val="left"/>
        <w:tblInd w:w="1140" w:type="dxa"/>
        <w:tblLayout w:type="fixed"/>
        <w:tblCellMar>
          <w:top w:w="0" w:type="dxa"/>
          <w:left w:w="0" w:type="dxa"/>
          <w:bottom w:w="0" w:type="dxa"/>
          <w:right w:w="0" w:type="dxa"/>
        </w:tblCellMar>
      </w:tblPr>
      <w:tblGrid>
        <w:gridCol w:w="124"/>
        <w:gridCol w:w="1706"/>
        <w:gridCol w:w="109"/>
        <w:gridCol w:w="109"/>
        <w:gridCol w:w="109"/>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3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0" descr=""/>
                          <pic:cNvPicPr>
                            <a:picLocks noChangeAspect="1" noChangeArrowheads="1"/>
                          </pic:cNvPicPr>
                        </pic:nvPicPr>
                        <pic:blipFill>
                          <a:blip r:embed="rId19"/>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tcMar>
              <w:top w:w="28" w:type="dxa"/>
              <w:left w:w="28" w:type="dxa"/>
              <w:bottom w:w="28" w:type="dxa"/>
              <w:right w:w="28" w:type="dxa"/>
            </w:tcMar>
            <w:vAlign w:val="center"/>
          </w:tcPr>
          <w:p>
            <w:pPr>
              <w:pStyle w:val="TableContents"/>
              <w:bidi w:val="0"/>
              <w:spacing w:before="0" w:after="283"/>
              <w:jc w:val="center"/>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pPr>
            <w:r>
              <w:rPr>
                <w:spacing w:val="-2"/>
              </w:rPr>
              <w:t>2026 Proxy Statement</w:t>
            </w:r>
            <w:r>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SUIN"/>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520" w:before="740" w:after="283"/>
        <w:ind w:left="1140" w:right="0" w:hanging="0"/>
        <w:jc w:val="left"/>
        <w:rPr>
          <w:rFonts w:ascii="Arial;Helvetica;sans-serif" w:hAnsi="Arial;Helvetica;sans-serif"/>
          <w:b w:val="false"/>
          <w:i w:val="false"/>
          <w:caps w:val="false"/>
          <w:smallCaps w:val="false"/>
          <w:color w:val="000000"/>
          <w:sz w:val="48"/>
        </w:rPr>
      </w:pPr>
      <w:r>
        <w:rPr>
          <w:rFonts w:ascii="Arial;Helvetica;sans-serif" w:hAnsi="Arial;Helvetica;sans-serif"/>
          <w:b w:val="false"/>
          <w:i w:val="false"/>
          <w:caps w:val="false"/>
          <w:smallCaps w:val="false"/>
          <w:color w:val="000000"/>
          <w:spacing w:val="-5"/>
          <w:sz w:val="48"/>
        </w:rPr>
        <w:t>Summary Information</w:t>
      </w:r>
      <w:r>
        <w:rPr>
          <w:rFonts w:ascii="Arial;Helvetica;sans-serif" w:hAnsi="Arial;Helvetica;sans-serif"/>
          <w:b w:val="false"/>
          <w:i w:val="false"/>
          <w:caps w:val="false"/>
          <w:smallCaps w:val="false"/>
          <w:color w:val="000000"/>
          <w:spacing w:val="10"/>
          <w:sz w:val="48"/>
        </w:rPr>
        <w:t xml:space="preserve"> </w:t>
      </w:r>
    </w:p>
    <w:p>
      <w:pPr>
        <w:pStyle w:val="TextBody"/>
        <w:bidi w:val="0"/>
        <w:spacing w:lineRule="atLeast" w:line="400" w:before="40" w:after="283"/>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Our Corporate Strategy</w:t>
      </w:r>
      <w:r>
        <w:rPr>
          <w:rFonts w:ascii="Arial;Helvetica;sans-serif" w:hAnsi="Arial;Helvetica;sans-serif"/>
          <w:b/>
          <w:i w:val="false"/>
          <w:caps w:val="false"/>
          <w:smallCaps w:val="false"/>
          <w:color w:val="000000"/>
          <w:spacing w:val="7"/>
          <w:sz w:val="36"/>
        </w:rPr>
        <w:t xml:space="preserve"> </w:t>
      </w:r>
    </w:p>
    <w:p>
      <w:pPr>
        <w:pStyle w:val="TextBody"/>
        <w:bidi w:val="0"/>
        <w:spacing w:before="160" w:after="283"/>
        <w:jc w:val="center"/>
        <w:rPr>
          <w:caps w:val="false"/>
          <w:smallCaps w:val="false"/>
          <w:color w:val="000000"/>
        </w:rPr>
      </w:pPr>
      <w:r>
        <w:rPr>
          <w:caps w:val="false"/>
          <w:smallCaps w:val="false"/>
          <w:color w:val="000000"/>
        </w:rPr>
        <w:drawing>
          <wp:inline distT="0" distB="0" distL="0" distR="0">
            <wp:extent cx="4714875" cy="2105025"/>
            <wp:effectExtent l="0" t="0" r="0" b="0"/>
            <wp:docPr id="3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1" descr=""/>
                    <pic:cNvPicPr>
                      <a:picLocks noChangeAspect="1" noChangeArrowheads="1"/>
                    </pic:cNvPicPr>
                  </pic:nvPicPr>
                  <pic:blipFill>
                    <a:blip r:embed="rId20"/>
                    <a:stretch>
                      <a:fillRect/>
                    </a:stretch>
                  </pic:blipFill>
                  <pic:spPr bwMode="auto">
                    <a:xfrm>
                      <a:off x="0" y="0"/>
                      <a:ext cx="4714875" cy="2105025"/>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358" w:after="283"/>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Generac By The Numbers</w:t>
      </w:r>
      <w:r>
        <w:rPr>
          <w:rFonts w:ascii="Arial;Helvetica;sans-serif" w:hAnsi="Arial;Helvetica;sans-serif"/>
          <w:b/>
          <w:i w:val="false"/>
          <w:caps w:val="false"/>
          <w:smallCaps w:val="false"/>
          <w:color w:val="000000"/>
          <w:spacing w:val="7"/>
          <w:sz w:val="36"/>
        </w:rPr>
        <w:t xml:space="preserve"> </w:t>
      </w:r>
    </w:p>
    <w:p>
      <w:pPr>
        <w:pStyle w:val="TextBody"/>
        <w:bidi w:val="0"/>
        <w:spacing w:before="160" w:after="283"/>
        <w:jc w:val="center"/>
        <w:rPr>
          <w:caps w:val="false"/>
          <w:smallCaps w:val="false"/>
          <w:color w:val="000000"/>
        </w:rPr>
      </w:pPr>
      <w:r>
        <w:rPr>
          <w:caps w:val="false"/>
          <w:smallCaps w:val="false"/>
          <w:color w:val="000000"/>
        </w:rPr>
        <w:drawing>
          <wp:inline distT="0" distB="0" distL="0" distR="0">
            <wp:extent cx="4686300" cy="4229100"/>
            <wp:effectExtent l="0" t="0" r="0" b="0"/>
            <wp:docPr id="3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2" descr=""/>
                    <pic:cNvPicPr>
                      <a:picLocks noChangeAspect="1" noChangeArrowheads="1"/>
                    </pic:cNvPicPr>
                  </pic:nvPicPr>
                  <pic:blipFill>
                    <a:blip r:embed="rId21"/>
                    <a:stretch>
                      <a:fillRect/>
                    </a:stretch>
                  </pic:blipFill>
                  <pic:spPr bwMode="auto">
                    <a:xfrm>
                      <a:off x="0" y="0"/>
                      <a:ext cx="4686300" cy="4229100"/>
                    </a:xfrm>
                    <a:prstGeom prst="rect">
                      <a:avLst/>
                    </a:prstGeom>
                  </pic:spPr>
                </pic:pic>
              </a:graphicData>
            </a:graphic>
          </wp:inline>
        </w:drawing>
      </w:r>
      <w:r>
        <w:rPr>
          <w:caps w:val="false"/>
          <w:smallCaps w:val="false"/>
          <w:color w:val="000000"/>
        </w:rPr>
        <w:t xml:space="preserve"> </w:t>
      </w:r>
    </w:p>
    <w:p>
      <w:pPr>
        <w:pStyle w:val="TextBody"/>
        <w:bidi w:val="0"/>
        <w:spacing w:lineRule="atLeast" w:line="190" w:before="238" w:after="283"/>
        <w:jc w:val="left"/>
        <w:rPr>
          <w:rFonts w:ascii="Arial;Helvetica;sans-serif" w:hAnsi="Arial;Helvetica;sans-serif"/>
          <w:b w:val="false"/>
          <w:i w:val="false"/>
          <w:caps w:val="false"/>
          <w:smallCaps w:val="false"/>
          <w:color w:val="000000"/>
          <w:spacing w:val="-2"/>
          <w:sz w:val="16"/>
        </w:rPr>
      </w:pPr>
      <w:r>
        <w:rPr>
          <w:rFonts w:ascii="Arial;Helvetica;sans-serif" w:hAnsi="Arial;Helvetica;sans-serif"/>
          <w:b w:val="false"/>
          <w:i w:val="false"/>
          <w:caps w:val="false"/>
          <w:smallCaps w:val="false"/>
          <w:color w:val="000000"/>
          <w:spacing w:val="-2"/>
          <w:sz w:val="16"/>
        </w:rPr>
        <w:t xml:space="preserve">* A full discussion of our use of non-U.S. generally accepted accounting principles measures to provide a baseline for evaluating and comparing our operating results, and a reconciliation of Adjusted EBITDA to net income can be found in Item 7 of the Company’s Annual Report on Form 10-K for the fiscal year ended December 31, 2025. </w:t>
      </w:r>
    </w:p>
    <w:p>
      <w:pPr>
        <w:pStyle w:val="TextBody"/>
        <w:bidi w:val="0"/>
        <w:spacing w:lineRule="atLeast" w:line="240" w:before="78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42" w:type="dxa"/>
        <w:jc w:val="left"/>
        <w:tblInd w:w="1140" w:type="dxa"/>
        <w:tblLayout w:type="fixed"/>
        <w:tblCellMar>
          <w:top w:w="0" w:type="dxa"/>
          <w:left w:w="0" w:type="dxa"/>
          <w:bottom w:w="0" w:type="dxa"/>
          <w:right w:w="0" w:type="dxa"/>
        </w:tblCellMar>
      </w:tblPr>
      <w:tblGrid>
        <w:gridCol w:w="124"/>
        <w:gridCol w:w="1706"/>
        <w:gridCol w:w="109"/>
        <w:gridCol w:w="109"/>
        <w:gridCol w:w="286"/>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3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3" descr=""/>
                          <pic:cNvPicPr>
                            <a:picLocks noChangeAspect="1" noChangeArrowheads="1"/>
                          </pic:cNvPicPr>
                        </pic:nvPicPr>
                        <pic:blipFill>
                          <a:blip r:embed="rId22"/>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6A00"/>
          <w:sz w:val="16"/>
        </w:rPr>
        <w:t xml:space="preserve"> </w:t>
      </w:r>
    </w:p>
    <w:p>
      <w:pPr>
        <w:pStyle w:val="TextBody"/>
        <w:bidi w:val="0"/>
        <w:spacing w:lineRule="atLeast" w:line="260" w:before="100" w:after="283"/>
        <w:ind w:left="1140" w:right="0" w:hanging="0"/>
        <w:jc w:val="center"/>
        <w:rPr>
          <w:rFonts w:ascii="Arial;Helvetica;sans-serif" w:hAnsi="Arial;Helvetica;sans-serif"/>
          <w:b w:val="false"/>
          <w:i w:val="false"/>
          <w:caps w:val="false"/>
          <w:smallCaps w:val="false"/>
          <w:color w:val="FF6A00"/>
          <w:sz w:val="22"/>
        </w:rPr>
      </w:pPr>
      <w:r>
        <w:rPr>
          <w:rFonts w:ascii="Arial;Helvetica;sans-serif" w:hAnsi="Arial;Helvetica;sans-serif"/>
          <w:b w:val="false"/>
          <w:i w:val="false"/>
          <w:caps/>
          <w:color w:val="FF6A00"/>
          <w:spacing w:val="-2"/>
          <w:sz w:val="22"/>
        </w:rPr>
        <w:t>Summary Information</w:t>
      </w:r>
      <w:r>
        <w:rPr>
          <w:rFonts w:ascii="Arial;Helvetica;sans-serif" w:hAnsi="Arial;Helvetica;sans-serif"/>
          <w:b w:val="false"/>
          <w:i w:val="false"/>
          <w:caps w:val="false"/>
          <w:smallCaps w:val="false"/>
          <w:color w:val="FF6A00"/>
          <w:spacing w:val="-2"/>
          <w:sz w:val="22"/>
        </w:rPr>
        <w:t xml:space="preserve"> </w:t>
      </w:r>
    </w:p>
    <w:tbl>
      <w:tblPr>
        <w:tblW w:w="7066" w:type="dxa"/>
        <w:jc w:val="left"/>
        <w:tblInd w:w="1140" w:type="dxa"/>
        <w:tblLayout w:type="fixed"/>
        <w:tblCellMar>
          <w:top w:w="0" w:type="dxa"/>
          <w:left w:w="0" w:type="dxa"/>
          <w:bottom w:w="0" w:type="dxa"/>
          <w:right w:w="0" w:type="dxa"/>
        </w:tblCellMar>
      </w:tblPr>
      <w:tblGrid>
        <w:gridCol w:w="3038"/>
        <w:gridCol w:w="109"/>
        <w:gridCol w:w="109"/>
        <w:gridCol w:w="1088"/>
        <w:gridCol w:w="109"/>
        <w:gridCol w:w="109"/>
        <w:gridCol w:w="1001"/>
        <w:gridCol w:w="109"/>
        <w:gridCol w:w="109"/>
        <w:gridCol w:w="1131"/>
        <w:gridCol w:w="154"/>
      </w:tblGrid>
      <w:tr>
        <w:trPr/>
        <w:tc>
          <w:tcPr>
            <w:tcW w:w="4344" w:type="dxa"/>
            <w:gridSpan w:val="4"/>
            <w:tcBorders/>
            <w:vAlign w:val="center"/>
          </w:tcPr>
          <w:p>
            <w:pPr>
              <w:pStyle w:val="TableContents"/>
              <w:bidi w:val="0"/>
              <w:spacing w:before="0" w:after="0"/>
              <w:jc w:val="left"/>
              <w:rPr>
                <w:spacing w:val="-4"/>
              </w:rPr>
            </w:pPr>
            <w:r>
              <w:rPr>
                <w:spacing w:val="-4"/>
              </w:rPr>
              <w:t xml:space="preserve">Proposals at the Annual Meeting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50" w:type="dxa"/>
            <w:gridSpan w:val="4"/>
            <w:tcBorders/>
            <w:vAlign w:val="center"/>
          </w:tcPr>
          <w:p>
            <w:pPr>
              <w:pStyle w:val="TableContents"/>
              <w:bidi w:val="0"/>
              <w:spacing w:before="0" w:after="0"/>
              <w:jc w:val="center"/>
              <w:rPr>
                <w:spacing w:val="-2"/>
                <w:sz w:val="20"/>
              </w:rPr>
            </w:pPr>
            <w:r>
              <w:rPr>
                <w:spacing w:val="-2"/>
                <w:sz w:val="20"/>
              </w:rPr>
              <w:t xml:space="preserve">Board Recommendations: </w:t>
            </w:r>
          </w:p>
        </w:tc>
        <w:tc>
          <w:tcPr>
            <w:tcW w:w="154" w:type="dxa"/>
            <w:tcBorders/>
            <w:vAlign w:val="center"/>
          </w:tcPr>
          <w:p>
            <w:pPr>
              <w:pStyle w:val="TableContents"/>
              <w:bidi w:val="0"/>
              <w:spacing w:before="0" w:after="283"/>
              <w:jc w:val="left"/>
              <w:rPr/>
            </w:pPr>
            <w:r>
              <w:rPr/>
              <w:t>​</w:t>
            </w:r>
          </w:p>
        </w:tc>
      </w:tr>
      <w:tr>
        <w:trPr/>
        <w:tc>
          <w:tcPr>
            <w:tcW w:w="3038" w:type="dxa"/>
            <w:tcBorders>
              <w:bottom w:val="single" w:sz="2" w:space="0" w:color="FF6A00"/>
            </w:tcBorders>
            <w:tcMar>
              <w:bottom w:w="140" w:type="dxa"/>
            </w:tcMar>
            <w:vAlign w:val="center"/>
          </w:tcPr>
          <w:p>
            <w:pPr>
              <w:pStyle w:val="TableContents"/>
              <w:bidi w:val="0"/>
              <w:spacing w:lineRule="atLeast" w:line="240" w:before="0" w:after="0"/>
              <w:jc w:val="left"/>
              <w:rPr>
                <w:b/>
                <w:color w:val="FF6A00"/>
              </w:rPr>
            </w:pPr>
            <w:r>
              <w:rPr>
                <w:b/>
                <w:color w:val="FF6A00"/>
                <w:spacing w:val="-2"/>
              </w:rPr>
              <w:t xml:space="preserve">Proposal 1: Election of </w:t>
              <w:br/>
              <w:t>Class II Directors</w:t>
            </w:r>
            <w:r>
              <w:rPr>
                <w:b/>
                <w:color w:val="FF6A00"/>
              </w:rPr>
              <w:t xml:space="preserve"> </w:t>
            </w:r>
          </w:p>
          <w:p>
            <w:pPr>
              <w:pStyle w:val="TableContents"/>
              <w:bidi w:val="0"/>
              <w:spacing w:lineRule="atLeast" w:line="240" w:before="120" w:after="283"/>
              <w:jc w:val="left"/>
              <w:rPr>
                <w:spacing w:val="-2"/>
              </w:rPr>
            </w:pPr>
            <w:r>
              <w:rPr>
                <w:spacing w:val="-2"/>
              </w:rPr>
              <w:t xml:space="preserve">Marcia J. Avedon </w:t>
              <w:br/>
              <w:t xml:space="preserve">Bennet J. Morgan </w:t>
              <w:br/>
              <w:t xml:space="preserve">Dominick P. Zarcone </w:t>
            </w:r>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088" w:type="dxa"/>
            <w:tcBorders>
              <w:bottom w:val="single" w:sz="2" w:space="0" w:color="FF6A00"/>
            </w:tcBorders>
            <w:tcMar>
              <w:bottom w:w="140" w:type="dxa"/>
            </w:tcMar>
            <w:vAlign w:val="center"/>
          </w:tcPr>
          <w:p>
            <w:pPr>
              <w:pStyle w:val="TableContents"/>
              <w:bidi w:val="0"/>
              <w:spacing w:lineRule="atLeast" w:line="240" w:before="0" w:after="0"/>
              <w:jc w:val="center"/>
              <w:rPr/>
            </w:pPr>
            <w:r>
              <w:rPr>
                <w:color w:val="FF6A00"/>
                <w:spacing w:val="-2"/>
              </w:rPr>
              <w:t xml:space="preserve">Pages </w:t>
            </w:r>
            <w:hyperlink w:anchor="tP1EO">
              <w:r>
                <w:rPr>
                  <w:rStyle w:val="InternetLink"/>
                  <w:color w:val="000080"/>
                  <w:spacing w:val="-2"/>
                </w:rPr>
                <w:t>4</w:t>
              </w:r>
            </w:hyperlink>
            <w:r>
              <w:rPr>
                <w:color w:val="FF6A00"/>
                <w:spacing w:val="-2"/>
              </w:rPr>
              <w:t>-</w:t>
            </w:r>
            <w:hyperlink w:anchor="tNAM2">
              <w:r>
                <w:rPr>
                  <w:rStyle w:val="InternetLink"/>
                  <w:color w:val="000080"/>
                  <w:spacing w:val="-2"/>
                </w:rPr>
                <w:t>8</w:t>
              </w:r>
            </w:hyperlink>
            <w:r>
              <w:rPr>
                <w:color w:val="FF6A00"/>
                <w:spacing w:val="-2"/>
              </w:rPr>
              <w:t xml:space="preserve"> </w:t>
            </w:r>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001" w:type="dxa"/>
            <w:tcBorders>
              <w:bottom w:val="single" w:sz="2" w:space="0" w:color="FF6A00"/>
            </w:tcBorders>
            <w:tcMar>
              <w:bottom w:w="28" w:type="dxa"/>
            </w:tcMar>
            <w:vAlign w:val="center"/>
          </w:tcPr>
          <w:p>
            <w:pPr>
              <w:pStyle w:val="TableContents"/>
              <w:bidi w:val="0"/>
              <w:spacing w:before="0" w:after="0"/>
              <w:jc w:val="center"/>
              <w:rPr/>
            </w:pPr>
            <w:r>
              <w:rPr/>
              <w:drawing>
                <wp:inline distT="0" distB="0" distL="0" distR="0">
                  <wp:extent cx="542925" cy="457200"/>
                  <wp:effectExtent l="0" t="0" r="0" b="0"/>
                  <wp:docPr id="3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4" descr=""/>
                          <pic:cNvPicPr>
                            <a:picLocks noChangeAspect="1" noChangeArrowheads="1"/>
                          </pic:cNvPicPr>
                        </pic:nvPicPr>
                        <pic:blipFill>
                          <a:blip r:embed="rId23"/>
                          <a:stretch>
                            <a:fillRect/>
                          </a:stretch>
                        </pic:blipFill>
                        <pic:spPr bwMode="auto">
                          <a:xfrm>
                            <a:off x="0" y="0"/>
                            <a:ext cx="542925" cy="457200"/>
                          </a:xfrm>
                          <a:prstGeom prst="rect">
                            <a:avLst/>
                          </a:prstGeom>
                        </pic:spPr>
                      </pic:pic>
                    </a:graphicData>
                  </a:graphic>
                </wp:inline>
              </w:drawing>
            </w:r>
            <w:r>
              <w:rPr/>
              <w:t xml:space="preserve"> </w:t>
            </w:r>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131" w:type="dxa"/>
            <w:tcBorders>
              <w:bottom w:val="single" w:sz="2" w:space="0" w:color="FF6A00"/>
            </w:tcBorders>
            <w:tcMar>
              <w:bottom w:w="140" w:type="dxa"/>
            </w:tcMar>
            <w:vAlign w:val="center"/>
          </w:tcPr>
          <w:p>
            <w:pPr>
              <w:pStyle w:val="TableContents"/>
              <w:bidi w:val="0"/>
              <w:spacing w:lineRule="atLeast" w:line="240" w:before="0" w:after="0"/>
              <w:jc w:val="left"/>
              <w:rPr>
                <w:color w:val="FF6A00"/>
                <w:spacing w:val="-2"/>
              </w:rPr>
            </w:pPr>
            <w:r>
              <w:rPr>
                <w:color w:val="FF6A00"/>
                <w:spacing w:val="-2"/>
              </w:rPr>
              <w:t xml:space="preserve">FOR each </w:t>
              <w:br/>
              <w:t xml:space="preserve">director </w:t>
              <w:br/>
              <w:t xml:space="preserve">nominee </w:t>
            </w:r>
          </w:p>
        </w:tc>
        <w:tc>
          <w:tcPr>
            <w:tcW w:w="154" w:type="dxa"/>
            <w:tcBorders>
              <w:bottom w:val="single" w:sz="2" w:space="0" w:color="FF6A00"/>
            </w:tcBorders>
            <w:tcMar>
              <w:bottom w:w="28" w:type="dxa"/>
            </w:tcMar>
            <w:vAlign w:val="center"/>
          </w:tcPr>
          <w:p>
            <w:pPr>
              <w:pStyle w:val="TableContents"/>
              <w:bidi w:val="0"/>
              <w:spacing w:before="0" w:after="283"/>
              <w:jc w:val="left"/>
              <w:rPr/>
            </w:pPr>
            <w:r>
              <w:rPr/>
              <w:t>​</w:t>
            </w:r>
          </w:p>
        </w:tc>
      </w:tr>
      <w:tr>
        <w:trPr/>
        <w:tc>
          <w:tcPr>
            <w:tcW w:w="3038" w:type="dxa"/>
            <w:tcBorders>
              <w:bottom w:val="single" w:sz="2" w:space="0" w:color="FF6A00"/>
            </w:tcBorders>
            <w:tcMar>
              <w:bottom w:w="140" w:type="dxa"/>
            </w:tcMar>
            <w:vAlign w:val="center"/>
          </w:tcPr>
          <w:p>
            <w:pPr>
              <w:pStyle w:val="TableContents"/>
              <w:bidi w:val="0"/>
              <w:spacing w:lineRule="atLeast" w:line="240" w:before="0" w:after="0"/>
              <w:jc w:val="left"/>
              <w:rPr>
                <w:b/>
                <w:color w:val="FF6A00"/>
              </w:rPr>
            </w:pPr>
            <w:r>
              <w:rPr>
                <w:b/>
                <w:color w:val="FF6A00"/>
                <w:spacing w:val="-2"/>
              </w:rPr>
              <w:t>Proposal 2:</w:t>
            </w:r>
            <w:r>
              <w:rPr>
                <w:b/>
                <w:color w:val="FF6A00"/>
              </w:rPr>
              <w:t xml:space="preserve"> </w:t>
            </w:r>
          </w:p>
          <w:p>
            <w:pPr>
              <w:pStyle w:val="TableContents"/>
              <w:bidi w:val="0"/>
              <w:spacing w:lineRule="atLeast" w:line="240" w:before="120" w:after="283"/>
              <w:jc w:val="left"/>
              <w:rPr>
                <w:spacing w:val="-2"/>
              </w:rPr>
            </w:pPr>
            <w:r>
              <w:rPr>
                <w:spacing w:val="-2"/>
              </w:rPr>
              <w:t xml:space="preserve">To ratify the selection of </w:t>
              <w:br/>
              <w:t xml:space="preserve">Deloitte &amp; Touche LLP as our </w:t>
              <w:br/>
              <w:t xml:space="preserve">independent registered public </w:t>
              <w:br/>
              <w:t xml:space="preserve">accounting firm for the year </w:t>
              <w:br/>
              <w:t xml:space="preserve">ending December 31, 2026 </w:t>
            </w:r>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088" w:type="dxa"/>
            <w:tcBorders>
              <w:bottom w:val="single" w:sz="2" w:space="0" w:color="FF6A00"/>
            </w:tcBorders>
            <w:tcMar>
              <w:bottom w:w="140" w:type="dxa"/>
            </w:tcMar>
            <w:vAlign w:val="center"/>
          </w:tcPr>
          <w:p>
            <w:pPr>
              <w:pStyle w:val="TableContents"/>
              <w:bidi w:val="0"/>
              <w:spacing w:lineRule="atLeast" w:line="240" w:before="0" w:after="0"/>
              <w:jc w:val="center"/>
              <w:rPr/>
            </w:pPr>
            <w:r>
              <w:rPr>
                <w:color w:val="FF6A00"/>
                <w:spacing w:val="-2"/>
              </w:rPr>
              <w:t>Page </w:t>
            </w:r>
            <w:hyperlink w:anchor="tP2RO">
              <w:r>
                <w:rPr>
                  <w:rStyle w:val="InternetLink"/>
                  <w:color w:val="000080"/>
                  <w:spacing w:val="-2"/>
                </w:rPr>
                <w:t>60</w:t>
              </w:r>
            </w:hyperlink>
            <w:r>
              <w:rPr>
                <w:color w:val="FF6A00"/>
                <w:spacing w:val="-2"/>
              </w:rPr>
              <w:t xml:space="preserve"> </w:t>
            </w:r>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001" w:type="dxa"/>
            <w:tcBorders>
              <w:bottom w:val="single" w:sz="2" w:space="0" w:color="FF6A00"/>
            </w:tcBorders>
            <w:tcMar>
              <w:bottom w:w="28" w:type="dxa"/>
            </w:tcMar>
            <w:vAlign w:val="center"/>
          </w:tcPr>
          <w:p>
            <w:pPr>
              <w:pStyle w:val="TableContents"/>
              <w:bidi w:val="0"/>
              <w:spacing w:before="0" w:after="0"/>
              <w:jc w:val="center"/>
              <w:rPr/>
            </w:pPr>
            <w:r>
              <w:rPr/>
              <w:drawing>
                <wp:inline distT="0" distB="0" distL="0" distR="0">
                  <wp:extent cx="542925" cy="457200"/>
                  <wp:effectExtent l="0" t="0" r="0" b="0"/>
                  <wp:docPr id="3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5" descr=""/>
                          <pic:cNvPicPr>
                            <a:picLocks noChangeAspect="1" noChangeArrowheads="1"/>
                          </pic:cNvPicPr>
                        </pic:nvPicPr>
                        <pic:blipFill>
                          <a:blip r:embed="rId24"/>
                          <a:stretch>
                            <a:fillRect/>
                          </a:stretch>
                        </pic:blipFill>
                        <pic:spPr bwMode="auto">
                          <a:xfrm>
                            <a:off x="0" y="0"/>
                            <a:ext cx="542925" cy="457200"/>
                          </a:xfrm>
                          <a:prstGeom prst="rect">
                            <a:avLst/>
                          </a:prstGeom>
                        </pic:spPr>
                      </pic:pic>
                    </a:graphicData>
                  </a:graphic>
                </wp:inline>
              </w:drawing>
            </w:r>
            <w:r>
              <w:rPr/>
              <w:t xml:space="preserve"> </w:t>
            </w:r>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131" w:type="dxa"/>
            <w:tcBorders>
              <w:bottom w:val="single" w:sz="2" w:space="0" w:color="FF6A00"/>
            </w:tcBorders>
            <w:tcMar>
              <w:bottom w:w="140" w:type="dxa"/>
            </w:tcMar>
            <w:vAlign w:val="center"/>
          </w:tcPr>
          <w:p>
            <w:pPr>
              <w:pStyle w:val="TableContents"/>
              <w:bidi w:val="0"/>
              <w:spacing w:lineRule="atLeast" w:line="240" w:before="0" w:after="0"/>
              <w:jc w:val="left"/>
              <w:rPr>
                <w:color w:val="FF6A00"/>
                <w:spacing w:val="-2"/>
              </w:rPr>
            </w:pPr>
            <w:r>
              <w:rPr>
                <w:color w:val="FF6A00"/>
                <w:spacing w:val="-2"/>
              </w:rPr>
              <w:t xml:space="preserve">FOR </w:t>
            </w:r>
          </w:p>
        </w:tc>
        <w:tc>
          <w:tcPr>
            <w:tcW w:w="154" w:type="dxa"/>
            <w:tcBorders>
              <w:bottom w:val="single" w:sz="2" w:space="0" w:color="FF6A00"/>
            </w:tcBorders>
            <w:tcMar>
              <w:bottom w:w="28" w:type="dxa"/>
            </w:tcMar>
            <w:vAlign w:val="center"/>
          </w:tcPr>
          <w:p>
            <w:pPr>
              <w:pStyle w:val="TableContents"/>
              <w:bidi w:val="0"/>
              <w:spacing w:before="0" w:after="283"/>
              <w:jc w:val="left"/>
              <w:rPr/>
            </w:pPr>
            <w:r>
              <w:rPr/>
              <w:t>​</w:t>
            </w:r>
          </w:p>
        </w:tc>
      </w:tr>
      <w:tr>
        <w:trPr/>
        <w:tc>
          <w:tcPr>
            <w:tcW w:w="3038" w:type="dxa"/>
            <w:tcBorders>
              <w:bottom w:val="single" w:sz="2" w:space="0" w:color="FF6A00"/>
            </w:tcBorders>
            <w:tcMar>
              <w:bottom w:w="140" w:type="dxa"/>
            </w:tcMar>
            <w:vAlign w:val="center"/>
          </w:tcPr>
          <w:p>
            <w:pPr>
              <w:pStyle w:val="TableContents"/>
              <w:bidi w:val="0"/>
              <w:spacing w:lineRule="atLeast" w:line="240" w:before="0" w:after="0"/>
              <w:jc w:val="left"/>
              <w:rPr>
                <w:b/>
                <w:color w:val="FF6A00"/>
              </w:rPr>
            </w:pPr>
            <w:r>
              <w:rPr>
                <w:b/>
                <w:color w:val="FF6A00"/>
                <w:spacing w:val="-2"/>
              </w:rPr>
              <w:t>Proposal 3:</w:t>
            </w:r>
            <w:r>
              <w:rPr>
                <w:b/>
                <w:color w:val="FF6A00"/>
              </w:rPr>
              <w:t xml:space="preserve"> </w:t>
            </w:r>
          </w:p>
          <w:p>
            <w:pPr>
              <w:pStyle w:val="TableContents"/>
              <w:bidi w:val="0"/>
              <w:spacing w:lineRule="atLeast" w:line="240" w:before="120" w:after="283"/>
              <w:jc w:val="left"/>
              <w:rPr>
                <w:spacing w:val="-2"/>
              </w:rPr>
            </w:pPr>
            <w:r>
              <w:rPr>
                <w:spacing w:val="-2"/>
              </w:rPr>
              <w:t xml:space="preserve">To approve, on an advisory, </w:t>
              <w:br/>
              <w:t xml:space="preserve">non-binding basis, </w:t>
              <w:br/>
              <w:t xml:space="preserve">the compensation of </w:t>
              <w:br/>
              <w:t xml:space="preserve">our executive officers </w:t>
            </w:r>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088" w:type="dxa"/>
            <w:tcBorders>
              <w:bottom w:val="single" w:sz="2" w:space="0" w:color="FF6A00"/>
            </w:tcBorders>
            <w:tcMar>
              <w:bottom w:w="140" w:type="dxa"/>
            </w:tcMar>
            <w:vAlign w:val="center"/>
          </w:tcPr>
          <w:p>
            <w:pPr>
              <w:pStyle w:val="TableContents"/>
              <w:bidi w:val="0"/>
              <w:spacing w:lineRule="atLeast" w:line="240" w:before="0" w:after="0"/>
              <w:jc w:val="center"/>
              <w:rPr/>
            </w:pPr>
            <w:r>
              <w:rPr>
                <w:color w:val="FF6A00"/>
                <w:spacing w:val="-2"/>
              </w:rPr>
              <w:t xml:space="preserve">Page </w:t>
            </w:r>
            <w:hyperlink w:anchor="tP3AA">
              <w:r>
                <w:rPr>
                  <w:rStyle w:val="InternetLink"/>
                  <w:color w:val="000080"/>
                  <w:spacing w:val="-2"/>
                </w:rPr>
                <w:t>62</w:t>
              </w:r>
            </w:hyperlink>
            <w:r>
              <w:rPr>
                <w:color w:val="FF6A00"/>
                <w:spacing w:val="-2"/>
              </w:rPr>
              <w:t xml:space="preserve"> </w:t>
            </w:r>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001" w:type="dxa"/>
            <w:tcBorders>
              <w:bottom w:val="single" w:sz="2" w:space="0" w:color="FF6A00"/>
            </w:tcBorders>
            <w:tcMar>
              <w:bottom w:w="28" w:type="dxa"/>
            </w:tcMar>
            <w:vAlign w:val="center"/>
          </w:tcPr>
          <w:p>
            <w:pPr>
              <w:pStyle w:val="TableContents"/>
              <w:bidi w:val="0"/>
              <w:spacing w:before="0" w:after="0"/>
              <w:jc w:val="center"/>
              <w:rPr/>
            </w:pPr>
            <w:r>
              <w:rPr/>
              <w:drawing>
                <wp:inline distT="0" distB="0" distL="0" distR="0">
                  <wp:extent cx="542925" cy="457200"/>
                  <wp:effectExtent l="0" t="0" r="0" b="0"/>
                  <wp:docPr id="3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6" descr=""/>
                          <pic:cNvPicPr>
                            <a:picLocks noChangeAspect="1" noChangeArrowheads="1"/>
                          </pic:cNvPicPr>
                        </pic:nvPicPr>
                        <pic:blipFill>
                          <a:blip r:embed="rId25"/>
                          <a:stretch>
                            <a:fillRect/>
                          </a:stretch>
                        </pic:blipFill>
                        <pic:spPr bwMode="auto">
                          <a:xfrm>
                            <a:off x="0" y="0"/>
                            <a:ext cx="542925" cy="457200"/>
                          </a:xfrm>
                          <a:prstGeom prst="rect">
                            <a:avLst/>
                          </a:prstGeom>
                        </pic:spPr>
                      </pic:pic>
                    </a:graphicData>
                  </a:graphic>
                </wp:inline>
              </w:drawing>
            </w:r>
            <w:r>
              <w:rPr/>
              <w:t xml:space="preserve"> </w:t>
            </w:r>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09" w:type="dxa"/>
            <w:tcBorders>
              <w:bottom w:val="single" w:sz="2" w:space="0" w:color="FF6A00"/>
            </w:tcBorders>
            <w:tcMar>
              <w:bottom w:w="28" w:type="dxa"/>
            </w:tcMar>
            <w:vAlign w:val="center"/>
          </w:tcPr>
          <w:p>
            <w:pPr>
              <w:pStyle w:val="TableContents"/>
              <w:bidi w:val="0"/>
              <w:spacing w:before="0" w:after="283"/>
              <w:jc w:val="left"/>
              <w:rPr/>
            </w:pPr>
            <w:r>
              <w:rPr/>
              <w:t>​</w:t>
            </w:r>
          </w:p>
        </w:tc>
        <w:tc>
          <w:tcPr>
            <w:tcW w:w="1131" w:type="dxa"/>
            <w:tcBorders>
              <w:bottom w:val="single" w:sz="2" w:space="0" w:color="FF6A00"/>
            </w:tcBorders>
            <w:tcMar>
              <w:bottom w:w="140" w:type="dxa"/>
            </w:tcMar>
            <w:vAlign w:val="center"/>
          </w:tcPr>
          <w:p>
            <w:pPr>
              <w:pStyle w:val="TableContents"/>
              <w:bidi w:val="0"/>
              <w:spacing w:lineRule="atLeast" w:line="240" w:before="0" w:after="0"/>
              <w:jc w:val="left"/>
              <w:rPr>
                <w:color w:val="FF6A00"/>
              </w:rPr>
            </w:pPr>
            <w:r>
              <w:rPr>
                <w:color w:val="FF6A00"/>
                <w:spacing w:val="-2"/>
              </w:rPr>
              <w:t>FOR</w:t>
            </w:r>
            <w:r>
              <w:rPr>
                <w:color w:val="FF6A00"/>
              </w:rPr>
              <w:t xml:space="preserve"> </w:t>
            </w:r>
          </w:p>
        </w:tc>
        <w:tc>
          <w:tcPr>
            <w:tcW w:w="154" w:type="dxa"/>
            <w:tcBorders>
              <w:bottom w:val="single" w:sz="2" w:space="0" w:color="FF6A00"/>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42" w:type="dxa"/>
        <w:jc w:val="left"/>
        <w:tblInd w:w="1140" w:type="dxa"/>
        <w:tblLayout w:type="fixed"/>
        <w:tblCellMar>
          <w:top w:w="0" w:type="dxa"/>
          <w:left w:w="0" w:type="dxa"/>
          <w:bottom w:w="0" w:type="dxa"/>
          <w:right w:w="0" w:type="dxa"/>
        </w:tblCellMar>
      </w:tblPr>
      <w:tblGrid>
        <w:gridCol w:w="124"/>
        <w:gridCol w:w="1706"/>
        <w:gridCol w:w="109"/>
        <w:gridCol w:w="109"/>
        <w:gridCol w:w="286"/>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4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7" descr=""/>
                          <pic:cNvPicPr>
                            <a:picLocks noChangeAspect="1" noChangeArrowheads="1"/>
                          </pic:cNvPicPr>
                        </pic:nvPicPr>
                        <pic:blipFill>
                          <a:blip r:embed="rId26"/>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rFonts w:ascii="Arial;Helvetica;sans-serif" w:hAnsi="Arial;Helvetica;sans-serif"/>
          <w:b w:val="false"/>
          <w:i w:val="false"/>
          <w:caps w:val="false"/>
          <w:smallCaps w:val="false"/>
          <w:color w:val="FF6A00"/>
          <w:sz w:val="22"/>
        </w:rPr>
      </w:pPr>
      <w:r>
        <w:rPr>
          <w:rFonts w:ascii="Arial;Helvetica;sans-serif" w:hAnsi="Arial;Helvetica;sans-serif"/>
          <w:b w:val="false"/>
          <w:i w:val="false"/>
          <w:caps/>
          <w:color w:val="FF6A00"/>
          <w:spacing w:val="-2"/>
          <w:sz w:val="22"/>
        </w:rPr>
        <w:t>Summary Information</w:t>
      </w:r>
      <w:r>
        <w:rPr>
          <w:rFonts w:ascii="Arial;Helvetica;sans-serif" w:hAnsi="Arial;Helvetica;sans-serif"/>
          <w:b w:val="false"/>
          <w:i w:val="false"/>
          <w:caps w:val="false"/>
          <w:smallCaps w:val="false"/>
          <w:color w:val="FF6A00"/>
          <w:spacing w:val="-2"/>
          <w:sz w:val="22"/>
        </w:rPr>
        <w:t xml:space="preserve"> </w:t>
      </w:r>
    </w:p>
    <w:p>
      <w:pPr>
        <w:pStyle w:val="TextBody"/>
        <w:bidi w:val="0"/>
        <w:spacing w:lineRule="atLeast" w:line="400" w:before="480" w:after="283"/>
        <w:ind w:left="1140" w:right="0" w:hanging="0"/>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Our 2025 Business Highlights and Performance</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We had solid financial performance in 2025:</w:t>
      </w:r>
      <w:r>
        <w:rPr>
          <w:rFonts w:ascii="Arial;Helvetica;sans-serif" w:hAnsi="Arial;Helvetica;sans-serif"/>
          <w:b w:val="false"/>
          <w:i w:val="false"/>
          <w:caps w:val="false"/>
          <w:smallCaps w:val="false"/>
          <w:color w:val="000000"/>
          <w:spacing w:val="4"/>
          <w:sz w:val="22"/>
        </w:rPr>
        <w:t xml:space="preserve"> </w:t>
      </w:r>
    </w:p>
    <w:p>
      <w:pPr>
        <w:pStyle w:val="TextBody"/>
        <w:bidi w:val="0"/>
        <w:spacing w:before="158" w:after="283"/>
        <w:jc w:val="center"/>
        <w:rPr>
          <w:caps w:val="false"/>
          <w:smallCaps w:val="false"/>
          <w:color w:val="000000"/>
        </w:rPr>
      </w:pPr>
      <w:r>
        <w:rPr>
          <w:caps w:val="false"/>
          <w:smallCaps w:val="false"/>
          <w:color w:val="000000"/>
        </w:rPr>
        <w:drawing>
          <wp:inline distT="0" distB="0" distL="0" distR="0">
            <wp:extent cx="5038725" cy="2143125"/>
            <wp:effectExtent l="0" t="0" r="0" b="0"/>
            <wp:docPr id="4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8" descr=""/>
                    <pic:cNvPicPr>
                      <a:picLocks noChangeAspect="1" noChangeArrowheads="1"/>
                    </pic:cNvPicPr>
                  </pic:nvPicPr>
                  <pic:blipFill>
                    <a:blip r:embed="rId27"/>
                    <a:stretch>
                      <a:fillRect/>
                    </a:stretch>
                  </pic:blipFill>
                  <pic:spPr bwMode="auto">
                    <a:xfrm>
                      <a:off x="0" y="0"/>
                      <a:ext cx="5038725" cy="2143125"/>
                    </a:xfrm>
                    <a:prstGeom prst="rect">
                      <a:avLst/>
                    </a:prstGeom>
                  </pic:spPr>
                </pic:pic>
              </a:graphicData>
            </a:graphic>
          </wp:inline>
        </w:drawing>
      </w:r>
      <w:r>
        <w:rPr>
          <w:caps w:val="false"/>
          <w:smallCaps w:val="false"/>
          <w:color w:val="000000"/>
        </w:rPr>
        <w:t xml:space="preserve"> </w:t>
      </w:r>
    </w:p>
    <w:p>
      <w:pPr>
        <w:pStyle w:val="TextBody"/>
        <w:bidi w:val="0"/>
        <w:spacing w:lineRule="atLeast" w:line="190" w:before="238"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 A full discussion of our use of non-U.S. generally accepted accounting principles measures to provide a baseline for evaluating and comparing our operating results, and a reconciliation of Adjusted EBITDA to net income can be found in Item 7 of the Company’s Annual Report on Form 10-K for the fiscal year ended December 31, 2025.</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400" w:before="240" w:after="283"/>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Key Components and Design of the Executive Compensation Program</w:t>
      </w:r>
      <w:r>
        <w:rPr>
          <w:rFonts w:ascii="Arial;Helvetica;sans-serif" w:hAnsi="Arial;Helvetica;sans-serif"/>
          <w:b/>
          <w:i w:val="false"/>
          <w:caps w:val="false"/>
          <w:smallCaps w:val="false"/>
          <w:color w:val="000000"/>
          <w:spacing w:val="7"/>
          <w:sz w:val="36"/>
        </w:rPr>
        <w:t xml:space="preserve"> </w:t>
      </w:r>
    </w:p>
    <w:p>
      <w:pPr>
        <w:pStyle w:val="TextBody"/>
        <w:bidi w:val="0"/>
        <w:spacing w:before="160" w:after="283"/>
        <w:jc w:val="center"/>
        <w:rPr>
          <w:caps w:val="false"/>
          <w:smallCaps w:val="false"/>
          <w:color w:val="000000"/>
        </w:rPr>
      </w:pPr>
      <w:r>
        <w:rPr>
          <w:caps w:val="false"/>
          <w:smallCaps w:val="false"/>
          <w:color w:val="000000"/>
        </w:rPr>
        <w:drawing>
          <wp:inline distT="0" distB="0" distL="0" distR="0">
            <wp:extent cx="5172075" cy="2781300"/>
            <wp:effectExtent l="0" t="0" r="0" b="0"/>
            <wp:docPr id="4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9" descr=""/>
                    <pic:cNvPicPr>
                      <a:picLocks noChangeAspect="1" noChangeArrowheads="1"/>
                    </pic:cNvPicPr>
                  </pic:nvPicPr>
                  <pic:blipFill>
                    <a:blip r:embed="rId28"/>
                    <a:stretch>
                      <a:fillRect/>
                    </a:stretch>
                  </pic:blipFill>
                  <pic:spPr bwMode="auto">
                    <a:xfrm>
                      <a:off x="0" y="0"/>
                      <a:ext cx="5172075" cy="27813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42" w:type="dxa"/>
        <w:jc w:val="left"/>
        <w:tblInd w:w="1140" w:type="dxa"/>
        <w:tblLayout w:type="fixed"/>
        <w:tblCellMar>
          <w:top w:w="0" w:type="dxa"/>
          <w:left w:w="0" w:type="dxa"/>
          <w:bottom w:w="0" w:type="dxa"/>
          <w:right w:w="0" w:type="dxa"/>
        </w:tblCellMar>
      </w:tblPr>
      <w:tblGrid>
        <w:gridCol w:w="124"/>
        <w:gridCol w:w="1706"/>
        <w:gridCol w:w="109"/>
        <w:gridCol w:w="109"/>
        <w:gridCol w:w="286"/>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4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0" descr=""/>
                          <pic:cNvPicPr>
                            <a:picLocks noChangeAspect="1" noChangeArrowheads="1"/>
                          </pic:cNvPicPr>
                        </pic:nvPicPr>
                        <pic:blipFill>
                          <a:blip r:embed="rId29"/>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P1EO"/>
      <w:bookmarkEnd w:id="4"/>
      <w:r>
        <w:rPr>
          <w:rFonts w:ascii="calibri;arial;sans-serif" w:hAnsi="calibri;arial;sans-serif"/>
          <w:b w:val="false"/>
          <w:i w:val="false"/>
          <w:caps w:val="false"/>
          <w:smallCaps w:val="false"/>
          <w:color w:val="FF6A00"/>
          <w:sz w:val="16"/>
        </w:rPr>
        <w:t xml:space="preserve">​ </w:t>
      </w:r>
    </w:p>
    <w:p>
      <w:pPr>
        <w:pStyle w:val="TextBody"/>
        <w:bidi w:val="0"/>
        <w:spacing w:lineRule="atLeast" w:line="520" w:before="740" w:after="283"/>
        <w:ind w:left="1140" w:right="0" w:hanging="0"/>
        <w:jc w:val="left"/>
        <w:rPr>
          <w:rFonts w:ascii="Arial;Helvetica;sans-serif" w:hAnsi="Arial;Helvetica;sans-serif"/>
          <w:b w:val="false"/>
          <w:i w:val="false"/>
          <w:caps w:val="false"/>
          <w:smallCaps w:val="false"/>
          <w:color w:val="000000"/>
          <w:sz w:val="48"/>
        </w:rPr>
      </w:pPr>
      <w:r>
        <w:rPr>
          <w:rFonts w:ascii="Arial;Helvetica;sans-serif" w:hAnsi="Arial;Helvetica;sans-serif"/>
          <w:b w:val="false"/>
          <w:i w:val="false"/>
          <w:caps w:val="false"/>
          <w:smallCaps w:val="false"/>
          <w:color w:val="000000"/>
          <w:spacing w:val="-5"/>
          <w:sz w:val="48"/>
        </w:rPr>
        <w:t>Proposal 1 — Election of Class II Directors</w:t>
      </w:r>
      <w:r>
        <w:rPr>
          <w:rFonts w:ascii="Arial;Helvetica;sans-serif" w:hAnsi="Arial;Helvetica;sans-serif"/>
          <w:b w:val="false"/>
          <w:i w:val="false"/>
          <w:caps w:val="false"/>
          <w:smallCaps w:val="false"/>
          <w:color w:val="000000"/>
          <w:spacing w:val="10"/>
          <w:sz w:val="48"/>
        </w:rPr>
        <w:t xml:space="preserve"> </w:t>
      </w:r>
    </w:p>
    <w:p>
      <w:pPr>
        <w:pStyle w:val="TextBody"/>
        <w:bidi w:val="0"/>
        <w:spacing w:before="0" w:after="0"/>
        <w:jc w:val="left"/>
        <w:rPr>
          <w:caps w:val="false"/>
          <w:smallCaps w:val="false"/>
          <w:color w:val="FF6A00"/>
        </w:rPr>
      </w:pPr>
      <w:r>
        <w:rPr>
          <w:caps w:val="false"/>
          <w:smallCaps w:val="false"/>
          <w:color w:val="FF6A00"/>
        </w:rPr>
        <w:t>​</w:t>
      </w:r>
      <w:r>
        <mc:AlternateContent>
          <mc:Choice Requires="wps">
            <w:drawing>
              <wp:anchor behindDoc="0" distT="0" distB="0" distL="673100" distR="0" simplePos="0" locked="0" layoutInCell="1" allowOverlap="1" relativeHeight="135">
                <wp:simplePos x="0" y="0"/>
                <wp:positionH relativeFrom="column">
                  <wp:align>left</wp:align>
                </wp:positionH>
                <wp:positionV relativeFrom="line">
                  <wp:posOffset>635</wp:posOffset>
                </wp:positionV>
                <wp:extent cx="850900" cy="665480"/>
                <wp:effectExtent l="0" t="0" r="0" b="0"/>
                <wp:wrapSquare wrapText="right"/>
                <wp:docPr id="44" name="Frame16"/>
                <a:graphic xmlns:a="http://schemas.openxmlformats.org/drawingml/2006/main">
                  <a:graphicData uri="http://schemas.microsoft.com/office/word/2010/wordprocessingShape">
                    <wps:wsp>
                      <wps:cNvSpPr txBox="1"/>
                      <wps:spPr>
                        <a:xfrm>
                          <a:off x="0" y="0"/>
                          <a:ext cx="850900" cy="665480"/>
                        </a:xfrm>
                        <a:prstGeom prst="rect"/>
                        <a:solidFill>
                          <a:srgbClr val="FFFFFF"/>
                        </a:solidFill>
                      </wps:spPr>
                      <wps:txbx>
                        <w:txbxContent>
                          <w:tbl>
                            <w:tblPr>
                              <w:tblW w:w="1170" w:type="dxa"/>
                              <w:jc w:val="left"/>
                              <w:tblInd w:w="0" w:type="dxa"/>
                              <w:tblLayout w:type="fixed"/>
                              <w:tblCellMar>
                                <w:top w:w="0" w:type="dxa"/>
                                <w:left w:w="0" w:type="dxa"/>
                                <w:bottom w:w="0" w:type="dxa"/>
                                <w:right w:w="0" w:type="dxa"/>
                              </w:tblCellMar>
                            </w:tblPr>
                            <w:tblGrid>
                              <w:gridCol w:w="124"/>
                              <w:gridCol w:w="1046"/>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left"/>
                                    <w:rPr/>
                                  </w:pPr>
                                  <w:r>
                                    <w:rPr/>
                                    <w:drawing>
                                      <wp:inline distT="0" distB="0" distL="0" distR="0">
                                        <wp:extent cx="542925" cy="457200"/>
                                        <wp:effectExtent l="0" t="0" r="0" b="0"/>
                                        <wp:docPr id="4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1" descr=""/>
                                                <pic:cNvPicPr>
                                                  <a:picLocks noChangeAspect="1" noChangeArrowheads="1"/>
                                                </pic:cNvPicPr>
                                              </pic:nvPicPr>
                                              <pic:blipFill>
                                                <a:blip r:embed="rId30"/>
                                                <a:stretch>
                                                  <a:fillRect/>
                                                </a:stretch>
                                              </pic:blipFill>
                                              <pic:spPr bwMode="auto">
                                                <a:xfrm>
                                                  <a:off x="0" y="0"/>
                                                  <a:ext cx="542925" cy="457200"/>
                                                </a:xfrm>
                                                <a:prstGeom prst="rect">
                                                  <a:avLst/>
                                                </a:prstGeom>
                                              </pic:spPr>
                                            </pic:pic>
                                          </a:graphicData>
                                        </a:graphic>
                                      </wp:inline>
                                    </w:drawing>
                                  </w:r>
                                  <w:r>
                                    <w:rPr/>
                                    <w:t xml:space="preserve">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67pt;height:52.4pt;mso-wrap-distance-left:53pt;mso-wrap-distance-right:0pt;mso-wrap-distance-top:0pt;mso-wrap-distance-bottom:0pt;margin-top:0pt;mso-position-vertical:top;mso-position-vertical-relative:text;margin-left:53pt;mso-position-horizontal:left;mso-position-horizontal-relative:text">
                <v:textbox>
                  <w:txbxContent>
                    <w:tbl>
                      <w:tblPr>
                        <w:tblW w:w="1170" w:type="dxa"/>
                        <w:jc w:val="left"/>
                        <w:tblInd w:w="0" w:type="dxa"/>
                        <w:tblLayout w:type="fixed"/>
                        <w:tblCellMar>
                          <w:top w:w="0" w:type="dxa"/>
                          <w:left w:w="0" w:type="dxa"/>
                          <w:bottom w:w="0" w:type="dxa"/>
                          <w:right w:w="0" w:type="dxa"/>
                        </w:tblCellMar>
                      </w:tblPr>
                      <w:tblGrid>
                        <w:gridCol w:w="124"/>
                        <w:gridCol w:w="1046"/>
                      </w:tblGrid>
                      <w:tr>
                        <w:trPr/>
                        <w:tc>
                          <w:tcPr>
                            <w:tcW w:w="124" w:type="dxa"/>
                            <w:tcBorders/>
                            <w:vAlign w:val="center"/>
                          </w:tcPr>
                          <w:p>
                            <w:pPr>
                              <w:pStyle w:val="TableContents"/>
                              <w:bidi w:val="0"/>
                              <w:spacing w:before="0" w:after="283"/>
                              <w:jc w:val="left"/>
                              <w:rPr/>
                            </w:pPr>
                            <w:r>
                              <w:rPr/>
                              <w:t>​</w:t>
                            </w:r>
                          </w:p>
                        </w:tc>
                        <w:tc>
                          <w:tcPr>
                            <w:tcW w:w="1046" w:type="dxa"/>
                            <w:tcBorders/>
                            <w:vAlign w:val="center"/>
                          </w:tcPr>
                          <w:p>
                            <w:pPr>
                              <w:pStyle w:val="TableContents"/>
                              <w:bidi w:val="0"/>
                              <w:spacing w:before="0" w:after="0"/>
                              <w:jc w:val="left"/>
                              <w:rPr/>
                            </w:pPr>
                            <w:r>
                              <w:rPr/>
                              <w:drawing>
                                <wp:inline distT="0" distB="0" distL="0" distR="0">
                                  <wp:extent cx="542925" cy="457200"/>
                                  <wp:effectExtent l="0" t="0" r="0" b="0"/>
                                  <wp:docPr id="4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1" descr=""/>
                                          <pic:cNvPicPr>
                                            <a:picLocks noChangeAspect="1" noChangeArrowheads="1"/>
                                          </pic:cNvPicPr>
                                        </pic:nvPicPr>
                                        <pic:blipFill>
                                          <a:blip r:embed="rId31"/>
                                          <a:stretch>
                                            <a:fillRect/>
                                          </a:stretch>
                                        </pic:blipFill>
                                        <pic:spPr bwMode="auto">
                                          <a:xfrm>
                                            <a:off x="0" y="0"/>
                                            <a:ext cx="542925" cy="457200"/>
                                          </a:xfrm>
                                          <a:prstGeom prst="rect">
                                            <a:avLst/>
                                          </a:prstGeom>
                                        </pic:spPr>
                                      </pic:pic>
                                    </a:graphicData>
                                  </a:graphic>
                                </wp:inline>
                              </w:drawing>
                            </w:r>
                            <w:r>
                              <w:rPr/>
                              <w:t xml:space="preserve">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63500" distR="0" simplePos="0" locked="0" layoutInCell="1" allowOverlap="1" relativeHeight="150">
                <wp:simplePos x="0" y="0"/>
                <wp:positionH relativeFrom="column">
                  <wp:align>left</wp:align>
                </wp:positionH>
                <wp:positionV relativeFrom="line">
                  <wp:posOffset>635</wp:posOffset>
                </wp:positionV>
                <wp:extent cx="5295900" cy="1487805"/>
                <wp:effectExtent l="0" t="0" r="0" b="0"/>
                <wp:wrapSquare wrapText="right"/>
                <wp:docPr id="47" name="Frame17"/>
                <a:graphic xmlns:a="http://schemas.openxmlformats.org/drawingml/2006/main">
                  <a:graphicData uri="http://schemas.microsoft.com/office/word/2010/wordprocessingShape">
                    <wps:wsp>
                      <wps:cNvSpPr txBox="1"/>
                      <wps:spPr>
                        <a:xfrm>
                          <a:off x="0" y="0"/>
                          <a:ext cx="5295900" cy="148780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109"/>
                              <w:gridCol w:w="97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FF6A00"/>
                                  </w:tcBorders>
                                  <w:tcMar>
                                    <w:bottom w:w="28" w:type="dxa"/>
                                  </w:tcMar>
                                  <w:vAlign w:val="center"/>
                                </w:tcPr>
                                <w:p>
                                  <w:pPr>
                                    <w:pStyle w:val="TableContents"/>
                                    <w:bidi w:val="0"/>
                                    <w:spacing w:before="0" w:after="283"/>
                                    <w:jc w:val="left"/>
                                    <w:rPr/>
                                  </w:pPr>
                                  <w:r>
                                    <w:rPr/>
                                    <w:t>​</w:t>
                                  </w:r>
                                </w:p>
                              </w:tc>
                              <w:tc>
                                <w:tcPr>
                                  <w:tcW w:w="9709" w:type="dxa"/>
                                  <w:tcBorders>
                                    <w:bottom w:val="single" w:sz="8" w:space="0" w:color="FF6A00"/>
                                  </w:tcBorders>
                                  <w:tcMar>
                                    <w:bottom w:w="28" w:type="dxa"/>
                                  </w:tcMar>
                                  <w:vAlign w:val="center"/>
                                </w:tcPr>
                                <w:p>
                                  <w:pPr>
                                    <w:pStyle w:val="TableContents"/>
                                    <w:bidi w:val="0"/>
                                    <w:spacing w:before="0" w:after="0"/>
                                    <w:jc w:val="left"/>
                                    <w:rPr>
                                      <w:spacing w:val="-2"/>
                                    </w:rPr>
                                  </w:pPr>
                                  <w:r>
                                    <w:rPr>
                                      <w:spacing w:val="-2"/>
                                    </w:rPr>
                                    <w:t xml:space="preserve">The nominees for election as Class II Directors at the 2026 annual meeting are described below, each of whom has been nominated by the Board of Directors. If elected, each of the nominees is expected to serve for a three-year term expiring at the annual meeting of stockholders of the Company in 2029 and until their respective successors have been elected and qualified. </w:t>
                                  </w:r>
                                </w:p>
                                <w:p>
                                  <w:pPr>
                                    <w:pStyle w:val="TableContents"/>
                                    <w:bidi w:val="0"/>
                                    <w:spacing w:before="80" w:after="283"/>
                                    <w:jc w:val="left"/>
                                    <w:rPr>
                                      <w:b/>
                                    </w:rPr>
                                  </w:pPr>
                                  <w:r>
                                    <w:rPr>
                                      <w:b/>
                                      <w:spacing w:val="-2"/>
                                    </w:rPr>
                                    <w:t xml:space="preserve">The Board of Directors recommends a vote </w:t>
                                  </w:r>
                                  <w:r>
                                    <w:rPr>
                                      <w:b/>
                                      <w:color w:val="FF6A00"/>
                                      <w:spacing w:val="-2"/>
                                    </w:rPr>
                                    <w:t>FOR</w:t>
                                  </w:r>
                                  <w:r>
                                    <w:rPr>
                                      <w:b/>
                                      <w:spacing w:val="-2"/>
                                    </w:rPr>
                                    <w:t xml:space="preserve"> the Company’s nominees for Class II Directors.</w:t>
                                  </w:r>
                                  <w:r>
                                    <w:rPr>
                                      <w:b/>
                                    </w:rPr>
                                    <w:t xml:space="preserve"> </w:t>
                                  </w:r>
                                </w:p>
                              </w:tc>
                              <w:tc>
                                <w:tcPr>
                                  <w:tcW w:w="109" w:type="dxa"/>
                                  <w:tcBorders>
                                    <w:bottom w:val="single" w:sz="8" w:space="0" w:color="FF6A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17pt;height:117.15pt;mso-wrap-distance-left:5pt;mso-wrap-distance-right:0pt;mso-wrap-distance-top:0pt;mso-wrap-distance-bottom:0pt;margin-top:0pt;mso-position-vertical:top;mso-position-vertical-relative:text;margin-left:5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109"/>
                        <w:gridCol w:w="97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FF6A00"/>
                            </w:tcBorders>
                            <w:tcMar>
                              <w:bottom w:w="28" w:type="dxa"/>
                            </w:tcMar>
                            <w:vAlign w:val="center"/>
                          </w:tcPr>
                          <w:p>
                            <w:pPr>
                              <w:pStyle w:val="TableContents"/>
                              <w:bidi w:val="0"/>
                              <w:spacing w:before="0" w:after="283"/>
                              <w:jc w:val="left"/>
                              <w:rPr/>
                            </w:pPr>
                            <w:r>
                              <w:rPr/>
                              <w:t>​</w:t>
                            </w:r>
                          </w:p>
                        </w:tc>
                        <w:tc>
                          <w:tcPr>
                            <w:tcW w:w="9709" w:type="dxa"/>
                            <w:tcBorders>
                              <w:bottom w:val="single" w:sz="8" w:space="0" w:color="FF6A00"/>
                            </w:tcBorders>
                            <w:tcMar>
                              <w:bottom w:w="28" w:type="dxa"/>
                            </w:tcMar>
                            <w:vAlign w:val="center"/>
                          </w:tcPr>
                          <w:p>
                            <w:pPr>
                              <w:pStyle w:val="TableContents"/>
                              <w:bidi w:val="0"/>
                              <w:spacing w:before="0" w:after="0"/>
                              <w:jc w:val="left"/>
                              <w:rPr>
                                <w:spacing w:val="-2"/>
                              </w:rPr>
                            </w:pPr>
                            <w:r>
                              <w:rPr>
                                <w:spacing w:val="-2"/>
                              </w:rPr>
                              <w:t xml:space="preserve">The nominees for election as Class II Directors at the 2026 annual meeting are described below, each of whom has been nominated by the Board of Directors. If elected, each of the nominees is expected to serve for a three-year term expiring at the annual meeting of stockholders of the Company in 2029 and until their respective successors have been elected and qualified. </w:t>
                            </w:r>
                          </w:p>
                          <w:p>
                            <w:pPr>
                              <w:pStyle w:val="TableContents"/>
                              <w:bidi w:val="0"/>
                              <w:spacing w:before="80" w:after="283"/>
                              <w:jc w:val="left"/>
                              <w:rPr>
                                <w:b/>
                              </w:rPr>
                            </w:pPr>
                            <w:r>
                              <w:rPr>
                                <w:b/>
                                <w:spacing w:val="-2"/>
                              </w:rPr>
                              <w:t xml:space="preserve">The Board of Directors recommends a vote </w:t>
                            </w:r>
                            <w:r>
                              <w:rPr>
                                <w:b/>
                                <w:color w:val="FF6A00"/>
                                <w:spacing w:val="-2"/>
                              </w:rPr>
                              <w:t>FOR</w:t>
                            </w:r>
                            <w:r>
                              <w:rPr>
                                <w:b/>
                                <w:spacing w:val="-2"/>
                              </w:rPr>
                              <w:t xml:space="preserve"> the Company’s nominees for Class II Directors.</w:t>
                            </w:r>
                            <w:r>
                              <w:rPr>
                                <w:b/>
                              </w:rPr>
                              <w:t xml:space="preserve"> </w:t>
                            </w:r>
                          </w:p>
                        </w:tc>
                        <w:tc>
                          <w:tcPr>
                            <w:tcW w:w="109" w:type="dxa"/>
                            <w:tcBorders>
                              <w:bottom w:val="single" w:sz="8" w:space="0" w:color="FF6A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TextBody"/>
        <w:bidi w:val="0"/>
        <w:spacing w:lineRule="atLeast" w:line="250" w:before="380" w:after="283"/>
        <w:ind w:left="11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Our Board of Directors is divided into three classes, with each class serving a consecutive three-year term. The term of the current Class II Directors will expire on the date of the 2026 annual meeting, subject to the election and qualification of their respective successors. The Board of Directors expects that each of the nominees will be available for election as a director. However, if by reason of an unexpected occurrence, one or more of the nominees is not available for election, the persons named in the form of proxy have advised that they will vote for such substitute nominees as the Board of Directors may nominate.</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0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In selecting director candidates, the Nominating and Corporate Governance Committee considers whether the candidates possess the required skill sets and fulfill the qualification requirements of directors approved by the Board of Directors.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following table provides the current composition of each of our committees:</w:t>
      </w:r>
      <w:r>
        <w:rPr>
          <w:rFonts w:ascii="Arial;Helvetica;sans-serif" w:hAnsi="Arial;Helvetica;sans-serif"/>
          <w:b w:val="false"/>
          <w:i w:val="false"/>
          <w:caps w:val="false"/>
          <w:smallCaps w:val="false"/>
          <w:color w:val="000000"/>
          <w:spacing w:val="4"/>
          <w:sz w:val="22"/>
        </w:rPr>
        <w:t xml:space="preserve"> </w:t>
      </w:r>
    </w:p>
    <w:tbl>
      <w:tblPr>
        <w:tblW w:w="8086" w:type="dxa"/>
        <w:jc w:val="left"/>
        <w:tblInd w:w="1140" w:type="dxa"/>
        <w:tblLayout w:type="fixed"/>
        <w:tblCellMar>
          <w:top w:w="0" w:type="dxa"/>
          <w:left w:w="0" w:type="dxa"/>
          <w:bottom w:w="28" w:type="dxa"/>
          <w:right w:w="0" w:type="dxa"/>
        </w:tblCellMar>
      </w:tblPr>
      <w:tblGrid>
        <w:gridCol w:w="124"/>
        <w:gridCol w:w="2045"/>
        <w:gridCol w:w="109"/>
        <w:gridCol w:w="109"/>
        <w:gridCol w:w="109"/>
        <w:gridCol w:w="1777"/>
        <w:gridCol w:w="109"/>
        <w:gridCol w:w="109"/>
        <w:gridCol w:w="109"/>
        <w:gridCol w:w="1509"/>
        <w:gridCol w:w="109"/>
        <w:gridCol w:w="109"/>
        <w:gridCol w:w="109"/>
        <w:gridCol w:w="1496"/>
        <w:gridCol w:w="154"/>
      </w:tblGrid>
      <w:tr>
        <w:trPr/>
        <w:tc>
          <w:tcPr>
            <w:tcW w:w="124" w:type="dxa"/>
            <w:tcBorders>
              <w:bottom w:val="single" w:sz="2" w:space="0" w:color="000000"/>
            </w:tcBorders>
            <w:shd w:fill="FF6A00" w:val="clear"/>
            <w:vAlign w:val="center"/>
          </w:tcPr>
          <w:p>
            <w:pPr>
              <w:pStyle w:val="TableContents"/>
              <w:bidi w:val="0"/>
              <w:spacing w:before="0" w:after="283"/>
              <w:jc w:val="left"/>
              <w:rPr/>
            </w:pPr>
            <w:r>
              <w:rPr/>
              <w:t>​</w:t>
            </w:r>
          </w:p>
        </w:tc>
        <w:tc>
          <w:tcPr>
            <w:tcW w:w="2045" w:type="dxa"/>
            <w:tcBorders>
              <w:bottom w:val="single" w:sz="2" w:space="0" w:color="000000"/>
            </w:tcBorders>
            <w:shd w:fill="FF6A00" w:val="clear"/>
            <w:vAlign w:val="center"/>
          </w:tcPr>
          <w:p>
            <w:pPr>
              <w:pStyle w:val="TableContents"/>
              <w:bidi w:val="0"/>
              <w:spacing w:before="0" w:after="0"/>
              <w:jc w:val="left"/>
              <w:rPr>
                <w:spacing w:val="-2"/>
              </w:rPr>
            </w:pPr>
            <w:r>
              <w:rPr>
                <w:spacing w:val="-2"/>
              </w:rPr>
              <w:t xml:space="preserve">Director </w:t>
            </w:r>
          </w:p>
        </w:tc>
        <w:tc>
          <w:tcPr>
            <w:tcW w:w="109" w:type="dxa"/>
            <w:tcBorders>
              <w:bottom w:val="single" w:sz="2" w:space="0" w:color="000000"/>
            </w:tcBorders>
            <w:shd w:fill="FF6A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FF6A00" w:val="clear"/>
            <w:vAlign w:val="center"/>
          </w:tcPr>
          <w:p>
            <w:pPr>
              <w:pStyle w:val="TableContents"/>
              <w:bidi w:val="0"/>
              <w:spacing w:before="0" w:after="283"/>
              <w:jc w:val="left"/>
              <w:rPr/>
            </w:pPr>
            <w:r>
              <w:rPr/>
              <w:t>​</w:t>
            </w:r>
          </w:p>
        </w:tc>
        <w:tc>
          <w:tcPr>
            <w:tcW w:w="1777" w:type="dxa"/>
            <w:tcBorders>
              <w:bottom w:val="single" w:sz="2" w:space="0" w:color="000000"/>
            </w:tcBorders>
            <w:shd w:fill="FF6A00" w:val="clear"/>
            <w:vAlign w:val="center"/>
          </w:tcPr>
          <w:p>
            <w:pPr>
              <w:pStyle w:val="TableContents"/>
              <w:bidi w:val="0"/>
              <w:spacing w:before="0" w:after="0"/>
              <w:jc w:val="center"/>
              <w:rPr>
                <w:spacing w:val="-2"/>
              </w:rPr>
            </w:pPr>
            <w:r>
              <w:rPr>
                <w:spacing w:val="-2"/>
              </w:rPr>
              <w:t xml:space="preserve">Audit Committee </w:t>
            </w:r>
          </w:p>
        </w:tc>
        <w:tc>
          <w:tcPr>
            <w:tcW w:w="109" w:type="dxa"/>
            <w:tcBorders>
              <w:bottom w:val="single" w:sz="2" w:space="0" w:color="000000"/>
            </w:tcBorders>
            <w:shd w:fill="FF6A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FF6A00" w:val="clear"/>
            <w:vAlign w:val="center"/>
          </w:tcPr>
          <w:p>
            <w:pPr>
              <w:pStyle w:val="TableContents"/>
              <w:bidi w:val="0"/>
              <w:spacing w:before="0" w:after="283"/>
              <w:jc w:val="left"/>
              <w:rPr/>
            </w:pPr>
            <w:r>
              <w:rPr/>
              <w:t>​</w:t>
            </w:r>
          </w:p>
        </w:tc>
        <w:tc>
          <w:tcPr>
            <w:tcW w:w="1509" w:type="dxa"/>
            <w:tcBorders>
              <w:bottom w:val="single" w:sz="2" w:space="0" w:color="000000"/>
            </w:tcBorders>
            <w:shd w:fill="FF6A00" w:val="clear"/>
            <w:vAlign w:val="center"/>
          </w:tcPr>
          <w:p>
            <w:pPr>
              <w:pStyle w:val="TableContents"/>
              <w:bidi w:val="0"/>
              <w:spacing w:before="0" w:after="0"/>
              <w:jc w:val="center"/>
              <w:rPr>
                <w:spacing w:val="-2"/>
              </w:rPr>
            </w:pPr>
            <w:r>
              <w:rPr>
                <w:spacing w:val="-2"/>
              </w:rPr>
              <w:t xml:space="preserve">Human </w:t>
              <w:br/>
              <w:t xml:space="preserve">Capital and </w:t>
              <w:br/>
              <w:t xml:space="preserve">Compensation </w:t>
              <w:br/>
              <w:t xml:space="preserve">Committee </w:t>
            </w:r>
          </w:p>
        </w:tc>
        <w:tc>
          <w:tcPr>
            <w:tcW w:w="109" w:type="dxa"/>
            <w:tcBorders>
              <w:bottom w:val="single" w:sz="2" w:space="0" w:color="000000"/>
            </w:tcBorders>
            <w:shd w:fill="FF6A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FF6A00" w:val="clear"/>
            <w:vAlign w:val="center"/>
          </w:tcPr>
          <w:p>
            <w:pPr>
              <w:pStyle w:val="TableContents"/>
              <w:bidi w:val="0"/>
              <w:spacing w:before="0" w:after="283"/>
              <w:jc w:val="left"/>
              <w:rPr/>
            </w:pPr>
            <w:r>
              <w:rPr/>
              <w:t>​</w:t>
            </w:r>
          </w:p>
        </w:tc>
        <w:tc>
          <w:tcPr>
            <w:tcW w:w="1496" w:type="dxa"/>
            <w:tcBorders>
              <w:bottom w:val="single" w:sz="2" w:space="0" w:color="000000"/>
            </w:tcBorders>
            <w:shd w:fill="FF6A00" w:val="clear"/>
            <w:vAlign w:val="center"/>
          </w:tcPr>
          <w:p>
            <w:pPr>
              <w:pStyle w:val="TableContents"/>
              <w:bidi w:val="0"/>
              <w:spacing w:before="0" w:after="0"/>
              <w:jc w:val="center"/>
              <w:rPr>
                <w:spacing w:val="-2"/>
              </w:rPr>
            </w:pPr>
            <w:r>
              <w:rPr>
                <w:spacing w:val="-2"/>
              </w:rPr>
              <w:t xml:space="preserve">Nominating </w:t>
              <w:br/>
              <w:t xml:space="preserve">and Corporate </w:t>
              <w:br/>
              <w:t xml:space="preserve">Governance </w:t>
              <w:br/>
              <w:t xml:space="preserve">Committee </w:t>
            </w:r>
          </w:p>
        </w:tc>
        <w:tc>
          <w:tcPr>
            <w:tcW w:w="154" w:type="dxa"/>
            <w:tcBorders>
              <w:bottom w:val="single" w:sz="2" w:space="0" w:color="000000"/>
            </w:tcBorders>
            <w:shd w:fill="FF6A00" w:val="clear"/>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2045" w:type="dxa"/>
            <w:tcBorders>
              <w:bottom w:val="single" w:sz="2" w:space="0" w:color="000000"/>
            </w:tcBorders>
            <w:vAlign w:val="center"/>
          </w:tcPr>
          <w:p>
            <w:pPr>
              <w:pStyle w:val="TableContents"/>
              <w:bidi w:val="0"/>
              <w:spacing w:before="0" w:after="0"/>
              <w:jc w:val="left"/>
              <w:rPr>
                <w:color w:val="000000"/>
                <w:spacing w:val="-2"/>
              </w:rPr>
            </w:pPr>
            <w:r>
              <w:rPr>
                <w:color w:val="000000"/>
                <w:spacing w:val="-2"/>
              </w:rPr>
              <w:t xml:space="preserve">Marcia Avedon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777"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09" w:type="dxa"/>
            <w:tcBorders>
              <w:bottom w:val="single" w:sz="2" w:space="0" w:color="000000"/>
            </w:tcBorders>
            <w:vAlign w:val="center"/>
          </w:tcPr>
          <w:p>
            <w:pPr>
              <w:pStyle w:val="TableContents"/>
              <w:bidi w:val="0"/>
              <w:spacing w:before="0" w:after="0"/>
              <w:jc w:val="center"/>
              <w:rPr>
                <w:b/>
              </w:rPr>
            </w:pPr>
            <w:r>
              <w:rPr>
                <w:b/>
                <w:spacing w:val="-2"/>
              </w:rPr>
              <w:t>C</w:t>
            </w:r>
            <w:r>
              <w:rPr>
                <w:b/>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496" w:type="dxa"/>
            <w:tcBorders>
              <w:bottom w:val="single" w:sz="2" w:space="0" w:color="000000"/>
            </w:tcBorders>
            <w:vAlign w:val="center"/>
          </w:tcPr>
          <w:p>
            <w:pPr>
              <w:pStyle w:val="TableContents"/>
              <w:bidi w:val="0"/>
              <w:spacing w:before="0" w:after="0"/>
              <w:jc w:val="center"/>
              <w:rPr>
                <w:b/>
              </w:rPr>
            </w:pPr>
            <w:r>
              <w:rPr>
                <w:b/>
                <w:spacing w:val="-2"/>
              </w:rPr>
              <w:t>X</w:t>
            </w:r>
            <w:r>
              <w:rPr>
                <w:b/>
              </w:rPr>
              <w:t xml:space="preserv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shd w:fill="B2B2B2" w:val="clear"/>
            <w:vAlign w:val="center"/>
          </w:tcPr>
          <w:p>
            <w:pPr>
              <w:pStyle w:val="TableContents"/>
              <w:bidi w:val="0"/>
              <w:spacing w:before="0" w:after="283"/>
              <w:jc w:val="left"/>
              <w:rPr/>
            </w:pPr>
            <w:r>
              <w:rPr/>
              <w:t>​</w:t>
            </w:r>
          </w:p>
        </w:tc>
        <w:tc>
          <w:tcPr>
            <w:tcW w:w="2045" w:type="dxa"/>
            <w:tcBorders>
              <w:bottom w:val="single" w:sz="2" w:space="0" w:color="000000"/>
            </w:tcBorders>
            <w:shd w:fill="B2B2B2" w:val="clear"/>
            <w:vAlign w:val="center"/>
          </w:tcPr>
          <w:p>
            <w:pPr>
              <w:pStyle w:val="TableContents"/>
              <w:bidi w:val="0"/>
              <w:spacing w:before="0" w:after="0"/>
              <w:jc w:val="left"/>
              <w:rPr>
                <w:color w:val="000000"/>
                <w:spacing w:val="-2"/>
              </w:rPr>
            </w:pPr>
            <w:r>
              <w:rPr>
                <w:color w:val="000000"/>
                <w:spacing w:val="-2"/>
              </w:rPr>
              <w:t xml:space="preserve">Kathryn Bohl </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777" w:type="dxa"/>
            <w:tcBorders>
              <w:bottom w:val="single" w:sz="2" w:space="0" w:color="000000"/>
            </w:tcBorders>
            <w:shd w:fill="B2B2B2" w:val="clear"/>
            <w:vAlign w:val="center"/>
          </w:tcPr>
          <w:p>
            <w:pPr>
              <w:pStyle w:val="TableContents"/>
              <w:bidi w:val="0"/>
              <w:spacing w:before="0" w:after="0"/>
              <w:jc w:val="center"/>
              <w:rPr>
                <w:b/>
              </w:rPr>
            </w:pPr>
            <w:r>
              <w:rPr>
                <w:b/>
                <w:spacing w:val="-2"/>
              </w:rPr>
              <w:t>X</w:t>
            </w:r>
            <w:r>
              <w:rPr>
                <w:b/>
              </w:rPr>
              <w:t xml:space="preserve"> </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5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496" w:type="dxa"/>
            <w:tcBorders>
              <w:bottom w:val="single" w:sz="2" w:space="0" w:color="000000"/>
            </w:tcBorders>
            <w:shd w:fill="B2B2B2" w:val="clear"/>
            <w:vAlign w:val="center"/>
          </w:tcPr>
          <w:p>
            <w:pPr>
              <w:pStyle w:val="TableContents"/>
              <w:bidi w:val="0"/>
              <w:spacing w:before="0" w:after="0"/>
              <w:jc w:val="center"/>
              <w:rPr>
                <w:b/>
              </w:rPr>
            </w:pPr>
            <w:r>
              <w:rPr>
                <w:b/>
                <w:spacing w:val="-2"/>
              </w:rPr>
              <w:t>X</w:t>
            </w:r>
            <w:r>
              <w:rPr>
                <w:b/>
              </w:rPr>
              <w:t xml:space="preserve"> </w:t>
            </w:r>
          </w:p>
        </w:tc>
        <w:tc>
          <w:tcPr>
            <w:tcW w:w="154" w:type="dxa"/>
            <w:tcBorders>
              <w:bottom w:val="single" w:sz="2" w:space="0" w:color="000000"/>
            </w:tcBorders>
            <w:shd w:fill="B2B2B2" w:val="clear"/>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2045" w:type="dxa"/>
            <w:tcBorders>
              <w:bottom w:val="single" w:sz="2" w:space="0" w:color="000000"/>
            </w:tcBorders>
            <w:vAlign w:val="center"/>
          </w:tcPr>
          <w:p>
            <w:pPr>
              <w:pStyle w:val="TableContents"/>
              <w:bidi w:val="0"/>
              <w:spacing w:before="0" w:after="0"/>
              <w:jc w:val="left"/>
              <w:rPr>
                <w:color w:val="000000"/>
                <w:spacing w:val="-2"/>
              </w:rPr>
            </w:pPr>
            <w:r>
              <w:rPr>
                <w:color w:val="000000"/>
                <w:spacing w:val="-2"/>
              </w:rPr>
              <w:t xml:space="preserve">Robert Dixon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777" w:type="dxa"/>
            <w:tcBorders>
              <w:bottom w:val="single" w:sz="2" w:space="0" w:color="000000"/>
            </w:tcBorders>
            <w:vAlign w:val="center"/>
          </w:tcPr>
          <w:p>
            <w:pPr>
              <w:pStyle w:val="TableContents"/>
              <w:bidi w:val="0"/>
              <w:spacing w:before="0" w:after="0"/>
              <w:jc w:val="center"/>
              <w:rPr>
                <w:b/>
              </w:rPr>
            </w:pPr>
            <w:r>
              <w:rPr>
                <w:b/>
                <w:spacing w:val="-2"/>
              </w:rPr>
              <w:t>X</w:t>
            </w:r>
            <w:r>
              <w:rPr>
                <w:b/>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496" w:type="dxa"/>
            <w:tcBorders>
              <w:bottom w:val="single" w:sz="2" w:space="0" w:color="000000"/>
            </w:tcBorders>
            <w:vAlign w:val="center"/>
          </w:tcPr>
          <w:p>
            <w:pPr>
              <w:pStyle w:val="TableContents"/>
              <w:bidi w:val="0"/>
              <w:spacing w:before="0" w:after="0"/>
              <w:jc w:val="center"/>
              <w:rPr>
                <w:b/>
              </w:rPr>
            </w:pPr>
            <w:r>
              <w:rPr>
                <w:b/>
                <w:spacing w:val="-2"/>
              </w:rPr>
              <w:t>C</w:t>
            </w:r>
            <w:r>
              <w:rPr>
                <w:b/>
              </w:rPr>
              <w:t xml:space="preserv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shd w:fill="B2B2B2" w:val="clear"/>
            <w:vAlign w:val="center"/>
          </w:tcPr>
          <w:p>
            <w:pPr>
              <w:pStyle w:val="TableContents"/>
              <w:bidi w:val="0"/>
              <w:spacing w:before="0" w:after="283"/>
              <w:jc w:val="left"/>
              <w:rPr/>
            </w:pPr>
            <w:r>
              <w:rPr/>
              <w:t>​</w:t>
            </w:r>
          </w:p>
        </w:tc>
        <w:tc>
          <w:tcPr>
            <w:tcW w:w="2045" w:type="dxa"/>
            <w:tcBorders>
              <w:bottom w:val="single" w:sz="2" w:space="0" w:color="000000"/>
            </w:tcBorders>
            <w:shd w:fill="B2B2B2" w:val="clear"/>
            <w:vAlign w:val="center"/>
          </w:tcPr>
          <w:p>
            <w:pPr>
              <w:pStyle w:val="TableContents"/>
              <w:bidi w:val="0"/>
              <w:spacing w:before="0" w:after="0"/>
              <w:jc w:val="left"/>
              <w:rPr>
                <w:color w:val="000000"/>
                <w:spacing w:val="-2"/>
              </w:rPr>
            </w:pPr>
            <w:r>
              <w:rPr>
                <w:color w:val="000000"/>
                <w:spacing w:val="-2"/>
              </w:rPr>
              <w:t xml:space="preserve">William Jenkins </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777"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509" w:type="dxa"/>
            <w:tcBorders>
              <w:bottom w:val="single" w:sz="2" w:space="0" w:color="000000"/>
            </w:tcBorders>
            <w:shd w:fill="B2B2B2" w:val="clear"/>
            <w:vAlign w:val="center"/>
          </w:tcPr>
          <w:p>
            <w:pPr>
              <w:pStyle w:val="TableContents"/>
              <w:bidi w:val="0"/>
              <w:spacing w:before="0" w:after="0"/>
              <w:jc w:val="center"/>
              <w:rPr>
                <w:b/>
              </w:rPr>
            </w:pPr>
            <w:r>
              <w:rPr>
                <w:b/>
                <w:spacing w:val="-2"/>
              </w:rPr>
              <w:t>X</w:t>
            </w:r>
            <w:r>
              <w:rPr>
                <w:b/>
              </w:rPr>
              <w:t xml:space="preserve"> </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496" w:type="dxa"/>
            <w:tcBorders>
              <w:bottom w:val="single" w:sz="2" w:space="0" w:color="000000"/>
            </w:tcBorders>
            <w:shd w:fill="B2B2B2" w:val="clear"/>
            <w:vAlign w:val="center"/>
          </w:tcPr>
          <w:p>
            <w:pPr>
              <w:pStyle w:val="TableContents"/>
              <w:bidi w:val="0"/>
              <w:spacing w:before="0" w:after="283"/>
              <w:jc w:val="left"/>
              <w:rPr/>
            </w:pPr>
            <w:r>
              <w:rPr/>
              <w:t>​</w:t>
            </w:r>
          </w:p>
        </w:tc>
        <w:tc>
          <w:tcPr>
            <w:tcW w:w="154" w:type="dxa"/>
            <w:tcBorders>
              <w:bottom w:val="single" w:sz="2" w:space="0" w:color="000000"/>
            </w:tcBorders>
            <w:shd w:fill="B2B2B2" w:val="clear"/>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2045" w:type="dxa"/>
            <w:tcBorders>
              <w:bottom w:val="single" w:sz="2" w:space="0" w:color="000000"/>
            </w:tcBorders>
            <w:vAlign w:val="center"/>
          </w:tcPr>
          <w:p>
            <w:pPr>
              <w:pStyle w:val="TableContents"/>
              <w:bidi w:val="0"/>
              <w:spacing w:before="0" w:after="0"/>
              <w:jc w:val="left"/>
              <w:rPr>
                <w:color w:val="000000"/>
                <w:spacing w:val="-2"/>
              </w:rPr>
            </w:pPr>
            <w:r>
              <w:rPr>
                <w:color w:val="000000"/>
                <w:spacing w:val="-2"/>
              </w:rPr>
              <w:t xml:space="preserve">Andrew Lampereur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777" w:type="dxa"/>
            <w:tcBorders>
              <w:bottom w:val="single" w:sz="2" w:space="0" w:color="000000"/>
            </w:tcBorders>
            <w:vAlign w:val="center"/>
          </w:tcPr>
          <w:p>
            <w:pPr>
              <w:pStyle w:val="TableContents"/>
              <w:bidi w:val="0"/>
              <w:spacing w:before="0" w:after="0"/>
              <w:jc w:val="center"/>
              <w:rPr>
                <w:b/>
              </w:rPr>
            </w:pPr>
            <w:r>
              <w:rPr>
                <w:b/>
                <w:spacing w:val="-2"/>
              </w:rPr>
              <w:t>C</w:t>
            </w:r>
            <w:r>
              <w:rPr>
                <w:b/>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496" w:type="dxa"/>
            <w:tcBorders>
              <w:bottom w:val="single" w:sz="2" w:space="0" w:color="000000"/>
            </w:tcBorders>
            <w:vAlign w:val="center"/>
          </w:tcPr>
          <w:p>
            <w:pPr>
              <w:pStyle w:val="TableContents"/>
              <w:bidi w:val="0"/>
              <w:spacing w:before="0" w:after="283"/>
              <w:jc w:val="left"/>
              <w:rPr/>
            </w:pPr>
            <w:r>
              <w:rPr/>
              <w:t>​</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shd w:fill="B2B2B2" w:val="clear"/>
            <w:vAlign w:val="center"/>
          </w:tcPr>
          <w:p>
            <w:pPr>
              <w:pStyle w:val="TableContents"/>
              <w:bidi w:val="0"/>
              <w:spacing w:before="0" w:after="283"/>
              <w:jc w:val="left"/>
              <w:rPr/>
            </w:pPr>
            <w:r>
              <w:rPr/>
              <w:t>​</w:t>
            </w:r>
          </w:p>
        </w:tc>
        <w:tc>
          <w:tcPr>
            <w:tcW w:w="2045" w:type="dxa"/>
            <w:tcBorders>
              <w:bottom w:val="single" w:sz="2" w:space="0" w:color="000000"/>
            </w:tcBorders>
            <w:shd w:fill="B2B2B2" w:val="clear"/>
            <w:vAlign w:val="center"/>
          </w:tcPr>
          <w:p>
            <w:pPr>
              <w:pStyle w:val="TableContents"/>
              <w:bidi w:val="0"/>
              <w:spacing w:before="0" w:after="0"/>
              <w:jc w:val="left"/>
              <w:rPr>
                <w:color w:val="000000"/>
                <w:spacing w:val="-2"/>
              </w:rPr>
            </w:pPr>
            <w:r>
              <w:rPr>
                <w:color w:val="000000"/>
                <w:spacing w:val="-2"/>
              </w:rPr>
              <w:t xml:space="preserve">Bennett Morgan (L) </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777"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509" w:type="dxa"/>
            <w:tcBorders>
              <w:bottom w:val="single" w:sz="2" w:space="0" w:color="000000"/>
            </w:tcBorders>
            <w:shd w:fill="B2B2B2" w:val="clear"/>
            <w:vAlign w:val="center"/>
          </w:tcPr>
          <w:p>
            <w:pPr>
              <w:pStyle w:val="TableContents"/>
              <w:bidi w:val="0"/>
              <w:spacing w:before="0" w:after="0"/>
              <w:jc w:val="center"/>
              <w:rPr>
                <w:b/>
              </w:rPr>
            </w:pPr>
            <w:r>
              <w:rPr>
                <w:b/>
                <w:spacing w:val="-2"/>
              </w:rPr>
              <w:t>X</w:t>
            </w:r>
            <w:r>
              <w:rPr>
                <w:b/>
              </w:rPr>
              <w:t xml:space="preserve"> </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496" w:type="dxa"/>
            <w:tcBorders>
              <w:bottom w:val="single" w:sz="2" w:space="0" w:color="000000"/>
            </w:tcBorders>
            <w:shd w:fill="B2B2B2" w:val="clear"/>
            <w:vAlign w:val="center"/>
          </w:tcPr>
          <w:p>
            <w:pPr>
              <w:pStyle w:val="TableContents"/>
              <w:bidi w:val="0"/>
              <w:spacing w:before="0" w:after="0"/>
              <w:jc w:val="center"/>
              <w:rPr>
                <w:b/>
              </w:rPr>
            </w:pPr>
            <w:r>
              <w:rPr>
                <w:b/>
                <w:spacing w:val="-2"/>
              </w:rPr>
              <w:t>X</w:t>
            </w:r>
            <w:r>
              <w:rPr>
                <w:b/>
              </w:rPr>
              <w:t xml:space="preserve"> </w:t>
            </w:r>
          </w:p>
        </w:tc>
        <w:tc>
          <w:tcPr>
            <w:tcW w:w="154" w:type="dxa"/>
            <w:tcBorders>
              <w:bottom w:val="single" w:sz="2" w:space="0" w:color="000000"/>
            </w:tcBorders>
            <w:shd w:fill="B2B2B2" w:val="clear"/>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2045" w:type="dxa"/>
            <w:tcBorders>
              <w:bottom w:val="single" w:sz="2" w:space="0" w:color="000000"/>
            </w:tcBorders>
            <w:vAlign w:val="center"/>
          </w:tcPr>
          <w:p>
            <w:pPr>
              <w:pStyle w:val="TableContents"/>
              <w:bidi w:val="0"/>
              <w:spacing w:before="0" w:after="0"/>
              <w:jc w:val="left"/>
              <w:rPr>
                <w:color w:val="000000"/>
                <w:spacing w:val="-2"/>
              </w:rPr>
            </w:pPr>
            <w:r>
              <w:rPr>
                <w:color w:val="000000"/>
                <w:spacing w:val="-2"/>
              </w:rPr>
              <w:t xml:space="preserve">Nam Nguyen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777"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09" w:type="dxa"/>
            <w:tcBorders>
              <w:bottom w:val="single" w:sz="2" w:space="0" w:color="000000"/>
            </w:tcBorders>
            <w:vAlign w:val="center"/>
          </w:tcPr>
          <w:p>
            <w:pPr>
              <w:pStyle w:val="TableContents"/>
              <w:bidi w:val="0"/>
              <w:spacing w:before="0" w:after="0"/>
              <w:jc w:val="center"/>
              <w:rPr>
                <w:b/>
              </w:rPr>
            </w:pPr>
            <w:r>
              <w:rPr>
                <w:b/>
                <w:spacing w:val="-2"/>
              </w:rPr>
              <w:t>X</w:t>
            </w:r>
            <w:r>
              <w:rPr>
                <w:b/>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496" w:type="dxa"/>
            <w:tcBorders>
              <w:bottom w:val="single" w:sz="2" w:space="0" w:color="000000"/>
            </w:tcBorders>
            <w:vAlign w:val="center"/>
          </w:tcPr>
          <w:p>
            <w:pPr>
              <w:pStyle w:val="TableContents"/>
              <w:bidi w:val="0"/>
              <w:spacing w:before="0" w:after="0"/>
              <w:jc w:val="center"/>
              <w:rPr>
                <w:b/>
              </w:rPr>
            </w:pPr>
            <w:r>
              <w:rPr>
                <w:b/>
                <w:spacing w:val="-2"/>
              </w:rPr>
              <w:t>X</w:t>
            </w:r>
            <w:r>
              <w:rPr>
                <w:b/>
              </w:rPr>
              <w:t xml:space="preserv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shd w:fill="B2B2B2" w:val="clear"/>
            <w:vAlign w:val="center"/>
          </w:tcPr>
          <w:p>
            <w:pPr>
              <w:pStyle w:val="TableContents"/>
              <w:bidi w:val="0"/>
              <w:spacing w:before="0" w:after="283"/>
              <w:jc w:val="left"/>
              <w:rPr/>
            </w:pPr>
            <w:r>
              <w:rPr/>
              <w:t>​</w:t>
            </w:r>
          </w:p>
        </w:tc>
        <w:tc>
          <w:tcPr>
            <w:tcW w:w="2045" w:type="dxa"/>
            <w:tcBorders>
              <w:bottom w:val="single" w:sz="2" w:space="0" w:color="000000"/>
            </w:tcBorders>
            <w:shd w:fill="B2B2B2" w:val="clear"/>
            <w:vAlign w:val="center"/>
          </w:tcPr>
          <w:p>
            <w:pPr>
              <w:pStyle w:val="TableContents"/>
              <w:bidi w:val="0"/>
              <w:spacing w:before="0" w:after="0"/>
              <w:jc w:val="left"/>
              <w:rPr>
                <w:color w:val="000000"/>
                <w:spacing w:val="-2"/>
              </w:rPr>
            </w:pPr>
            <w:r>
              <w:rPr>
                <w:color w:val="000000"/>
                <w:spacing w:val="-2"/>
              </w:rPr>
              <w:t xml:space="preserve">David Ramon </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777" w:type="dxa"/>
            <w:tcBorders>
              <w:bottom w:val="single" w:sz="2" w:space="0" w:color="000000"/>
            </w:tcBorders>
            <w:shd w:fill="B2B2B2" w:val="clear"/>
            <w:vAlign w:val="center"/>
          </w:tcPr>
          <w:p>
            <w:pPr>
              <w:pStyle w:val="TableContents"/>
              <w:bidi w:val="0"/>
              <w:spacing w:before="0" w:after="0"/>
              <w:jc w:val="center"/>
              <w:rPr>
                <w:b/>
              </w:rPr>
            </w:pPr>
            <w:r>
              <w:rPr>
                <w:b/>
                <w:spacing w:val="-2"/>
              </w:rPr>
              <w:t>X</w:t>
            </w:r>
            <w:r>
              <w:rPr>
                <w:b/>
              </w:rPr>
              <w:t xml:space="preserve"> </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5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496" w:type="dxa"/>
            <w:tcBorders>
              <w:bottom w:val="single" w:sz="2" w:space="0" w:color="000000"/>
            </w:tcBorders>
            <w:shd w:fill="B2B2B2" w:val="clear"/>
            <w:vAlign w:val="center"/>
          </w:tcPr>
          <w:p>
            <w:pPr>
              <w:pStyle w:val="TableContents"/>
              <w:bidi w:val="0"/>
              <w:spacing w:before="0" w:after="0"/>
              <w:jc w:val="center"/>
              <w:rPr>
                <w:b/>
              </w:rPr>
            </w:pPr>
            <w:r>
              <w:rPr>
                <w:b/>
                <w:spacing w:val="-2"/>
              </w:rPr>
              <w:t>X</w:t>
            </w:r>
            <w:r>
              <w:rPr>
                <w:b/>
              </w:rPr>
              <w:t xml:space="preserve"> </w:t>
            </w:r>
          </w:p>
        </w:tc>
        <w:tc>
          <w:tcPr>
            <w:tcW w:w="154" w:type="dxa"/>
            <w:tcBorders>
              <w:bottom w:val="single" w:sz="2" w:space="0" w:color="000000"/>
            </w:tcBorders>
            <w:shd w:fill="B2B2B2" w:val="clear"/>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2045" w:type="dxa"/>
            <w:tcBorders>
              <w:bottom w:val="single" w:sz="2" w:space="0" w:color="000000"/>
            </w:tcBorders>
            <w:vAlign w:val="center"/>
          </w:tcPr>
          <w:p>
            <w:pPr>
              <w:pStyle w:val="TableContents"/>
              <w:bidi w:val="0"/>
              <w:spacing w:before="0" w:after="0"/>
              <w:jc w:val="left"/>
              <w:rPr>
                <w:color w:val="000000"/>
                <w:spacing w:val="-2"/>
              </w:rPr>
            </w:pPr>
            <w:r>
              <w:rPr>
                <w:color w:val="000000"/>
                <w:spacing w:val="-2"/>
              </w:rPr>
              <w:t xml:space="preserve">Dominick Zarcone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777" w:type="dxa"/>
            <w:tcBorders>
              <w:bottom w:val="single" w:sz="2" w:space="0" w:color="000000"/>
            </w:tcBorders>
            <w:vAlign w:val="center"/>
          </w:tcPr>
          <w:p>
            <w:pPr>
              <w:pStyle w:val="TableContents"/>
              <w:bidi w:val="0"/>
              <w:spacing w:before="0" w:after="0"/>
              <w:jc w:val="center"/>
              <w:rPr>
                <w:b/>
              </w:rPr>
            </w:pPr>
            <w:r>
              <w:rPr>
                <w:b/>
                <w:spacing w:val="-2"/>
              </w:rPr>
              <w:t>X</w:t>
            </w:r>
            <w:r>
              <w:rPr>
                <w:b/>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09" w:type="dxa"/>
            <w:tcBorders>
              <w:bottom w:val="single" w:sz="2" w:space="0" w:color="000000"/>
            </w:tcBorders>
            <w:vAlign w:val="center"/>
          </w:tcPr>
          <w:p>
            <w:pPr>
              <w:pStyle w:val="TableContents"/>
              <w:bidi w:val="0"/>
              <w:spacing w:before="0" w:after="0"/>
              <w:jc w:val="center"/>
              <w:rPr>
                <w:b/>
              </w:rPr>
            </w:pPr>
            <w:r>
              <w:rPr>
                <w:b/>
                <w:spacing w:val="-2"/>
              </w:rPr>
              <w:t>X</w:t>
            </w:r>
            <w:r>
              <w:rPr>
                <w:b/>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496" w:type="dxa"/>
            <w:tcBorders>
              <w:bottom w:val="single" w:sz="2" w:space="0" w:color="000000"/>
            </w:tcBorders>
            <w:vAlign w:val="center"/>
          </w:tcPr>
          <w:p>
            <w:pPr>
              <w:pStyle w:val="TableContents"/>
              <w:bidi w:val="0"/>
              <w:spacing w:before="0" w:after="283"/>
              <w:jc w:val="left"/>
              <w:rPr/>
            </w:pPr>
            <w:r>
              <w:rPr/>
              <w:t>​</w:t>
            </w:r>
          </w:p>
        </w:tc>
        <w:tc>
          <w:tcPr>
            <w:tcW w:w="154" w:type="dxa"/>
            <w:tcBorders>
              <w:bottom w:val="single" w:sz="2" w:space="0" w:color="000000"/>
            </w:tcBorders>
            <w:vAlign w:val="center"/>
          </w:tcPr>
          <w:p>
            <w:pPr>
              <w:pStyle w:val="TableContents"/>
              <w:bidi w:val="0"/>
              <w:spacing w:before="0" w:after="283"/>
              <w:jc w:val="left"/>
              <w:rPr/>
            </w:pPr>
            <w:r>
              <w:rPr/>
              <w:t>​</w:t>
            </w:r>
          </w:p>
        </w:tc>
      </w:tr>
    </w:tbl>
    <w:p>
      <w:pPr>
        <w:pStyle w:val="TextBody"/>
        <w:bidi w:val="0"/>
        <w:spacing w:lineRule="atLeast" w:line="260" w:before="40" w:after="283"/>
        <w:ind w:left="1140" w:right="0" w:hanging="0"/>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2"/>
        </w:rPr>
        <w:t>C” = Chairperson</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60" w:before="40" w:after="283"/>
        <w:jc w:val="left"/>
        <w:rPr>
          <w:caps w:val="false"/>
          <w:smallCaps w:val="false"/>
          <w:color w:val="000000"/>
          <w:spacing w:val="-2"/>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2"/>
        </w:rPr>
        <w:t xml:space="preserve">L” = Lead Director </w:t>
      </w:r>
    </w:p>
    <w:p>
      <w:pPr>
        <w:pStyle w:val="TextBody"/>
        <w:bidi w:val="0"/>
        <w:spacing w:lineRule="atLeast" w:line="240" w:before="78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42" w:type="dxa"/>
        <w:jc w:val="left"/>
        <w:tblInd w:w="1140" w:type="dxa"/>
        <w:tblLayout w:type="fixed"/>
        <w:tblCellMar>
          <w:top w:w="0" w:type="dxa"/>
          <w:left w:w="0" w:type="dxa"/>
          <w:bottom w:w="0" w:type="dxa"/>
          <w:right w:w="0" w:type="dxa"/>
        </w:tblCellMar>
      </w:tblPr>
      <w:tblGrid>
        <w:gridCol w:w="124"/>
        <w:gridCol w:w="1706"/>
        <w:gridCol w:w="109"/>
        <w:gridCol w:w="109"/>
        <w:gridCol w:w="286"/>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4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2" descr=""/>
                          <pic:cNvPicPr>
                            <a:picLocks noChangeAspect="1" noChangeArrowheads="1"/>
                          </pic:cNvPicPr>
                        </pic:nvPicPr>
                        <pic:blipFill>
                          <a:blip r:embed="rId32"/>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rFonts w:ascii="Arial;Helvetica;sans-serif" w:hAnsi="Arial;Helvetica;sans-serif"/>
          <w:b w:val="false"/>
          <w:i w:val="false"/>
          <w:caps w:val="false"/>
          <w:smallCaps w:val="false"/>
          <w:color w:val="FF6A00"/>
          <w:sz w:val="22"/>
        </w:rPr>
      </w:pPr>
      <w:r>
        <w:rPr>
          <w:rFonts w:ascii="Arial;Helvetica;sans-serif" w:hAnsi="Arial;Helvetica;sans-serif"/>
          <w:b w:val="false"/>
          <w:i w:val="false"/>
          <w:caps w:val="false"/>
          <w:smallCaps w:val="false"/>
          <w:color w:val="FF6A00"/>
          <w:spacing w:val="-2"/>
          <w:sz w:val="22"/>
        </w:rPr>
        <w:t>PROPOSAL 1 — ELECTION OF CLASS II DIRECTORS</w:t>
      </w:r>
      <w:r>
        <w:rPr>
          <w:rFonts w:ascii="Arial;Helvetica;sans-serif" w:hAnsi="Arial;Helvetica;sans-serif"/>
          <w:b w:val="false"/>
          <w:i w:val="false"/>
          <w:caps w:val="false"/>
          <w:smallCaps w:val="false"/>
          <w:color w:val="FF6A00"/>
          <w:sz w:val="22"/>
        </w:rPr>
        <w:t xml:space="preserve"> </w:t>
      </w:r>
    </w:p>
    <w:p>
      <w:pPr>
        <w:pStyle w:val="TextBody"/>
        <w:bidi w:val="0"/>
        <w:spacing w:lineRule="atLeast" w:line="250" w:before="480" w:after="283"/>
        <w:ind w:left="11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Our director nominees and continuing directors bring a broad range of skills, experiences, and perspectives to our board. The table below summarizes the skills and experiences that bring value to our Company.</w:t>
      </w:r>
      <w:r>
        <w:rPr>
          <w:rFonts w:ascii="Arial;Helvetica;sans-serif" w:hAnsi="Arial;Helvetica;sans-serif"/>
          <w:b w:val="false"/>
          <w:i w:val="false"/>
          <w:caps w:val="false"/>
          <w:smallCaps w:val="false"/>
          <w:color w:val="000000"/>
          <w:spacing w:val="4"/>
          <w:sz w:val="22"/>
        </w:rPr>
        <w:t xml:space="preserve"> </w:t>
      </w:r>
    </w:p>
    <w:p>
      <w:pPr>
        <w:pStyle w:val="TextBody"/>
        <w:bidi w:val="0"/>
        <w:spacing w:before="156" w:after="283"/>
        <w:jc w:val="left"/>
        <w:rPr>
          <w:caps w:val="false"/>
          <w:smallCaps w:val="false"/>
          <w:color w:val="000000"/>
        </w:rPr>
      </w:pPr>
      <w:r>
        <w:rPr>
          <w:caps w:val="false"/>
          <w:smallCaps w:val="false"/>
          <w:color w:val="000000"/>
        </w:rPr>
        <w:drawing>
          <wp:inline distT="0" distB="0" distL="0" distR="0">
            <wp:extent cx="5857875" cy="7515225"/>
            <wp:effectExtent l="0" t="0" r="0" b="0"/>
            <wp:docPr id="4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3" descr=""/>
                    <pic:cNvPicPr>
                      <a:picLocks noChangeAspect="1" noChangeArrowheads="1"/>
                    </pic:cNvPicPr>
                  </pic:nvPicPr>
                  <pic:blipFill>
                    <a:blip r:embed="rId33"/>
                    <a:stretch>
                      <a:fillRect/>
                    </a:stretch>
                  </pic:blipFill>
                  <pic:spPr bwMode="auto">
                    <a:xfrm>
                      <a:off x="0" y="0"/>
                      <a:ext cx="5857875" cy="75152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42" w:type="dxa"/>
        <w:jc w:val="left"/>
        <w:tblInd w:w="1140" w:type="dxa"/>
        <w:tblLayout w:type="fixed"/>
        <w:tblCellMar>
          <w:top w:w="0" w:type="dxa"/>
          <w:left w:w="0" w:type="dxa"/>
          <w:bottom w:w="0" w:type="dxa"/>
          <w:right w:w="0" w:type="dxa"/>
        </w:tblCellMar>
      </w:tblPr>
      <w:tblGrid>
        <w:gridCol w:w="124"/>
        <w:gridCol w:w="1706"/>
        <w:gridCol w:w="109"/>
        <w:gridCol w:w="109"/>
        <w:gridCol w:w="286"/>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5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4" descr=""/>
                          <pic:cNvPicPr>
                            <a:picLocks noChangeAspect="1" noChangeArrowheads="1"/>
                          </pic:cNvPicPr>
                        </pic:nvPicPr>
                        <pic:blipFill>
                          <a:blip r:embed="rId34"/>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5</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rFonts w:ascii="Arial;Helvetica;sans-serif" w:hAnsi="Arial;Helvetica;sans-serif"/>
          <w:b w:val="false"/>
          <w:i w:val="false"/>
          <w:caps w:val="false"/>
          <w:smallCaps w:val="false"/>
          <w:color w:val="FF6A00"/>
          <w:sz w:val="22"/>
        </w:rPr>
      </w:pPr>
      <w:r>
        <w:rPr>
          <w:rFonts w:ascii="Arial;Helvetica;sans-serif" w:hAnsi="Arial;Helvetica;sans-serif"/>
          <w:b w:val="false"/>
          <w:i w:val="false"/>
          <w:caps w:val="false"/>
          <w:smallCaps w:val="false"/>
          <w:color w:val="FF6A00"/>
          <w:spacing w:val="-2"/>
          <w:sz w:val="22"/>
        </w:rPr>
        <w:t>PROPOSAL 1 — ELECTION OF CLASS II DIRECTORS</w:t>
      </w:r>
      <w:r>
        <w:rPr>
          <w:rFonts w:ascii="Arial;Helvetica;sans-serif" w:hAnsi="Arial;Helvetica;sans-serif"/>
          <w:b w:val="false"/>
          <w:i w:val="false"/>
          <w:caps w:val="false"/>
          <w:smallCaps w:val="false"/>
          <w:color w:val="FF6A00"/>
          <w:sz w:val="22"/>
        </w:rPr>
        <w:t xml:space="preserve"> </w:t>
      </w:r>
    </w:p>
    <w:p>
      <w:pPr>
        <w:pStyle w:val="TextBody"/>
        <w:bidi w:val="0"/>
        <w:spacing w:lineRule="atLeast" w:line="250" w:before="480" w:after="283"/>
        <w:ind w:left="11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following biographies describe the business experience of each director nominee and continuing director. Following the biographical information for each director below, we have listed qualifications that, in addition to those discussed above, the Board of Directors considered in determining whether to recommend the director be nominated for reelection.</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400" w:before="240" w:after="283"/>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Nominees for Election</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60" w:before="80" w:after="283"/>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2"/>
          <w:sz w:val="22"/>
        </w:rPr>
        <w:t>Class II Directors</w:t>
      </w:r>
      <w:r>
        <w:rPr>
          <w:rFonts w:ascii="Arial;Helvetica;sans-serif" w:hAnsi="Arial;Helvetica;sans-serif"/>
          <w:b/>
          <w:i w:val="false"/>
          <w:caps w:val="false"/>
          <w:smallCaps w:val="false"/>
          <w:color w:val="000000"/>
          <w:spacing w:val="4"/>
          <w:sz w:val="22"/>
        </w:rPr>
        <w:t xml:space="preserve"> </w:t>
      </w:r>
    </w:p>
    <w:tbl>
      <w:tblPr>
        <w:tblW w:w="9065" w:type="dxa"/>
        <w:jc w:val="left"/>
        <w:tblInd w:w="1140" w:type="dxa"/>
        <w:tblLayout w:type="fixed"/>
        <w:tblCellMar>
          <w:top w:w="0" w:type="dxa"/>
          <w:left w:w="0" w:type="dxa"/>
          <w:bottom w:w="28" w:type="dxa"/>
          <w:right w:w="0" w:type="dxa"/>
        </w:tblCellMar>
      </w:tblPr>
      <w:tblGrid>
        <w:gridCol w:w="1926"/>
        <w:gridCol w:w="109"/>
        <w:gridCol w:w="109"/>
        <w:gridCol w:w="6766"/>
        <w:gridCol w:w="155"/>
      </w:tblGrid>
      <w:tr>
        <w:trPr/>
        <w:tc>
          <w:tcPr>
            <w:tcW w:w="8910" w:type="dxa"/>
            <w:gridSpan w:val="4"/>
            <w:tcBorders>
              <w:bottom w:val="single" w:sz="2" w:space="0" w:color="FF6A00"/>
            </w:tcBorders>
            <w:vAlign w:val="center"/>
          </w:tcPr>
          <w:p>
            <w:pPr>
              <w:pStyle w:val="TableContents"/>
              <w:bidi w:val="0"/>
              <w:spacing w:before="0" w:after="0"/>
              <w:jc w:val="left"/>
              <w:rPr>
                <w:spacing w:val="-2"/>
              </w:rPr>
            </w:pPr>
            <w:r>
              <w:rPr>
                <w:spacing w:val="-2"/>
              </w:rPr>
              <w:t xml:space="preserve">MARCIA J. AVEDON, PH.D.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926" w:type="dxa"/>
            <w:tcBorders/>
            <w:tcMar>
              <w:bottom w:w="0" w:type="dxa"/>
            </w:tcMar>
            <w:vAlign w:val="center"/>
          </w:tcPr>
          <w:p>
            <w:pPr>
              <w:pStyle w:val="TableContents"/>
              <w:bidi w:val="0"/>
              <w:spacing w:before="0" w:after="0"/>
              <w:jc w:val="left"/>
              <w:rPr/>
            </w:pPr>
            <w:r>
              <w:rPr/>
              <w:drawing>
                <wp:inline distT="0" distB="0" distL="0" distR="0">
                  <wp:extent cx="1152525" cy="1371600"/>
                  <wp:effectExtent l="0" t="0" r="0" b="0"/>
                  <wp:docPr id="5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5" descr=""/>
                          <pic:cNvPicPr>
                            <a:picLocks noChangeAspect="1" noChangeArrowheads="1"/>
                          </pic:cNvPicPr>
                        </pic:nvPicPr>
                        <pic:blipFill>
                          <a:blip r:embed="rId35"/>
                          <a:stretch>
                            <a:fillRect/>
                          </a:stretch>
                        </pic:blipFill>
                        <pic:spPr bwMode="auto">
                          <a:xfrm>
                            <a:off x="0" y="0"/>
                            <a:ext cx="1152525" cy="1371600"/>
                          </a:xfrm>
                          <a:prstGeom prst="rect">
                            <a:avLst/>
                          </a:prstGeom>
                        </pic:spPr>
                      </pic:pic>
                    </a:graphicData>
                  </a:graphic>
                </wp:inline>
              </w:drawing>
            </w:r>
            <w:r>
              <w:rPr/>
              <w:t xml:space="preserve"> </w:t>
            </w:r>
          </w:p>
          <w:p>
            <w:pPr>
              <w:pStyle w:val="TableContents"/>
              <w:bidi w:val="0"/>
              <w:spacing w:lineRule="atLeast" w:line="186" w:before="506" w:after="283"/>
              <w:jc w:val="left"/>
              <w:rPr>
                <w:b/>
                <w:i/>
                <w:sz w:val="16"/>
              </w:rPr>
            </w:pPr>
            <w:r>
              <w:rPr>
                <w:b/>
                <w:i/>
                <w:spacing w:val="-2"/>
                <w:sz w:val="16"/>
              </w:rPr>
              <w:t>Age:</w:t>
            </w:r>
            <w:r>
              <w:rPr>
                <w:b/>
                <w:i/>
                <w:caps w:val="false"/>
                <w:smallCaps w:val="false"/>
                <w:spacing w:val="-2"/>
                <w:sz w:val="16"/>
              </w:rPr>
              <w:t xml:space="preserve"> </w:t>
            </w:r>
            <w:r>
              <w:rPr>
                <w:b w:val="false"/>
                <w:i w:val="false"/>
                <w:caps w:val="false"/>
                <w:smallCaps w:val="false"/>
                <w:spacing w:val="-2"/>
                <w:sz w:val="16"/>
              </w:rPr>
              <w:t>64</w:t>
            </w:r>
            <w:r>
              <w:rPr>
                <w:b/>
                <w:i/>
                <w:sz w:val="16"/>
              </w:rPr>
              <w:t xml:space="preserve"> </w:t>
            </w:r>
          </w:p>
          <w:p>
            <w:pPr>
              <w:pStyle w:val="TableContents"/>
              <w:bidi w:val="0"/>
              <w:spacing w:lineRule="atLeast" w:line="186" w:before="120" w:after="283"/>
              <w:jc w:val="left"/>
              <w:rPr>
                <w:b/>
                <w:i/>
                <w:sz w:val="16"/>
              </w:rPr>
            </w:pPr>
            <w:r>
              <w:rPr>
                <w:b/>
                <w:i/>
                <w:spacing w:val="-2"/>
                <w:sz w:val="16"/>
              </w:rPr>
              <w:t>Director Since:</w:t>
            </w:r>
            <w:r>
              <w:rPr>
                <w:b/>
                <w:i/>
                <w:caps w:val="false"/>
                <w:smallCaps w:val="false"/>
                <w:spacing w:val="-2"/>
                <w:sz w:val="16"/>
              </w:rPr>
              <w:t xml:space="preserve"> </w:t>
            </w:r>
            <w:r>
              <w:rPr>
                <w:b w:val="false"/>
                <w:i w:val="false"/>
                <w:caps w:val="false"/>
                <w:smallCaps w:val="false"/>
                <w:spacing w:val="-2"/>
                <w:sz w:val="16"/>
              </w:rPr>
              <w:t xml:space="preserve">2019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66" w:type="dxa"/>
            <w:tcBorders/>
            <w:tcMar>
              <w:bottom w:w="0" w:type="dxa"/>
            </w:tcMar>
            <w:vAlign w:val="center"/>
          </w:tcPr>
          <w:p>
            <w:pPr>
              <w:pStyle w:val="TableContents"/>
              <w:bidi w:val="0"/>
              <w:spacing w:lineRule="atLeast" w:line="226" w:before="0" w:after="0"/>
              <w:jc w:val="left"/>
              <w:rPr>
                <w:b/>
                <w:color w:val="FF6A00"/>
              </w:rPr>
            </w:pPr>
            <w:r>
              <w:rPr>
                <w:b/>
                <w:color w:val="FF6A00"/>
                <w:spacing w:val="-2"/>
              </w:rPr>
              <w:t>EXPERIENCE &amp; QUALIFICATIONS</w:t>
            </w:r>
            <w:r>
              <w:rPr>
                <w:b/>
                <w:color w:val="FF6A00"/>
              </w:rPr>
              <w:t xml:space="preserve"> </w:t>
            </w:r>
          </w:p>
          <w:p>
            <w:pPr>
              <w:pStyle w:val="TableContents"/>
              <w:bidi w:val="0"/>
              <w:spacing w:lineRule="atLeast" w:line="200" w:before="146" w:after="0"/>
              <w:ind w:left="400" w:right="0" w:hanging="0"/>
              <w:jc w:val="left"/>
              <w:rPr/>
            </w:pPr>
            <w:r>
              <w:rPr>
                <w:spacing w:val="-2"/>
              </w:rPr>
              <w:t>2022-Current: Founder and CEO, Avedon Advisory, LLC</w:t>
            </w:r>
            <w:r>
              <w:rPr/>
              <w:t xml:space="preserve"> </w:t>
            </w:r>
            <w:r>
              <mc:AlternateContent>
                <mc:Choice Requires="wps">
                  <w:drawing>
                    <wp:anchor behindDoc="0" distT="92710" distB="0" distL="127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52"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3pt;mso-wrap-distance-bottom:0pt;margin-top:7.3pt;mso-position-vertical:top;mso-position-vertical-relative:text;margin-left:10pt;mso-position-horizontal:left;mso-position-horizontal-relative:text">
                      <v:textbox>
                        <w:txbxContent>
                          <w:p>
                            <w:pPr>
                              <w:pStyle w:val="TextBody"/>
                              <w:bidi w:val="0"/>
                              <w:spacing w:lineRule="atLeast" w:line="20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6" w:before="146" w:after="0"/>
              <w:ind w:left="400" w:right="0" w:hanging="0"/>
              <w:jc w:val="left"/>
              <w:rPr/>
            </w:pPr>
            <w:r>
              <w:rPr>
                <w:spacing w:val="-2"/>
              </w:rPr>
              <w:t>2020-2022: Executive Vice President, Chief Human Resources, Marketing, &amp; Communications Officer for Trane Technologies, a climate control innovation company focusing on heating and cooling in buildings, homes, and transportation (previously Ingersoll-Rand, plc)</w:t>
            </w:r>
            <w:r>
              <w:rPr/>
              <w:t xml:space="preserve"> </w:t>
            </w:r>
            <w:r>
              <mc:AlternateContent>
                <mc:Choice Requires="wps">
                  <w:drawing>
                    <wp:anchor behindDoc="0" distT="92710" distB="0" distL="127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53"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3pt;mso-wrap-distance-bottom:0pt;margin-top:7.3pt;mso-position-vertical:top;mso-position-vertical-relative:text;margin-left:10pt;mso-position-horizontal:left;mso-position-horizontal-relative:text">
                      <v:textbox>
                        <w:txbxContent>
                          <w:p>
                            <w:pPr>
                              <w:pStyle w:val="TextBody"/>
                              <w:bidi w:val="0"/>
                              <w:spacing w:lineRule="atLeast" w:line="226"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6" w:before="146" w:after="0"/>
              <w:ind w:left="400" w:right="0" w:hanging="0"/>
              <w:jc w:val="left"/>
              <w:rPr/>
            </w:pPr>
            <w:r>
              <w:rPr>
                <w:spacing w:val="-2"/>
              </w:rPr>
              <w:t>2007-2020: Senior Vice President of Human Resources, Communications, and Corporate Affairs for Ingersoll-Rand, plc, leading global human resources, public affairs, corporate social responsibility, communications, and strategic marketing</w:t>
            </w:r>
            <w:r>
              <w:rPr/>
              <w:t xml:space="preserve"> </w:t>
            </w:r>
            <w:r>
              <mc:AlternateContent>
                <mc:Choice Requires="wps">
                  <w:drawing>
                    <wp:anchor behindDoc="0" distT="92710" distB="0" distL="127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54"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3pt;mso-wrap-distance-bottom:0pt;margin-top:7.3pt;mso-position-vertical:top;mso-position-vertical-relative:text;margin-left:10pt;mso-position-horizontal:left;mso-position-horizontal-relative:text">
                      <v:textbox>
                        <w:txbxContent>
                          <w:p>
                            <w:pPr>
                              <w:pStyle w:val="TextBody"/>
                              <w:bidi w:val="0"/>
                              <w:spacing w:lineRule="atLeast" w:line="226"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6" w:before="146" w:after="0"/>
              <w:ind w:left="400" w:right="0" w:hanging="0"/>
              <w:jc w:val="left"/>
              <w:rPr/>
            </w:pPr>
            <w:r>
              <w:rPr>
                <w:spacing w:val="-2"/>
              </w:rPr>
              <w:t>2002-2006: Chief Human Resources Officer at Merck, a global pharmaceutical company</w:t>
            </w:r>
            <w:r>
              <w:rPr/>
              <w:t xml:space="preserve"> </w:t>
            </w:r>
            <w:r>
              <mc:AlternateContent>
                <mc:Choice Requires="wps">
                  <w:drawing>
                    <wp:anchor behindDoc="0" distT="92710" distB="0" distL="127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55"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3pt;mso-wrap-distance-bottom:0pt;margin-top:7.3pt;mso-position-vertical:top;mso-position-vertical-relative:text;margin-left:10pt;mso-position-horizontal:left;mso-position-horizontal-relative:text">
                      <v:textbox>
                        <w:txbxContent>
                          <w:p>
                            <w:pPr>
                              <w:pStyle w:val="TextBody"/>
                              <w:bidi w:val="0"/>
                              <w:spacing w:lineRule="atLeast" w:line="226"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6" w:before="146" w:after="0"/>
              <w:ind w:left="400" w:right="0" w:hanging="0"/>
              <w:jc w:val="left"/>
              <w:rPr/>
            </w:pPr>
            <w:r>
              <w:rPr>
                <w:spacing w:val="-2"/>
              </w:rPr>
              <w:t>1995-2002: Held increasingly responsible leadership positions in Human Resources and Communications for Honeywell International, a global diversified company</w:t>
            </w:r>
            <w:r>
              <w:rPr/>
              <w:t xml:space="preserve"> </w:t>
            </w:r>
            <w:r>
              <mc:AlternateContent>
                <mc:Choice Requires="wps">
                  <w:drawing>
                    <wp:anchor behindDoc="0" distT="92710" distB="0" distL="127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56"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3pt;mso-wrap-distance-bottom:0pt;margin-top:7.3pt;mso-position-vertical:top;mso-position-vertical-relative:text;margin-left:10pt;mso-position-horizontal:left;mso-position-horizontal-relative:text">
                      <v:textbox>
                        <w:txbxContent>
                          <w:p>
                            <w:pPr>
                              <w:pStyle w:val="TextBody"/>
                              <w:bidi w:val="0"/>
                              <w:spacing w:lineRule="atLeast" w:line="226"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6" w:before="146" w:after="0"/>
              <w:ind w:left="400" w:right="0" w:hanging="0"/>
              <w:jc w:val="left"/>
              <w:rPr/>
            </w:pPr>
            <w:r>
              <w:rPr>
                <w:spacing w:val="-2"/>
              </w:rPr>
              <w:t>Prior to 1995: Held positions in Human Resources at Anheuser-Busch Companies and as a consultant with Booz, Allen &amp; Hamilton</w:t>
            </w:r>
            <w:r>
              <w:rPr/>
              <w:t xml:space="preserve"> </w:t>
            </w:r>
            <w:r>
              <mc:AlternateContent>
                <mc:Choice Requires="wps">
                  <w:drawing>
                    <wp:anchor behindDoc="0" distT="92710" distB="0" distL="127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57"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3pt;mso-wrap-distance-bottom:0pt;margin-top:7.3pt;mso-position-vertical:top;mso-position-vertical-relative:text;margin-left:10pt;mso-position-horizontal:left;mso-position-horizontal-relative:text">
                      <v:textbox>
                        <w:txbxContent>
                          <w:p>
                            <w:pPr>
                              <w:pStyle w:val="TextBody"/>
                              <w:bidi w:val="0"/>
                              <w:spacing w:lineRule="atLeast" w:line="226"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46" w:after="283"/>
              <w:jc w:val="left"/>
              <w:rPr>
                <w:b/>
                <w:color w:val="FF6A00"/>
              </w:rPr>
            </w:pPr>
            <w:r>
              <w:rPr>
                <w:b/>
                <w:color w:val="FF6A00"/>
                <w:spacing w:val="-2"/>
              </w:rPr>
              <w:t>Other Board Service</w:t>
            </w:r>
            <w:r>
              <w:rPr>
                <w:b/>
                <w:color w:val="FF6A00"/>
              </w:rPr>
              <w:t xml:space="preserve"> </w:t>
            </w:r>
          </w:p>
          <w:p>
            <w:pPr>
              <w:pStyle w:val="TableContents"/>
              <w:bidi w:val="0"/>
              <w:spacing w:lineRule="atLeast" w:line="226" w:before="146" w:after="0"/>
              <w:ind w:left="400" w:right="0" w:hanging="0"/>
              <w:jc w:val="left"/>
              <w:rPr/>
            </w:pPr>
            <w:r>
              <w:rPr>
                <w:spacing w:val="-2"/>
              </w:rPr>
              <w:t>Current Director of Acuity Brands, Inc., a publicly traded industrial technology company</w:t>
            </w:r>
            <w:r>
              <w:rPr/>
              <w:t xml:space="preserve"> </w:t>
            </w:r>
            <w:r>
              <mc:AlternateContent>
                <mc:Choice Requires="wps">
                  <w:drawing>
                    <wp:anchor behindDoc="0" distT="92710" distB="0" distL="127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58"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3pt;mso-wrap-distance-bottom:0pt;margin-top:7.3pt;mso-position-vertical:top;mso-position-vertical-relative:text;margin-left:10pt;mso-position-horizontal:left;mso-position-horizontal-relative:text">
                      <v:textbox>
                        <w:txbxContent>
                          <w:p>
                            <w:pPr>
                              <w:pStyle w:val="TextBody"/>
                              <w:bidi w:val="0"/>
                              <w:spacing w:lineRule="atLeast" w:line="226"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6" w:before="146" w:after="0"/>
              <w:ind w:left="400" w:right="0" w:hanging="0"/>
              <w:jc w:val="left"/>
              <w:rPr/>
            </w:pPr>
            <w:r>
              <w:rPr>
                <w:spacing w:val="-2"/>
              </w:rPr>
              <w:t>Current Director of Cornerstone Building Brands, a private manufacturer of exterior building products</w:t>
            </w:r>
            <w:r>
              <w:rPr/>
              <w:t xml:space="preserve"> </w:t>
            </w:r>
            <w:r>
              <mc:AlternateContent>
                <mc:Choice Requires="wps">
                  <w:drawing>
                    <wp:anchor behindDoc="0" distT="92710" distB="0" distL="127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59"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6"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3pt;mso-wrap-distance-bottom:0pt;margin-top:7.3pt;mso-position-vertical:top;mso-position-vertical-relative:text;margin-left:10pt;mso-position-horizontal:left;mso-position-horizontal-relative:text">
                      <v:textbox>
                        <w:txbxContent>
                          <w:p>
                            <w:pPr>
                              <w:pStyle w:val="TextBody"/>
                              <w:bidi w:val="0"/>
                              <w:spacing w:lineRule="atLeast" w:line="226"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46" w:after="0"/>
              <w:ind w:left="400" w:right="0" w:hanging="0"/>
              <w:jc w:val="left"/>
              <w:rPr/>
            </w:pPr>
            <w:r>
              <w:rPr>
                <w:spacing w:val="-2"/>
              </w:rPr>
              <w:t>Former Director of GCP Applied Technologies</w:t>
            </w:r>
            <w:r>
              <w:rPr/>
              <w:t xml:space="preserve"> </w:t>
            </w:r>
            <w:r>
              <mc:AlternateContent>
                <mc:Choice Requires="wps">
                  <w:drawing>
                    <wp:anchor behindDoc="0" distT="92710" distB="0" distL="127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60"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3pt;mso-wrap-distance-bottom:0pt;margin-top:7.3pt;mso-position-vertical:top;mso-position-vertical-relative:text;margin-left:10pt;mso-position-horizontal:left;mso-position-horizontal-relative:text">
                      <v:textbox>
                        <w:txbxContent>
                          <w:p>
                            <w:pPr>
                              <w:pStyle w:val="TextBody"/>
                              <w:bidi w:val="0"/>
                              <w:spacing w:lineRule="atLeast" w:line="20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46" w:after="0"/>
              <w:ind w:left="400" w:right="0" w:hanging="0"/>
              <w:jc w:val="left"/>
              <w:rPr/>
            </w:pPr>
            <w:r>
              <w:rPr>
                <w:spacing w:val="-2"/>
              </w:rPr>
              <w:t>Former Director of Lincoln National Corporation</w:t>
            </w:r>
            <w:r>
              <w:rPr/>
              <w:t xml:space="preserve"> </w:t>
            </w:r>
            <w:r>
              <mc:AlternateContent>
                <mc:Choice Requires="wps">
                  <w:drawing>
                    <wp:anchor behindDoc="0" distT="92710" distB="0" distL="127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61"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7.3pt;mso-wrap-distance-bottom:0pt;margin-top:7.3pt;mso-position-vertical:top;mso-position-vertical-relative:text;margin-left:10pt;mso-position-horizontal:left;mso-position-horizontal-relative:text">
                      <v:textbox>
                        <w:txbxContent>
                          <w:p>
                            <w:pPr>
                              <w:pStyle w:val="TextBody"/>
                              <w:bidi w:val="0"/>
                              <w:spacing w:lineRule="atLeast" w:line="20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6" w:before="146" w:after="283"/>
              <w:jc w:val="left"/>
              <w:rPr/>
            </w:pPr>
            <w:r>
              <w:rPr>
                <w:spacing w:val="-2"/>
              </w:rPr>
              <w:t>Ms. Avedon brings to Generac extensive expertise on global human resources and human capital topics. Ms. Avedon has over 30 years of experience leading organizational transformation, talent and succession management, culture change, corporate social responsibility, and communications.</w:t>
            </w:r>
            <w:r>
              <w:rPr/>
              <w:t xml:space="preserve"> </w:t>
            </w:r>
          </w:p>
          <w:p>
            <w:pPr>
              <w:pStyle w:val="TableContents"/>
              <w:bidi w:val="0"/>
              <w:spacing w:lineRule="atLeast" w:line="226" w:before="146" w:after="283"/>
              <w:jc w:val="left"/>
              <w:rPr/>
            </w:pPr>
            <w:r>
              <w:rPr>
                <w:spacing w:val="-2"/>
              </w:rPr>
              <w:t>Ms. Avedon earned a Bachelor of Arts in Psychology from the University of North Carolina at Wilmington, and a Master’s Degree and Ph.D. in Industrial and Organizational Psychology from George Washington University.</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42" w:type="dxa"/>
        <w:jc w:val="left"/>
        <w:tblInd w:w="1140" w:type="dxa"/>
        <w:tblLayout w:type="fixed"/>
        <w:tblCellMar>
          <w:top w:w="0" w:type="dxa"/>
          <w:left w:w="0" w:type="dxa"/>
          <w:bottom w:w="0" w:type="dxa"/>
          <w:right w:w="0" w:type="dxa"/>
        </w:tblCellMar>
      </w:tblPr>
      <w:tblGrid>
        <w:gridCol w:w="124"/>
        <w:gridCol w:w="1706"/>
        <w:gridCol w:w="109"/>
        <w:gridCol w:w="109"/>
        <w:gridCol w:w="286"/>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6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6" descr=""/>
                          <pic:cNvPicPr>
                            <a:picLocks noChangeAspect="1" noChangeArrowheads="1"/>
                          </pic:cNvPicPr>
                        </pic:nvPicPr>
                        <pic:blipFill>
                          <a:blip r:embed="rId36"/>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rFonts w:ascii="Arial;Helvetica;sans-serif" w:hAnsi="Arial;Helvetica;sans-serif"/>
          <w:b w:val="false"/>
          <w:i w:val="false"/>
          <w:caps w:val="false"/>
          <w:smallCaps w:val="false"/>
          <w:color w:val="FF6A00"/>
          <w:sz w:val="22"/>
        </w:rPr>
      </w:pPr>
      <w:r>
        <w:rPr>
          <w:rFonts w:ascii="Arial;Helvetica;sans-serif" w:hAnsi="Arial;Helvetica;sans-serif"/>
          <w:b w:val="false"/>
          <w:i w:val="false"/>
          <w:caps w:val="false"/>
          <w:smallCaps w:val="false"/>
          <w:color w:val="FF6A00"/>
          <w:spacing w:val="-2"/>
          <w:sz w:val="22"/>
        </w:rPr>
        <w:t>PROPOSAL 1 — ELECTION OF CLASS II DIRECTORS</w:t>
      </w:r>
      <w:r>
        <w:rPr>
          <w:rFonts w:ascii="Arial;Helvetica;sans-serif" w:hAnsi="Arial;Helvetica;sans-serif"/>
          <w:b w:val="false"/>
          <w:i w:val="false"/>
          <w:caps w:val="false"/>
          <w:smallCaps w:val="false"/>
          <w:color w:val="FF6A00"/>
          <w:sz w:val="22"/>
        </w:rPr>
        <w:t xml:space="preserve"> </w:t>
      </w:r>
    </w:p>
    <w:tbl>
      <w:tblPr>
        <w:tblW w:w="9065" w:type="dxa"/>
        <w:jc w:val="left"/>
        <w:tblInd w:w="1140" w:type="dxa"/>
        <w:tblLayout w:type="fixed"/>
        <w:tblCellMar>
          <w:top w:w="0" w:type="dxa"/>
          <w:left w:w="0" w:type="dxa"/>
          <w:bottom w:w="140" w:type="dxa"/>
          <w:right w:w="0" w:type="dxa"/>
        </w:tblCellMar>
      </w:tblPr>
      <w:tblGrid>
        <w:gridCol w:w="1921"/>
        <w:gridCol w:w="109"/>
        <w:gridCol w:w="109"/>
        <w:gridCol w:w="6771"/>
        <w:gridCol w:w="155"/>
      </w:tblGrid>
      <w:tr>
        <w:trPr/>
        <w:tc>
          <w:tcPr>
            <w:tcW w:w="8910" w:type="dxa"/>
            <w:gridSpan w:val="4"/>
            <w:tcBorders>
              <w:bottom w:val="single" w:sz="2" w:space="0" w:color="FF6A00"/>
            </w:tcBorders>
            <w:vAlign w:val="center"/>
          </w:tcPr>
          <w:p>
            <w:pPr>
              <w:pStyle w:val="TableContents"/>
              <w:bidi w:val="0"/>
              <w:spacing w:before="0" w:after="0"/>
              <w:jc w:val="left"/>
              <w:rPr>
                <w:spacing w:val="-2"/>
              </w:rPr>
            </w:pPr>
            <w:r>
              <w:rPr>
                <w:spacing w:val="-2"/>
              </w:rPr>
              <w:t xml:space="preserve">BENNETT J. MORGAN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21" w:type="dxa"/>
            <w:tcBorders/>
            <w:tcMar>
              <w:bottom w:w="0" w:type="dxa"/>
            </w:tcMar>
            <w:vAlign w:val="center"/>
          </w:tcPr>
          <w:p>
            <w:pPr>
              <w:pStyle w:val="TableContents"/>
              <w:bidi w:val="0"/>
              <w:spacing w:before="0" w:after="0"/>
              <w:jc w:val="left"/>
              <w:rPr/>
            </w:pPr>
            <w:r>
              <w:rPr/>
              <w:drawing>
                <wp:inline distT="0" distB="0" distL="0" distR="0">
                  <wp:extent cx="1152525" cy="1371600"/>
                  <wp:effectExtent l="0" t="0" r="0" b="0"/>
                  <wp:docPr id="6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7" descr=""/>
                          <pic:cNvPicPr>
                            <a:picLocks noChangeAspect="1" noChangeArrowheads="1"/>
                          </pic:cNvPicPr>
                        </pic:nvPicPr>
                        <pic:blipFill>
                          <a:blip r:embed="rId37"/>
                          <a:stretch>
                            <a:fillRect/>
                          </a:stretch>
                        </pic:blipFill>
                        <pic:spPr bwMode="auto">
                          <a:xfrm>
                            <a:off x="0" y="0"/>
                            <a:ext cx="1152525" cy="1371600"/>
                          </a:xfrm>
                          <a:prstGeom prst="rect">
                            <a:avLst/>
                          </a:prstGeom>
                        </pic:spPr>
                      </pic:pic>
                    </a:graphicData>
                  </a:graphic>
                </wp:inline>
              </w:drawing>
            </w:r>
            <w:r>
              <w:rPr/>
              <w:t xml:space="preserve"> </w:t>
            </w:r>
          </w:p>
          <w:p>
            <w:pPr>
              <w:pStyle w:val="TableContents"/>
              <w:bidi w:val="0"/>
              <w:spacing w:lineRule="atLeast" w:line="160" w:before="480" w:after="283"/>
              <w:jc w:val="left"/>
              <w:rPr>
                <w:b/>
                <w:i/>
                <w:sz w:val="16"/>
              </w:rPr>
            </w:pPr>
            <w:r>
              <w:rPr>
                <w:b/>
                <w:i/>
                <w:spacing w:val="-2"/>
                <w:sz w:val="16"/>
              </w:rPr>
              <w:t>Age:</w:t>
            </w:r>
            <w:r>
              <w:rPr>
                <w:b/>
                <w:i/>
                <w:caps w:val="false"/>
                <w:smallCaps w:val="false"/>
                <w:spacing w:val="-2"/>
                <w:sz w:val="16"/>
              </w:rPr>
              <w:t xml:space="preserve"> </w:t>
            </w:r>
            <w:r>
              <w:rPr>
                <w:b w:val="false"/>
                <w:i w:val="false"/>
                <w:caps w:val="false"/>
                <w:smallCaps w:val="false"/>
                <w:spacing w:val="-2"/>
                <w:sz w:val="16"/>
              </w:rPr>
              <w:t>62</w:t>
            </w:r>
            <w:r>
              <w:rPr>
                <w:b/>
                <w:i/>
                <w:sz w:val="16"/>
              </w:rPr>
              <w:t xml:space="preserve"> </w:t>
            </w:r>
          </w:p>
          <w:p>
            <w:pPr>
              <w:pStyle w:val="TableContents"/>
              <w:bidi w:val="0"/>
              <w:spacing w:lineRule="atLeast" w:line="160" w:before="120" w:after="283"/>
              <w:jc w:val="left"/>
              <w:rPr>
                <w:b/>
                <w:i/>
                <w:sz w:val="16"/>
              </w:rPr>
            </w:pPr>
            <w:r>
              <w:rPr>
                <w:b/>
                <w:i/>
                <w:spacing w:val="-2"/>
                <w:sz w:val="16"/>
              </w:rPr>
              <w:t>Director Since:</w:t>
            </w:r>
            <w:r>
              <w:rPr>
                <w:b/>
                <w:i/>
                <w:caps w:val="false"/>
                <w:smallCaps w:val="false"/>
                <w:spacing w:val="-2"/>
                <w:sz w:val="16"/>
              </w:rPr>
              <w:t xml:space="preserve"> </w:t>
            </w:r>
            <w:r>
              <w:rPr>
                <w:b w:val="false"/>
                <w:i w:val="false"/>
                <w:caps w:val="false"/>
                <w:smallCaps w:val="false"/>
                <w:spacing w:val="-2"/>
                <w:sz w:val="16"/>
              </w:rPr>
              <w:t xml:space="preserve">2013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71" w:type="dxa"/>
            <w:tcBorders/>
            <w:tcMar>
              <w:bottom w:w="0" w:type="dxa"/>
            </w:tcMar>
            <w:vAlign w:val="center"/>
          </w:tcPr>
          <w:p>
            <w:pPr>
              <w:pStyle w:val="TableContents"/>
              <w:bidi w:val="0"/>
              <w:spacing w:lineRule="atLeast" w:line="240" w:before="0" w:after="0"/>
              <w:jc w:val="left"/>
              <w:rPr>
                <w:b/>
                <w:color w:val="FF6A00"/>
              </w:rPr>
            </w:pPr>
            <w:r>
              <w:rPr>
                <w:b/>
                <w:color w:val="FF6A00"/>
                <w:spacing w:val="-2"/>
              </w:rPr>
              <w:t>EXPERIENCE &amp; QUALIFICATIONS</w:t>
            </w:r>
            <w:r>
              <w:rPr>
                <w:b/>
                <w:color w:val="FF6A00"/>
              </w:rPr>
              <w:t xml:space="preserve"> </w:t>
            </w:r>
          </w:p>
          <w:p>
            <w:pPr>
              <w:pStyle w:val="TableContents"/>
              <w:bidi w:val="0"/>
              <w:spacing w:lineRule="atLeast" w:line="240" w:before="160" w:after="0"/>
              <w:ind w:left="400" w:right="0" w:hanging="0"/>
              <w:jc w:val="left"/>
              <w:rPr/>
            </w:pPr>
            <w:r>
              <w:rPr>
                <w:spacing w:val="-2"/>
              </w:rPr>
              <w:t>2005-2016: President and Chief Operating Officer, Polaris Industries Inc., a manufacturer of power sports vehicles (“Polaris”)</w:t>
            </w:r>
            <w:r>
              <w:rPr/>
              <w:t xml:space="preserve"> </w:t>
            </w:r>
            <w:r>
              <mc:AlternateContent>
                <mc:Choice Requires="wps">
                  <w:drawing>
                    <wp:anchor behindDoc="0" distT="101600" distB="0" distL="127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64"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2004-2005: Vice President and General Manager, ATV Division, Polaris</w:t>
            </w:r>
            <w:r>
              <w:rPr/>
              <w:t xml:space="preserve"> </w:t>
            </w:r>
            <w:r>
              <mc:AlternateContent>
                <mc:Choice Requires="wps">
                  <w:drawing>
                    <wp:anchor behindDoc="0" distT="101600" distB="0" distL="127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65"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2001-2004: General Manager, ATV Division, Polaris</w:t>
            </w:r>
            <w:r>
              <w:rPr/>
              <w:t xml:space="preserve"> </w:t>
            </w:r>
            <w:r>
              <mc:AlternateContent>
                <mc:Choice Requires="wps">
                  <w:drawing>
                    <wp:anchor behindDoc="0" distT="101600" distB="0" distL="127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66"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1997-2001: General Manager, PGA Division, Polaris</w:t>
            </w:r>
            <w:r>
              <w:rPr/>
              <w:t xml:space="preserve"> </w:t>
            </w:r>
            <w:r>
              <mc:AlternateContent>
                <mc:Choice Requires="wps">
                  <w:drawing>
                    <wp:anchor behindDoc="0" distT="101600" distB="0" distL="127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67"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1987-1997: Held various marketing, product development, and operations positions at Polaris Industries</w:t>
            </w:r>
            <w:r>
              <w:rPr/>
              <w:t xml:space="preserve"> </w:t>
            </w:r>
            <w:r>
              <mc:AlternateContent>
                <mc:Choice Requires="wps">
                  <w:drawing>
                    <wp:anchor behindDoc="0" distT="101600" distB="0" distL="127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68"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283"/>
              <w:jc w:val="left"/>
              <w:rPr/>
            </w:pPr>
            <w:r>
              <w:rPr>
                <w:spacing w:val="-2"/>
              </w:rPr>
              <w:t>Mr. Morgan brings to Generac extensive leadership skills. Having served in senior roles as President and Chief Operating Officer for a public company, Mr. Morgan has over 25 years of expertise in international consumer durables products, dealer distribution, product development, and innovation. Serving in these leadership roles provides Mr. Morgan with in-depth knowledge of strategic growth and development and company oversight, including talent development, product development, sales and marketing, engineering, and manufacturing operations.</w:t>
            </w:r>
            <w:r>
              <w:rPr/>
              <w:t xml:space="preserve"> </w:t>
            </w:r>
          </w:p>
          <w:p>
            <w:pPr>
              <w:pStyle w:val="TableContents"/>
              <w:bidi w:val="0"/>
              <w:spacing w:lineRule="atLeast" w:line="240" w:before="160" w:after="283"/>
              <w:jc w:val="left"/>
              <w:rPr/>
            </w:pPr>
            <w:r>
              <w:rPr>
                <w:spacing w:val="-2"/>
              </w:rPr>
              <w:t>Mr. Morgan earned his Bachelor of Science in Economics from St. John’s University and Master of Business Administration from the Carlson School of Management at the University of Minnesota.</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42" w:type="dxa"/>
        <w:jc w:val="left"/>
        <w:tblInd w:w="1140" w:type="dxa"/>
        <w:tblLayout w:type="fixed"/>
        <w:tblCellMar>
          <w:top w:w="0" w:type="dxa"/>
          <w:left w:w="0" w:type="dxa"/>
          <w:bottom w:w="0" w:type="dxa"/>
          <w:right w:w="0" w:type="dxa"/>
        </w:tblCellMar>
      </w:tblPr>
      <w:tblGrid>
        <w:gridCol w:w="124"/>
        <w:gridCol w:w="1706"/>
        <w:gridCol w:w="109"/>
        <w:gridCol w:w="109"/>
        <w:gridCol w:w="286"/>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6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8" descr=""/>
                          <pic:cNvPicPr>
                            <a:picLocks noChangeAspect="1" noChangeArrowheads="1"/>
                          </pic:cNvPicPr>
                        </pic:nvPicPr>
                        <pic:blipFill>
                          <a:blip r:embed="rId38"/>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7</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NAM2"/>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rFonts w:ascii="Arial;Helvetica;sans-serif" w:hAnsi="Arial;Helvetica;sans-serif"/>
          <w:b w:val="false"/>
          <w:i w:val="false"/>
          <w:caps w:val="false"/>
          <w:smallCaps w:val="false"/>
          <w:color w:val="FF6A00"/>
          <w:sz w:val="22"/>
        </w:rPr>
      </w:pPr>
      <w:r>
        <w:rPr>
          <w:rFonts w:ascii="Arial;Helvetica;sans-serif" w:hAnsi="Arial;Helvetica;sans-serif"/>
          <w:b w:val="false"/>
          <w:i w:val="false"/>
          <w:caps w:val="false"/>
          <w:smallCaps w:val="false"/>
          <w:color w:val="FF6A00"/>
          <w:spacing w:val="-2"/>
          <w:sz w:val="22"/>
        </w:rPr>
        <w:t>PROPOSAL 1 — ELECTION OF CLASS II DIRECTORS</w:t>
      </w:r>
      <w:r>
        <w:rPr>
          <w:rFonts w:ascii="Arial;Helvetica;sans-serif" w:hAnsi="Arial;Helvetica;sans-serif"/>
          <w:b w:val="false"/>
          <w:i w:val="false"/>
          <w:caps w:val="false"/>
          <w:smallCaps w:val="false"/>
          <w:color w:val="FF6A00"/>
          <w:sz w:val="22"/>
        </w:rPr>
        <w:t xml:space="preserve"> </w:t>
      </w:r>
    </w:p>
    <w:tbl>
      <w:tblPr>
        <w:tblW w:w="9065" w:type="dxa"/>
        <w:jc w:val="left"/>
        <w:tblInd w:w="1140" w:type="dxa"/>
        <w:tblLayout w:type="fixed"/>
        <w:tblCellMar>
          <w:top w:w="0" w:type="dxa"/>
          <w:left w:w="0" w:type="dxa"/>
          <w:bottom w:w="140" w:type="dxa"/>
          <w:right w:w="0" w:type="dxa"/>
        </w:tblCellMar>
      </w:tblPr>
      <w:tblGrid>
        <w:gridCol w:w="1922"/>
        <w:gridCol w:w="109"/>
        <w:gridCol w:w="109"/>
        <w:gridCol w:w="6770"/>
        <w:gridCol w:w="155"/>
      </w:tblGrid>
      <w:tr>
        <w:trPr/>
        <w:tc>
          <w:tcPr>
            <w:tcW w:w="8910" w:type="dxa"/>
            <w:gridSpan w:val="4"/>
            <w:tcBorders>
              <w:bottom w:val="single" w:sz="2" w:space="0" w:color="FF6A00"/>
            </w:tcBorders>
            <w:vAlign w:val="center"/>
          </w:tcPr>
          <w:p>
            <w:pPr>
              <w:pStyle w:val="TableContents"/>
              <w:bidi w:val="0"/>
              <w:spacing w:before="0" w:after="0"/>
              <w:jc w:val="left"/>
              <w:rPr>
                <w:spacing w:val="-2"/>
              </w:rPr>
            </w:pPr>
            <w:r>
              <w:rPr>
                <w:spacing w:val="-2"/>
              </w:rPr>
              <w:t xml:space="preserve">DOMINICK P. ZARCONE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22" w:type="dxa"/>
            <w:tcBorders/>
            <w:tcMar>
              <w:bottom w:w="0" w:type="dxa"/>
            </w:tcMar>
            <w:vAlign w:val="center"/>
          </w:tcPr>
          <w:p>
            <w:pPr>
              <w:pStyle w:val="TableContents"/>
              <w:bidi w:val="0"/>
              <w:spacing w:before="0" w:after="0"/>
              <w:jc w:val="left"/>
              <w:rPr/>
            </w:pPr>
            <w:r>
              <w:rPr/>
              <w:drawing>
                <wp:inline distT="0" distB="0" distL="0" distR="0">
                  <wp:extent cx="1152525" cy="1371600"/>
                  <wp:effectExtent l="0" t="0" r="0" b="0"/>
                  <wp:docPr id="7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9" descr=""/>
                          <pic:cNvPicPr>
                            <a:picLocks noChangeAspect="1" noChangeArrowheads="1"/>
                          </pic:cNvPicPr>
                        </pic:nvPicPr>
                        <pic:blipFill>
                          <a:blip r:embed="rId39"/>
                          <a:stretch>
                            <a:fillRect/>
                          </a:stretch>
                        </pic:blipFill>
                        <pic:spPr bwMode="auto">
                          <a:xfrm>
                            <a:off x="0" y="0"/>
                            <a:ext cx="1152525" cy="1371600"/>
                          </a:xfrm>
                          <a:prstGeom prst="rect">
                            <a:avLst/>
                          </a:prstGeom>
                        </pic:spPr>
                      </pic:pic>
                    </a:graphicData>
                  </a:graphic>
                </wp:inline>
              </w:drawing>
            </w:r>
            <w:r>
              <w:rPr/>
              <w:t xml:space="preserve"> </w:t>
            </w:r>
          </w:p>
          <w:p>
            <w:pPr>
              <w:pStyle w:val="TableContents"/>
              <w:bidi w:val="0"/>
              <w:spacing w:lineRule="atLeast" w:line="160" w:before="480" w:after="283"/>
              <w:jc w:val="left"/>
              <w:rPr>
                <w:b/>
                <w:i/>
                <w:sz w:val="16"/>
              </w:rPr>
            </w:pPr>
            <w:r>
              <w:rPr>
                <w:b/>
                <w:i/>
                <w:spacing w:val="-2"/>
                <w:sz w:val="16"/>
              </w:rPr>
              <w:t>Age:</w:t>
            </w:r>
            <w:r>
              <w:rPr>
                <w:b/>
                <w:i/>
                <w:caps w:val="false"/>
                <w:smallCaps w:val="false"/>
                <w:spacing w:val="-2"/>
                <w:sz w:val="16"/>
              </w:rPr>
              <w:t xml:space="preserve"> </w:t>
            </w:r>
            <w:r>
              <w:rPr>
                <w:b w:val="false"/>
                <w:i w:val="false"/>
                <w:caps w:val="false"/>
                <w:smallCaps w:val="false"/>
                <w:spacing w:val="-2"/>
                <w:sz w:val="16"/>
              </w:rPr>
              <w:t>67</w:t>
            </w:r>
            <w:r>
              <w:rPr>
                <w:b/>
                <w:i/>
                <w:sz w:val="16"/>
              </w:rPr>
              <w:t xml:space="preserve"> </w:t>
            </w:r>
          </w:p>
          <w:p>
            <w:pPr>
              <w:pStyle w:val="TableContents"/>
              <w:bidi w:val="0"/>
              <w:spacing w:lineRule="atLeast" w:line="160" w:before="120" w:after="283"/>
              <w:jc w:val="left"/>
              <w:rPr>
                <w:b/>
                <w:i/>
                <w:sz w:val="16"/>
              </w:rPr>
            </w:pPr>
            <w:r>
              <w:rPr>
                <w:b/>
                <w:i/>
                <w:spacing w:val="-2"/>
                <w:sz w:val="16"/>
              </w:rPr>
              <w:t>Director Since:</w:t>
            </w:r>
            <w:r>
              <w:rPr>
                <w:b/>
                <w:i/>
                <w:caps w:val="false"/>
                <w:smallCaps w:val="false"/>
                <w:spacing w:val="-2"/>
                <w:sz w:val="16"/>
              </w:rPr>
              <w:t xml:space="preserve"> </w:t>
            </w:r>
            <w:r>
              <w:rPr>
                <w:b w:val="false"/>
                <w:i w:val="false"/>
                <w:caps w:val="false"/>
                <w:smallCaps w:val="false"/>
                <w:spacing w:val="-2"/>
                <w:sz w:val="16"/>
              </w:rPr>
              <w:t xml:space="preserve">2017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70" w:type="dxa"/>
            <w:tcBorders/>
            <w:tcMar>
              <w:bottom w:w="0" w:type="dxa"/>
            </w:tcMar>
            <w:vAlign w:val="center"/>
          </w:tcPr>
          <w:p>
            <w:pPr>
              <w:pStyle w:val="TableContents"/>
              <w:bidi w:val="0"/>
              <w:spacing w:lineRule="atLeast" w:line="240" w:before="0" w:after="0"/>
              <w:jc w:val="left"/>
              <w:rPr>
                <w:b/>
                <w:color w:val="FF6A00"/>
              </w:rPr>
            </w:pPr>
            <w:r>
              <w:rPr>
                <w:b/>
                <w:color w:val="FF6A00"/>
                <w:spacing w:val="-2"/>
              </w:rPr>
              <w:t>EXPERIENCE &amp; QUALIFICATIONS</w:t>
            </w:r>
            <w:r>
              <w:rPr>
                <w:b/>
                <w:color w:val="FF6A00"/>
              </w:rPr>
              <w:t xml:space="preserve"> </w:t>
            </w:r>
          </w:p>
          <w:p>
            <w:pPr>
              <w:pStyle w:val="TableContents"/>
              <w:bidi w:val="0"/>
              <w:spacing w:lineRule="atLeast" w:line="240" w:before="160" w:after="0"/>
              <w:ind w:left="400" w:right="0" w:hanging="0"/>
              <w:jc w:val="left"/>
              <w:rPr/>
            </w:pPr>
            <w:r>
              <w:rPr>
                <w:spacing w:val="-2"/>
              </w:rPr>
              <w:t>2017-2024: President and Chief Executive Officer of LKQ Corporation, a global distributor of vehicle parts and accessories</w:t>
            </w:r>
            <w:r>
              <w:rPr/>
              <w:t xml:space="preserve"> </w:t>
            </w:r>
            <w:r>
              <mc:AlternateContent>
                <mc:Choice Requires="wps">
                  <w:drawing>
                    <wp:anchor behindDoc="0" distT="101600" distB="0" distL="127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71"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2015-2017: Chief Financial Officer, LKQ Corporation</w:t>
            </w:r>
            <w:r>
              <w:rPr/>
              <w:t xml:space="preserve"> </w:t>
            </w:r>
            <w:r>
              <mc:AlternateContent>
                <mc:Choice Requires="wps">
                  <w:drawing>
                    <wp:anchor behindDoc="0" distT="101600" distB="0" distL="127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72"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2011-2015: Managing Director and Chief Financial Officer of Baird Financial Group, a capital markets and wealth management company, and certain of its affiliates</w:t>
            </w:r>
            <w:r>
              <w:rPr/>
              <w:t xml:space="preserve"> </w:t>
            </w:r>
            <w:r>
              <mc:AlternateContent>
                <mc:Choice Requires="wps">
                  <w:drawing>
                    <wp:anchor behindDoc="0" distT="101600" distB="0" distL="127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73"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2011-2015: Treasurer of Baird Funds, Inc., a family of fixed income and equity mutual funds managed by Robert W. Baird &amp; Co. Incorporated, a registered broker/dealer</w:t>
            </w:r>
            <w:r>
              <w:rPr/>
              <w:t xml:space="preserve"> </w:t>
            </w:r>
            <w:r>
              <mc:AlternateContent>
                <mc:Choice Requires="wps">
                  <w:drawing>
                    <wp:anchor behindDoc="0" distT="101600" distB="0" distL="127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74"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1995-2011: Managing Director of the Investment Banking department of Robert W. Baird &amp; Co. Incorporated</w:t>
            </w:r>
            <w:r>
              <w:rPr/>
              <w:t xml:space="preserve"> </w:t>
            </w:r>
            <w:r>
              <mc:AlternateContent>
                <mc:Choice Requires="wps">
                  <w:drawing>
                    <wp:anchor behindDoc="0" distT="101600" distB="0" distL="127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75"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1986-1995: Held various positions with investment banking company Kidder, Peabody &amp; Co., Incorporated, most recently as Senior Vice President of Investment Banking</w:t>
            </w:r>
            <w:r>
              <w:rPr/>
              <w:t xml:space="preserve"> </w:t>
            </w:r>
            <w:r>
              <mc:AlternateContent>
                <mc:Choice Requires="wps">
                  <w:drawing>
                    <wp:anchor behindDoc="0" distT="101600" distB="0" distL="127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76"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283"/>
              <w:jc w:val="left"/>
              <w:rPr>
                <w:b/>
                <w:color w:val="FF6A00"/>
              </w:rPr>
            </w:pPr>
            <w:r>
              <w:rPr>
                <w:b/>
                <w:color w:val="FF6A00"/>
                <w:spacing w:val="-2"/>
              </w:rPr>
              <w:t>Other Board Service</w:t>
            </w:r>
            <w:r>
              <w:rPr>
                <w:b/>
                <w:color w:val="FF6A00"/>
              </w:rPr>
              <w:t xml:space="preserve"> </w:t>
            </w:r>
          </w:p>
          <w:p>
            <w:pPr>
              <w:pStyle w:val="TableContents"/>
              <w:bidi w:val="0"/>
              <w:spacing w:lineRule="atLeast" w:line="240" w:before="160" w:after="0"/>
              <w:ind w:left="400" w:right="0" w:hanging="0"/>
              <w:jc w:val="left"/>
              <w:rPr/>
            </w:pPr>
            <w:r>
              <w:rPr>
                <w:spacing w:val="-2"/>
              </w:rPr>
              <w:t>Current Director at Asphalt ATD Holdco, LLC, a privately held company and wholesale distributor of vehicle replacement tires and related accessories</w:t>
            </w:r>
            <w:r>
              <w:rPr/>
              <w:t xml:space="preserve"> </w:t>
            </w:r>
            <w:r>
              <mc:AlternateContent>
                <mc:Choice Requires="wps">
                  <w:drawing>
                    <wp:anchor behindDoc="0" distT="101600" distB="0" distL="127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77"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Current Board Chair of MEKO Group AB (Stockholm), a publicly traded distributor of automotive parts and accessories in Europe</w:t>
            </w:r>
            <w:r>
              <w:rPr/>
              <w:t xml:space="preserve"> </w:t>
            </w:r>
            <w:r>
              <mc:AlternateContent>
                <mc:Choice Requires="wps">
                  <w:drawing>
                    <wp:anchor behindDoc="0" distT="101600" distB="0" distL="127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78"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Current Director at WillScot Holdings Corporation, a public company and provider of mobile storage solutions and modular buildings</w:t>
            </w:r>
            <w:r>
              <w:rPr/>
              <w:t xml:space="preserve"> </w:t>
            </w:r>
            <w:r>
              <mc:AlternateContent>
                <mc:Choice Requires="wps">
                  <w:drawing>
                    <wp:anchor behindDoc="0" distT="101600" distB="0" distL="127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79"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Former Director of LKQ Corporation</w:t>
            </w:r>
            <w:r>
              <w:rPr/>
              <w:t xml:space="preserve"> </w:t>
            </w:r>
            <w:r>
              <mc:AlternateContent>
                <mc:Choice Requires="wps">
                  <w:drawing>
                    <wp:anchor behindDoc="0" distT="101600" distB="0" distL="127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80"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283"/>
              <w:jc w:val="left"/>
              <w:rPr/>
            </w:pPr>
            <w:r>
              <w:rPr>
                <w:spacing w:val="-2"/>
              </w:rPr>
              <w:t>Mr. Zarcone brings to Generac extensive management and leadership experience, serving in senior leadership roles as Chief Executive Officer and Chief Financial Officer of a public corporation. Mr. Zarcone has also held senior leadership roles as Managing Director and Chief Financial Officer of privately held companies. Mr. Zarcone has over 35 years of expertise in investment banking, wealth management, and capital markets bringing significant financial expertise to Generac.</w:t>
            </w:r>
            <w:r>
              <w:rPr/>
              <w:t xml:space="preserve"> </w:t>
            </w:r>
          </w:p>
          <w:p>
            <w:pPr>
              <w:pStyle w:val="TableContents"/>
              <w:bidi w:val="0"/>
              <w:spacing w:lineRule="atLeast" w:line="240" w:before="160" w:after="283"/>
              <w:jc w:val="left"/>
              <w:rPr/>
            </w:pPr>
            <w:r>
              <w:rPr>
                <w:spacing w:val="-2"/>
              </w:rPr>
              <w:t>Mr. Zarcone earned his Bachelor of Science in Finance from the University of Illinois at Urbana-Champaign and Master of Business Administration from the University of Chicago Graduate School of Business.</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42" w:type="dxa"/>
        <w:jc w:val="left"/>
        <w:tblInd w:w="1140" w:type="dxa"/>
        <w:tblLayout w:type="fixed"/>
        <w:tblCellMar>
          <w:top w:w="0" w:type="dxa"/>
          <w:left w:w="0" w:type="dxa"/>
          <w:bottom w:w="0" w:type="dxa"/>
          <w:right w:w="0" w:type="dxa"/>
        </w:tblCellMar>
      </w:tblPr>
      <w:tblGrid>
        <w:gridCol w:w="124"/>
        <w:gridCol w:w="1706"/>
        <w:gridCol w:w="109"/>
        <w:gridCol w:w="109"/>
        <w:gridCol w:w="286"/>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8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0" descr=""/>
                          <pic:cNvPicPr>
                            <a:picLocks noChangeAspect="1" noChangeArrowheads="1"/>
                          </pic:cNvPicPr>
                        </pic:nvPicPr>
                        <pic:blipFill>
                          <a:blip r:embed="rId40"/>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rFonts w:ascii="Arial;Helvetica;sans-serif" w:hAnsi="Arial;Helvetica;sans-serif"/>
          <w:b w:val="false"/>
          <w:i w:val="false"/>
          <w:caps w:val="false"/>
          <w:smallCaps w:val="false"/>
          <w:color w:val="FF6A00"/>
          <w:sz w:val="22"/>
        </w:rPr>
      </w:pPr>
      <w:r>
        <w:rPr>
          <w:rFonts w:ascii="Arial;Helvetica;sans-serif" w:hAnsi="Arial;Helvetica;sans-serif"/>
          <w:b w:val="false"/>
          <w:i w:val="false"/>
          <w:caps w:val="false"/>
          <w:smallCaps w:val="false"/>
          <w:color w:val="FF6A00"/>
          <w:spacing w:val="-2"/>
          <w:sz w:val="22"/>
        </w:rPr>
        <w:t>PROPOSAL 1 — ELECTION OF CLASS II DIRECTORS</w:t>
      </w:r>
      <w:r>
        <w:rPr>
          <w:rFonts w:ascii="Arial;Helvetica;sans-serif" w:hAnsi="Arial;Helvetica;sans-serif"/>
          <w:b w:val="false"/>
          <w:i w:val="false"/>
          <w:caps w:val="false"/>
          <w:smallCaps w:val="false"/>
          <w:color w:val="FF6A00"/>
          <w:sz w:val="22"/>
        </w:rPr>
        <w:t xml:space="preserve"> </w:t>
      </w:r>
    </w:p>
    <w:p>
      <w:pPr>
        <w:pStyle w:val="TextBody"/>
        <w:bidi w:val="0"/>
        <w:spacing w:lineRule="atLeast" w:line="400" w:before="480" w:after="283"/>
        <w:ind w:left="1140" w:right="0" w:hanging="0"/>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Other Members of the Board of Directors</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Including the nominees, the Board of Directors currently consists of ten directors, each of whom, other than the nominees, is described below. The terms of the Class III Directors expire at the 2027 annual meeting of Stockholders, subject to the election and qualification of their respective successors. The terms of the Class I Directors expire at the 2028 Annual Meeting of Stockholders, subject to the election and qualification of their respective successors.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60" w:before="240" w:after="283"/>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2"/>
          <w:sz w:val="22"/>
        </w:rPr>
        <w:t>Class I Directors</w:t>
      </w:r>
      <w:r>
        <w:rPr>
          <w:rFonts w:ascii="Arial;Helvetica;sans-serif" w:hAnsi="Arial;Helvetica;sans-serif"/>
          <w:b/>
          <w:i w:val="false"/>
          <w:caps w:val="false"/>
          <w:smallCaps w:val="false"/>
          <w:color w:val="000000"/>
          <w:spacing w:val="4"/>
          <w:sz w:val="22"/>
        </w:rPr>
        <w:t xml:space="preserve"> </w:t>
      </w:r>
    </w:p>
    <w:tbl>
      <w:tblPr>
        <w:tblW w:w="9065" w:type="dxa"/>
        <w:jc w:val="left"/>
        <w:tblInd w:w="1140" w:type="dxa"/>
        <w:tblLayout w:type="fixed"/>
        <w:tblCellMar>
          <w:top w:w="0" w:type="dxa"/>
          <w:left w:w="0" w:type="dxa"/>
          <w:bottom w:w="140" w:type="dxa"/>
          <w:right w:w="0" w:type="dxa"/>
        </w:tblCellMar>
      </w:tblPr>
      <w:tblGrid>
        <w:gridCol w:w="1905"/>
        <w:gridCol w:w="109"/>
        <w:gridCol w:w="109"/>
        <w:gridCol w:w="6787"/>
        <w:gridCol w:w="155"/>
      </w:tblGrid>
      <w:tr>
        <w:trPr/>
        <w:tc>
          <w:tcPr>
            <w:tcW w:w="8910" w:type="dxa"/>
            <w:gridSpan w:val="4"/>
            <w:tcBorders>
              <w:bottom w:val="single" w:sz="2" w:space="0" w:color="FF6A00"/>
            </w:tcBorders>
            <w:vAlign w:val="center"/>
          </w:tcPr>
          <w:p>
            <w:pPr>
              <w:pStyle w:val="TableContents"/>
              <w:bidi w:val="0"/>
              <w:spacing w:before="0" w:after="0"/>
              <w:jc w:val="left"/>
              <w:rPr>
                <w:spacing w:val="-2"/>
              </w:rPr>
            </w:pPr>
            <w:r>
              <w:rPr>
                <w:spacing w:val="-2"/>
              </w:rPr>
              <w:t xml:space="preserve">AARON P. JAGDFELD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05" w:type="dxa"/>
            <w:tcBorders/>
            <w:tcMar>
              <w:bottom w:w="0" w:type="dxa"/>
            </w:tcMar>
            <w:vAlign w:val="center"/>
          </w:tcPr>
          <w:p>
            <w:pPr>
              <w:pStyle w:val="TableContents"/>
              <w:bidi w:val="0"/>
              <w:spacing w:before="0" w:after="0"/>
              <w:jc w:val="left"/>
              <w:rPr/>
            </w:pPr>
            <w:r>
              <w:rPr/>
              <w:drawing>
                <wp:inline distT="0" distB="0" distL="0" distR="0">
                  <wp:extent cx="1143000" cy="1362075"/>
                  <wp:effectExtent l="0" t="0" r="0" b="0"/>
                  <wp:docPr id="8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31" descr=""/>
                          <pic:cNvPicPr>
                            <a:picLocks noChangeAspect="1" noChangeArrowheads="1"/>
                          </pic:cNvPicPr>
                        </pic:nvPicPr>
                        <pic:blipFill>
                          <a:blip r:embed="rId41"/>
                          <a:stretch>
                            <a:fillRect/>
                          </a:stretch>
                        </pic:blipFill>
                        <pic:spPr bwMode="auto">
                          <a:xfrm>
                            <a:off x="0" y="0"/>
                            <a:ext cx="1143000" cy="1362075"/>
                          </a:xfrm>
                          <a:prstGeom prst="rect">
                            <a:avLst/>
                          </a:prstGeom>
                        </pic:spPr>
                      </pic:pic>
                    </a:graphicData>
                  </a:graphic>
                </wp:inline>
              </w:drawing>
            </w:r>
            <w:r>
              <w:rPr/>
              <w:t xml:space="preserve"> </w:t>
            </w:r>
          </w:p>
          <w:p>
            <w:pPr>
              <w:pStyle w:val="TableContents"/>
              <w:bidi w:val="0"/>
              <w:spacing w:lineRule="atLeast" w:line="160" w:before="480" w:after="283"/>
              <w:jc w:val="left"/>
              <w:rPr>
                <w:b/>
                <w:i/>
                <w:sz w:val="16"/>
              </w:rPr>
            </w:pPr>
            <w:r>
              <w:rPr>
                <w:b/>
                <w:i/>
                <w:spacing w:val="-2"/>
                <w:sz w:val="16"/>
              </w:rPr>
              <w:t>Age:</w:t>
            </w:r>
            <w:r>
              <w:rPr>
                <w:b/>
                <w:i/>
                <w:caps w:val="false"/>
                <w:smallCaps w:val="false"/>
                <w:spacing w:val="-2"/>
                <w:sz w:val="16"/>
              </w:rPr>
              <w:t xml:space="preserve"> </w:t>
            </w:r>
            <w:r>
              <w:rPr>
                <w:b w:val="false"/>
                <w:i w:val="false"/>
                <w:caps w:val="false"/>
                <w:smallCaps w:val="false"/>
                <w:spacing w:val="-2"/>
                <w:sz w:val="16"/>
              </w:rPr>
              <w:t>54</w:t>
            </w:r>
            <w:r>
              <w:rPr>
                <w:b/>
                <w:i/>
                <w:sz w:val="16"/>
              </w:rPr>
              <w:t xml:space="preserve"> </w:t>
            </w:r>
          </w:p>
          <w:p>
            <w:pPr>
              <w:pStyle w:val="TableContents"/>
              <w:bidi w:val="0"/>
              <w:spacing w:lineRule="atLeast" w:line="160" w:before="120" w:after="283"/>
              <w:jc w:val="left"/>
              <w:rPr>
                <w:b/>
                <w:i/>
                <w:sz w:val="16"/>
              </w:rPr>
            </w:pPr>
            <w:r>
              <w:rPr>
                <w:b/>
                <w:i/>
                <w:spacing w:val="-2"/>
                <w:sz w:val="16"/>
              </w:rPr>
              <w:t>Director Since:</w:t>
            </w:r>
            <w:r>
              <w:rPr>
                <w:b/>
                <w:i/>
                <w:caps w:val="false"/>
                <w:smallCaps w:val="false"/>
                <w:spacing w:val="-2"/>
                <w:sz w:val="16"/>
              </w:rPr>
              <w:t xml:space="preserve"> </w:t>
            </w:r>
            <w:r>
              <w:rPr>
                <w:b w:val="false"/>
                <w:i w:val="false"/>
                <w:caps w:val="false"/>
                <w:smallCaps w:val="false"/>
                <w:spacing w:val="-2"/>
                <w:sz w:val="16"/>
              </w:rPr>
              <w:t>2006</w:t>
            </w:r>
            <w:r>
              <w:rPr>
                <w:b/>
                <w:i/>
                <w:sz w:val="16"/>
              </w:rPr>
              <w:t xml:space="preserve"> </w:t>
            </w:r>
          </w:p>
          <w:p>
            <w:pPr>
              <w:pStyle w:val="TableContents"/>
              <w:bidi w:val="0"/>
              <w:spacing w:lineRule="atLeast" w:line="160" w:before="120" w:after="283"/>
              <w:jc w:val="left"/>
              <w:rPr>
                <w:b/>
                <w:i/>
                <w:sz w:val="16"/>
              </w:rPr>
            </w:pPr>
            <w:r>
              <w:rPr>
                <w:b/>
                <w:i/>
                <w:spacing w:val="-2"/>
                <w:sz w:val="16"/>
              </w:rPr>
              <w:t>Chairman Since:</w:t>
            </w:r>
            <w:r>
              <w:rPr>
                <w:b/>
                <w:i/>
                <w:caps w:val="false"/>
                <w:smallCaps w:val="false"/>
                <w:spacing w:val="-2"/>
                <w:sz w:val="16"/>
              </w:rPr>
              <w:t xml:space="preserve"> </w:t>
            </w:r>
            <w:r>
              <w:rPr>
                <w:b w:val="false"/>
                <w:i w:val="false"/>
                <w:caps w:val="false"/>
                <w:smallCaps w:val="false"/>
                <w:spacing w:val="-2"/>
                <w:sz w:val="16"/>
              </w:rPr>
              <w:t xml:space="preserve">2016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87" w:type="dxa"/>
            <w:tcBorders/>
            <w:tcMar>
              <w:bottom w:w="0" w:type="dxa"/>
            </w:tcMar>
            <w:vAlign w:val="center"/>
          </w:tcPr>
          <w:p>
            <w:pPr>
              <w:pStyle w:val="TableContents"/>
              <w:bidi w:val="0"/>
              <w:spacing w:lineRule="atLeast" w:line="240" w:before="0" w:after="0"/>
              <w:jc w:val="left"/>
              <w:rPr>
                <w:b/>
                <w:color w:val="FF6A00"/>
              </w:rPr>
            </w:pPr>
            <w:r>
              <w:rPr>
                <w:b/>
                <w:color w:val="FF6A00"/>
                <w:spacing w:val="-2"/>
              </w:rPr>
              <w:t>EXPERIENCE &amp; QUALIFICATIONS</w:t>
            </w:r>
            <w:r>
              <w:rPr>
                <w:b/>
                <w:color w:val="FF6A00"/>
              </w:rPr>
              <w:t xml:space="preserve"> </w:t>
            </w:r>
          </w:p>
          <w:p>
            <w:pPr>
              <w:pStyle w:val="TableContents"/>
              <w:bidi w:val="0"/>
              <w:spacing w:lineRule="atLeast" w:line="200" w:before="160" w:after="0"/>
              <w:ind w:left="400" w:right="0" w:hanging="0"/>
              <w:jc w:val="left"/>
              <w:rPr/>
            </w:pPr>
            <w:r>
              <w:rPr>
                <w:spacing w:val="-2"/>
              </w:rPr>
              <w:t>2008-Current: President and Chief Executive Officer of Generac</w:t>
            </w:r>
            <w:r>
              <w:rPr/>
              <w:t xml:space="preserve"> </w:t>
            </w:r>
            <w:r>
              <mc:AlternateContent>
                <mc:Choice Requires="wps">
                  <w:drawing>
                    <wp:anchor behindDoc="0" distT="101600" distB="0" distL="127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83"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2007: President of Generac, responsible for sales, marketing, engineering, and product development</w:t>
            </w:r>
            <w:r>
              <w:rPr/>
              <w:t xml:space="preserve"> </w:t>
            </w:r>
            <w:r>
              <mc:AlternateContent>
                <mc:Choice Requires="wps">
                  <w:drawing>
                    <wp:anchor behindDoc="0" distT="101600" distB="0" distL="127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84"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2002-2006: Chief Financial Officer, Generac</w:t>
            </w:r>
            <w:r>
              <w:rPr/>
              <w:t xml:space="preserve"> </w:t>
            </w:r>
            <w:r>
              <mc:AlternateContent>
                <mc:Choice Requires="wps">
                  <w:drawing>
                    <wp:anchor behindDoc="0" distT="101600" distB="0" distL="127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85"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1994-2001: Finance Department, Generac</w:t>
            </w:r>
            <w:r>
              <w:rPr/>
              <w:t xml:space="preserve"> </w:t>
            </w:r>
            <w:r>
              <mc:AlternateContent>
                <mc:Choice Requires="wps">
                  <w:drawing>
                    <wp:anchor behindDoc="0" distT="101600" distB="0" distL="127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86"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Prior to 1994: Audit Practice, Deloitte &amp; Touche, LLP</w:t>
            </w:r>
            <w:r>
              <w:rPr/>
              <w:t xml:space="preserve"> </w:t>
            </w:r>
            <w:r>
              <mc:AlternateContent>
                <mc:Choice Requires="wps">
                  <w:drawing>
                    <wp:anchor behindDoc="0" distT="101600" distB="0" distL="127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87"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283"/>
              <w:jc w:val="left"/>
              <w:rPr>
                <w:b/>
                <w:color w:val="FF6A00"/>
              </w:rPr>
            </w:pPr>
            <w:r>
              <w:rPr>
                <w:b/>
                <w:color w:val="FF6A00"/>
                <w:spacing w:val="-2"/>
              </w:rPr>
              <w:t>Other Board Service</w:t>
            </w:r>
            <w:r>
              <w:rPr>
                <w:b/>
                <w:color w:val="FF6A00"/>
              </w:rPr>
              <w:t xml:space="preserve"> </w:t>
            </w:r>
          </w:p>
          <w:p>
            <w:pPr>
              <w:pStyle w:val="TableContents"/>
              <w:bidi w:val="0"/>
              <w:spacing w:lineRule="atLeast" w:line="240" w:before="160" w:after="0"/>
              <w:ind w:left="400" w:right="0" w:hanging="0"/>
              <w:jc w:val="left"/>
              <w:rPr/>
            </w:pPr>
            <w:r>
              <w:rPr>
                <w:spacing w:val="-2"/>
              </w:rPr>
              <w:t>Current Director of The Hillman Group, a public company providing complete hardware solutions</w:t>
            </w:r>
            <w:r>
              <w:rPr/>
              <w:t xml:space="preserve"> </w:t>
            </w:r>
            <w:r>
              <mc:AlternateContent>
                <mc:Choice Requires="wps">
                  <w:drawing>
                    <wp:anchor behindDoc="0" distT="101600" distB="0" distL="127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88"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283"/>
              <w:jc w:val="left"/>
              <w:rPr/>
            </w:pPr>
            <w:r>
              <w:rPr>
                <w:spacing w:val="-2"/>
              </w:rPr>
              <w:t>As the Chief Executive Officer and the only management representative on the Board, Mr. Jagdfeld provides valuable insight to the Board regarding the day-to-day business issues facing the Company. Since joining the Company, he has navigated a number of achievements, including our initial public offering, the significant increase in sales, numerous acquisitions, and our international expansion. Mr. Jagdfeld has extensive finance and operational experience and has high-level leadership experience in several prior positions. Mr. Jagdfeld holds a Bachelor of Business Administration in Accounting from the University of Wisconsin-Whitewater.</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4942" w:type="dxa"/>
        <w:jc w:val="left"/>
        <w:tblInd w:w="1140" w:type="dxa"/>
        <w:tblLayout w:type="fixed"/>
        <w:tblCellMar>
          <w:top w:w="0" w:type="dxa"/>
          <w:left w:w="0" w:type="dxa"/>
          <w:bottom w:w="0" w:type="dxa"/>
          <w:right w:w="0" w:type="dxa"/>
        </w:tblCellMar>
      </w:tblPr>
      <w:tblGrid>
        <w:gridCol w:w="124"/>
        <w:gridCol w:w="1706"/>
        <w:gridCol w:w="109"/>
        <w:gridCol w:w="109"/>
        <w:gridCol w:w="286"/>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89"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2" descr=""/>
                          <pic:cNvPicPr>
                            <a:picLocks noChangeAspect="1" noChangeArrowheads="1"/>
                          </pic:cNvPicPr>
                        </pic:nvPicPr>
                        <pic:blipFill>
                          <a:blip r:embed="rId42"/>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6"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9</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rFonts w:ascii="Arial;Helvetica;sans-serif" w:hAnsi="Arial;Helvetica;sans-serif"/>
          <w:b w:val="false"/>
          <w:i w:val="false"/>
          <w:caps w:val="false"/>
          <w:smallCaps w:val="false"/>
          <w:color w:val="FF6A00"/>
          <w:sz w:val="22"/>
        </w:rPr>
      </w:pPr>
      <w:r>
        <w:rPr>
          <w:rFonts w:ascii="Arial;Helvetica;sans-serif" w:hAnsi="Arial;Helvetica;sans-serif"/>
          <w:b w:val="false"/>
          <w:i w:val="false"/>
          <w:caps w:val="false"/>
          <w:smallCaps w:val="false"/>
          <w:color w:val="FF6A00"/>
          <w:spacing w:val="-2"/>
          <w:sz w:val="22"/>
        </w:rPr>
        <w:t>PROPOSAL 1 — ELECTION OF CLASS II DIRECTORS</w:t>
      </w:r>
      <w:r>
        <w:rPr>
          <w:rFonts w:ascii="Arial;Helvetica;sans-serif" w:hAnsi="Arial;Helvetica;sans-serif"/>
          <w:b w:val="false"/>
          <w:i w:val="false"/>
          <w:caps w:val="false"/>
          <w:smallCaps w:val="false"/>
          <w:color w:val="FF6A00"/>
          <w:sz w:val="22"/>
        </w:rPr>
        <w:t xml:space="preserve"> </w:t>
      </w:r>
    </w:p>
    <w:tbl>
      <w:tblPr>
        <w:tblW w:w="9065" w:type="dxa"/>
        <w:jc w:val="left"/>
        <w:tblInd w:w="1140" w:type="dxa"/>
        <w:tblLayout w:type="fixed"/>
        <w:tblCellMar>
          <w:top w:w="0" w:type="dxa"/>
          <w:left w:w="0" w:type="dxa"/>
          <w:bottom w:w="140" w:type="dxa"/>
          <w:right w:w="0" w:type="dxa"/>
        </w:tblCellMar>
      </w:tblPr>
      <w:tblGrid>
        <w:gridCol w:w="1927"/>
        <w:gridCol w:w="109"/>
        <w:gridCol w:w="109"/>
        <w:gridCol w:w="6765"/>
        <w:gridCol w:w="155"/>
      </w:tblGrid>
      <w:tr>
        <w:trPr/>
        <w:tc>
          <w:tcPr>
            <w:tcW w:w="8910" w:type="dxa"/>
            <w:gridSpan w:val="4"/>
            <w:tcBorders>
              <w:bottom w:val="single" w:sz="2" w:space="0" w:color="FF6A00"/>
            </w:tcBorders>
            <w:vAlign w:val="center"/>
          </w:tcPr>
          <w:p>
            <w:pPr>
              <w:pStyle w:val="TableContents"/>
              <w:bidi w:val="0"/>
              <w:spacing w:before="0" w:after="0"/>
              <w:jc w:val="left"/>
              <w:rPr>
                <w:spacing w:val="-2"/>
              </w:rPr>
            </w:pPr>
            <w:r>
              <w:rPr>
                <w:spacing w:val="-2"/>
              </w:rPr>
              <w:t xml:space="preserve">ANDREW G. LAMPEREUR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27" w:type="dxa"/>
            <w:tcBorders/>
            <w:tcMar>
              <w:bottom w:w="0" w:type="dxa"/>
            </w:tcMar>
            <w:vAlign w:val="center"/>
          </w:tcPr>
          <w:p>
            <w:pPr>
              <w:pStyle w:val="TableContents"/>
              <w:bidi w:val="0"/>
              <w:spacing w:before="0" w:after="0"/>
              <w:jc w:val="left"/>
              <w:rPr/>
            </w:pPr>
            <w:r>
              <w:rPr/>
              <w:drawing>
                <wp:inline distT="0" distB="0" distL="0" distR="0">
                  <wp:extent cx="1152525" cy="1371600"/>
                  <wp:effectExtent l="0" t="0" r="0" b="0"/>
                  <wp:docPr id="9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3" descr=""/>
                          <pic:cNvPicPr>
                            <a:picLocks noChangeAspect="1" noChangeArrowheads="1"/>
                          </pic:cNvPicPr>
                        </pic:nvPicPr>
                        <pic:blipFill>
                          <a:blip r:embed="rId43"/>
                          <a:stretch>
                            <a:fillRect/>
                          </a:stretch>
                        </pic:blipFill>
                        <pic:spPr bwMode="auto">
                          <a:xfrm>
                            <a:off x="0" y="0"/>
                            <a:ext cx="1152525" cy="1371600"/>
                          </a:xfrm>
                          <a:prstGeom prst="rect">
                            <a:avLst/>
                          </a:prstGeom>
                        </pic:spPr>
                      </pic:pic>
                    </a:graphicData>
                  </a:graphic>
                </wp:inline>
              </w:drawing>
            </w:r>
            <w:r>
              <w:rPr/>
              <w:t xml:space="preserve"> </w:t>
            </w:r>
          </w:p>
          <w:p>
            <w:pPr>
              <w:pStyle w:val="TableContents"/>
              <w:bidi w:val="0"/>
              <w:spacing w:lineRule="atLeast" w:line="160" w:before="480" w:after="283"/>
              <w:jc w:val="left"/>
              <w:rPr>
                <w:b/>
                <w:i/>
                <w:sz w:val="16"/>
              </w:rPr>
            </w:pPr>
            <w:r>
              <w:rPr>
                <w:b/>
                <w:i/>
                <w:spacing w:val="-2"/>
                <w:sz w:val="16"/>
              </w:rPr>
              <w:t>Age:</w:t>
            </w:r>
            <w:r>
              <w:rPr>
                <w:b/>
                <w:i/>
                <w:caps w:val="false"/>
                <w:smallCaps w:val="false"/>
                <w:spacing w:val="-2"/>
                <w:sz w:val="16"/>
              </w:rPr>
              <w:t xml:space="preserve"> </w:t>
            </w:r>
            <w:r>
              <w:rPr>
                <w:b w:val="false"/>
                <w:i w:val="false"/>
                <w:caps w:val="false"/>
                <w:smallCaps w:val="false"/>
                <w:spacing w:val="-2"/>
                <w:sz w:val="16"/>
              </w:rPr>
              <w:t>63</w:t>
            </w:r>
            <w:r>
              <w:rPr>
                <w:b/>
                <w:i/>
                <w:sz w:val="16"/>
              </w:rPr>
              <w:t xml:space="preserve"> </w:t>
            </w:r>
          </w:p>
          <w:p>
            <w:pPr>
              <w:pStyle w:val="TableContents"/>
              <w:bidi w:val="0"/>
              <w:spacing w:lineRule="atLeast" w:line="160" w:before="120" w:after="283"/>
              <w:jc w:val="left"/>
              <w:rPr>
                <w:b/>
                <w:i/>
                <w:sz w:val="16"/>
              </w:rPr>
            </w:pPr>
            <w:r>
              <w:rPr>
                <w:b/>
                <w:i/>
                <w:spacing w:val="-2"/>
                <w:sz w:val="16"/>
              </w:rPr>
              <w:t>Director Since:</w:t>
            </w:r>
            <w:r>
              <w:rPr>
                <w:b/>
                <w:i/>
                <w:caps w:val="false"/>
                <w:smallCaps w:val="false"/>
                <w:spacing w:val="-2"/>
                <w:sz w:val="16"/>
              </w:rPr>
              <w:t xml:space="preserve"> </w:t>
            </w:r>
            <w:r>
              <w:rPr>
                <w:b w:val="false"/>
                <w:i w:val="false"/>
                <w:caps w:val="false"/>
                <w:smallCaps w:val="false"/>
                <w:spacing w:val="-2"/>
                <w:sz w:val="16"/>
              </w:rPr>
              <w:t xml:space="preserve">2014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65" w:type="dxa"/>
            <w:tcBorders/>
            <w:tcMar>
              <w:bottom w:w="0" w:type="dxa"/>
            </w:tcMar>
            <w:vAlign w:val="center"/>
          </w:tcPr>
          <w:p>
            <w:pPr>
              <w:pStyle w:val="TableContents"/>
              <w:bidi w:val="0"/>
              <w:spacing w:lineRule="atLeast" w:line="200" w:before="0" w:after="0"/>
              <w:jc w:val="left"/>
              <w:rPr>
                <w:b/>
                <w:color w:val="FF6A00"/>
              </w:rPr>
            </w:pPr>
            <w:r>
              <w:rPr>
                <w:b/>
                <w:color w:val="FF6A00"/>
                <w:spacing w:val="-2"/>
              </w:rPr>
              <w:t>EXPERIENCE &amp; QUALIFICATIONS</w:t>
            </w:r>
            <w:r>
              <w:rPr>
                <w:b/>
                <w:color w:val="FF6A00"/>
              </w:rPr>
              <w:t xml:space="preserve"> </w:t>
            </w:r>
          </w:p>
          <w:p>
            <w:pPr>
              <w:pStyle w:val="TableContents"/>
              <w:bidi w:val="0"/>
              <w:spacing w:lineRule="atLeast" w:line="240" w:before="160" w:after="0"/>
              <w:ind w:left="400" w:right="0" w:hanging="0"/>
              <w:jc w:val="left"/>
              <w:rPr/>
            </w:pPr>
            <w:r>
              <w:rPr>
                <w:spacing w:val="-2"/>
              </w:rPr>
              <w:t>2000-2017: Executive Vice President and Chief Financial Officer, Actuant Corporation (now Enerpac Tool Group Corporation), a global diversified company that designs and manufactures industrial products and systems (“Actuant”)</w:t>
            </w:r>
            <w:r>
              <w:rPr/>
              <w:t xml:space="preserve"> </w:t>
            </w:r>
            <w:r>
              <mc:AlternateContent>
                <mc:Choice Requires="wps">
                  <w:drawing>
                    <wp:anchor behindDoc="0" distT="101600" distB="0" distL="127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91"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1999-2000: Applied Power (Actuant) Business Development Leader</w:t>
            </w:r>
            <w:r>
              <w:rPr/>
              <w:t xml:space="preserve"> </w:t>
            </w:r>
            <w:r>
              <mc:AlternateContent>
                <mc:Choice Requires="wps">
                  <w:drawing>
                    <wp:anchor behindDoc="0" distT="101600" distB="0" distL="127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92"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1998-1999: Vice President and General Manager — Distribution, Gardner Bender (Actuant subsidiary)</w:t>
            </w:r>
            <w:r>
              <w:rPr/>
              <w:t xml:space="preserve"> </w:t>
            </w:r>
            <w:r>
              <mc:AlternateContent>
                <mc:Choice Requires="wps">
                  <w:drawing>
                    <wp:anchor behindDoc="0" distT="101600" distB="0" distL="127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93"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1996-1998: Vice President Finance, Gardner Bender</w:t>
            </w:r>
            <w:r>
              <w:rPr/>
              <w:t xml:space="preserve"> </w:t>
            </w:r>
            <w:r>
              <mc:AlternateContent>
                <mc:Choice Requires="wps">
                  <w:drawing>
                    <wp:anchor behindDoc="0" distT="101600" distB="0" distL="127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94"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1993-1996: Corporate Controller, Actuant Corporation</w:t>
            </w:r>
            <w:r>
              <w:rPr/>
              <w:t xml:space="preserve"> </w:t>
            </w:r>
            <w:r>
              <mc:AlternateContent>
                <mc:Choice Requires="wps">
                  <w:drawing>
                    <wp:anchor behindDoc="0" distT="101600" distB="0" distL="127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95"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Prior to 1993: Held various financial positions with Fruehauf Trailer Corporation, Terex Corporation, and Price Waterhouse</w:t>
            </w:r>
            <w:r>
              <w:rPr/>
              <w:t xml:space="preserve"> </w:t>
            </w:r>
            <w:r>
              <mc:AlternateContent>
                <mc:Choice Requires="wps">
                  <w:drawing>
                    <wp:anchor behindDoc="0" distT="101600" distB="0" distL="127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96"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283"/>
              <w:jc w:val="left"/>
              <w:rPr>
                <w:b/>
                <w:color w:val="FF6A00"/>
              </w:rPr>
            </w:pPr>
            <w:r>
              <w:rPr>
                <w:b/>
                <w:color w:val="FF6A00"/>
                <w:spacing w:val="-2"/>
              </w:rPr>
              <w:t>Other Board Service</w:t>
            </w:r>
            <w:r>
              <w:rPr>
                <w:b/>
                <w:color w:val="FF6A00"/>
              </w:rPr>
              <w:t xml:space="preserve"> </w:t>
            </w:r>
          </w:p>
          <w:p>
            <w:pPr>
              <w:pStyle w:val="TableContents"/>
              <w:bidi w:val="0"/>
              <w:spacing w:lineRule="atLeast" w:line="200" w:before="160" w:after="0"/>
              <w:ind w:left="400" w:right="0" w:hanging="0"/>
              <w:jc w:val="left"/>
              <w:rPr/>
            </w:pPr>
            <w:r>
              <w:rPr>
                <w:spacing w:val="-2"/>
              </w:rPr>
              <w:t>Former Director of Jason Industries, Inc.</w:t>
            </w:r>
            <w:r>
              <w:rPr/>
              <w:t xml:space="preserve"> </w:t>
            </w:r>
            <w:r>
              <mc:AlternateContent>
                <mc:Choice Requires="wps">
                  <w:drawing>
                    <wp:anchor behindDoc="0" distT="101600" distB="0" distL="127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97"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Former Director of Robbins &amp; Myers</w:t>
            </w:r>
            <w:r>
              <w:rPr/>
              <w:t xml:space="preserve"> </w:t>
            </w:r>
            <w:r>
              <mc:AlternateContent>
                <mc:Choice Requires="wps">
                  <w:drawing>
                    <wp:anchor behindDoc="0" distT="101600" distB="0" distL="127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98"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283"/>
              <w:jc w:val="left"/>
              <w:rPr/>
            </w:pPr>
            <w:r>
              <w:rPr>
                <w:spacing w:val="-2"/>
              </w:rPr>
              <w:t>Mr. Lampereur brings extensive financial experience to Generac. Mr. Lampereur has over 26 years of senior-level financial experience in a variety of businesses complementary to Generac, including as a chief financial officer and director of a public company.</w:t>
            </w:r>
            <w:r>
              <w:rPr/>
              <w:t xml:space="preserve"> </w:t>
            </w:r>
          </w:p>
          <w:p>
            <w:pPr>
              <w:pStyle w:val="TableContents"/>
              <w:bidi w:val="0"/>
              <w:spacing w:lineRule="atLeast" w:line="240" w:before="160" w:after="283"/>
              <w:jc w:val="left"/>
              <w:rPr/>
            </w:pPr>
            <w:r>
              <w:rPr>
                <w:spacing w:val="-2"/>
              </w:rPr>
              <w:t>Mr. Lampereur graduated with a Bachelor of Business Administration in Accounting from St. Norbert College.</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9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34" descr=""/>
                          <pic:cNvPicPr>
                            <a:picLocks noChangeAspect="1" noChangeArrowheads="1"/>
                          </pic:cNvPicPr>
                        </pic:nvPicPr>
                        <pic:blipFill>
                          <a:blip r:embed="rId44"/>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10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rFonts w:ascii="Arial;Helvetica;sans-serif" w:hAnsi="Arial;Helvetica;sans-serif"/>
          <w:b w:val="false"/>
          <w:i w:val="false"/>
          <w:caps w:val="false"/>
          <w:smallCaps w:val="false"/>
          <w:color w:val="FF6A00"/>
          <w:sz w:val="22"/>
        </w:rPr>
      </w:pPr>
      <w:r>
        <w:rPr>
          <w:rFonts w:ascii="Arial;Helvetica;sans-serif" w:hAnsi="Arial;Helvetica;sans-serif"/>
          <w:b w:val="false"/>
          <w:i w:val="false"/>
          <w:caps w:val="false"/>
          <w:smallCaps w:val="false"/>
          <w:color w:val="FF6A00"/>
          <w:spacing w:val="-2"/>
          <w:sz w:val="22"/>
        </w:rPr>
        <w:t>PROPOSAL 1 — ELECTION OF CLASS II DIRECTORS</w:t>
      </w:r>
      <w:r>
        <w:rPr>
          <w:rFonts w:ascii="Arial;Helvetica;sans-serif" w:hAnsi="Arial;Helvetica;sans-serif"/>
          <w:b w:val="false"/>
          <w:i w:val="false"/>
          <w:caps w:val="false"/>
          <w:smallCaps w:val="false"/>
          <w:color w:val="FF6A00"/>
          <w:sz w:val="22"/>
        </w:rPr>
        <w:t xml:space="preserve"> </w:t>
      </w:r>
    </w:p>
    <w:tbl>
      <w:tblPr>
        <w:tblW w:w="9065" w:type="dxa"/>
        <w:jc w:val="left"/>
        <w:tblInd w:w="1140" w:type="dxa"/>
        <w:tblLayout w:type="fixed"/>
        <w:tblCellMar>
          <w:top w:w="0" w:type="dxa"/>
          <w:left w:w="0" w:type="dxa"/>
          <w:bottom w:w="140" w:type="dxa"/>
          <w:right w:w="0" w:type="dxa"/>
        </w:tblCellMar>
      </w:tblPr>
      <w:tblGrid>
        <w:gridCol w:w="1919"/>
        <w:gridCol w:w="109"/>
        <w:gridCol w:w="109"/>
        <w:gridCol w:w="6773"/>
        <w:gridCol w:w="155"/>
      </w:tblGrid>
      <w:tr>
        <w:trPr/>
        <w:tc>
          <w:tcPr>
            <w:tcW w:w="8910" w:type="dxa"/>
            <w:gridSpan w:val="4"/>
            <w:tcBorders>
              <w:bottom w:val="single" w:sz="2" w:space="0" w:color="FF6A00"/>
            </w:tcBorders>
            <w:vAlign w:val="center"/>
          </w:tcPr>
          <w:p>
            <w:pPr>
              <w:pStyle w:val="TableContents"/>
              <w:bidi w:val="0"/>
              <w:spacing w:before="0" w:after="0"/>
              <w:jc w:val="left"/>
              <w:rPr>
                <w:spacing w:val="-2"/>
              </w:rPr>
            </w:pPr>
            <w:r>
              <w:rPr>
                <w:spacing w:val="-2"/>
              </w:rPr>
              <w:t xml:space="preserve">NAM T. NGUYEN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19" w:type="dxa"/>
            <w:tcBorders/>
            <w:tcMar>
              <w:bottom w:w="0" w:type="dxa"/>
            </w:tcMar>
            <w:vAlign w:val="center"/>
          </w:tcPr>
          <w:p>
            <w:pPr>
              <w:pStyle w:val="TableContents"/>
              <w:bidi w:val="0"/>
              <w:spacing w:before="0" w:after="0"/>
              <w:jc w:val="left"/>
              <w:rPr/>
            </w:pPr>
            <w:r>
              <w:rPr/>
              <w:drawing>
                <wp:inline distT="0" distB="0" distL="0" distR="0">
                  <wp:extent cx="1152525" cy="1371600"/>
                  <wp:effectExtent l="0" t="0" r="0" b="0"/>
                  <wp:docPr id="10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5" descr=""/>
                          <pic:cNvPicPr>
                            <a:picLocks noChangeAspect="1" noChangeArrowheads="1"/>
                          </pic:cNvPicPr>
                        </pic:nvPicPr>
                        <pic:blipFill>
                          <a:blip r:embed="rId45"/>
                          <a:stretch>
                            <a:fillRect/>
                          </a:stretch>
                        </pic:blipFill>
                        <pic:spPr bwMode="auto">
                          <a:xfrm>
                            <a:off x="0" y="0"/>
                            <a:ext cx="1152525" cy="1371600"/>
                          </a:xfrm>
                          <a:prstGeom prst="rect">
                            <a:avLst/>
                          </a:prstGeom>
                        </pic:spPr>
                      </pic:pic>
                    </a:graphicData>
                  </a:graphic>
                </wp:inline>
              </w:drawing>
            </w:r>
            <w:r>
              <w:rPr/>
              <w:t xml:space="preserve"> </w:t>
            </w:r>
          </w:p>
          <w:p>
            <w:pPr>
              <w:pStyle w:val="TableContents"/>
              <w:bidi w:val="0"/>
              <w:spacing w:lineRule="atLeast" w:line="160" w:before="480" w:after="283"/>
              <w:jc w:val="left"/>
              <w:rPr>
                <w:b/>
                <w:i/>
                <w:sz w:val="16"/>
              </w:rPr>
            </w:pPr>
            <w:r>
              <w:rPr>
                <w:b/>
                <w:i/>
                <w:spacing w:val="-2"/>
                <w:sz w:val="16"/>
              </w:rPr>
              <w:t>Age:</w:t>
            </w:r>
            <w:r>
              <w:rPr>
                <w:b/>
                <w:i/>
                <w:caps w:val="false"/>
                <w:smallCaps w:val="false"/>
                <w:spacing w:val="-2"/>
                <w:sz w:val="16"/>
              </w:rPr>
              <w:t xml:space="preserve"> </w:t>
            </w:r>
            <w:r>
              <w:rPr>
                <w:b w:val="false"/>
                <w:i w:val="false"/>
                <w:caps w:val="false"/>
                <w:smallCaps w:val="false"/>
                <w:spacing w:val="-2"/>
                <w:sz w:val="16"/>
              </w:rPr>
              <w:t>50</w:t>
            </w:r>
            <w:r>
              <w:rPr>
                <w:b/>
                <w:i/>
                <w:sz w:val="16"/>
              </w:rPr>
              <w:t xml:space="preserve"> </w:t>
            </w:r>
          </w:p>
          <w:p>
            <w:pPr>
              <w:pStyle w:val="TableContents"/>
              <w:bidi w:val="0"/>
              <w:spacing w:lineRule="atLeast" w:line="160" w:before="120" w:after="283"/>
              <w:jc w:val="left"/>
              <w:rPr>
                <w:b/>
                <w:i/>
                <w:sz w:val="16"/>
              </w:rPr>
            </w:pPr>
            <w:r>
              <w:rPr>
                <w:b/>
                <w:i/>
                <w:spacing w:val="-2"/>
                <w:sz w:val="16"/>
              </w:rPr>
              <w:t>Director Since:</w:t>
            </w:r>
            <w:r>
              <w:rPr>
                <w:b/>
                <w:i/>
                <w:caps w:val="false"/>
                <w:smallCaps w:val="false"/>
                <w:spacing w:val="-2"/>
                <w:sz w:val="16"/>
              </w:rPr>
              <w:t xml:space="preserve"> </w:t>
            </w:r>
            <w:r>
              <w:rPr>
                <w:b w:val="false"/>
                <w:i w:val="false"/>
                <w:caps w:val="false"/>
                <w:smallCaps w:val="false"/>
                <w:spacing w:val="-2"/>
                <w:sz w:val="16"/>
              </w:rPr>
              <w:t xml:space="preserve">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73" w:type="dxa"/>
            <w:tcBorders/>
            <w:tcMar>
              <w:bottom w:w="0" w:type="dxa"/>
            </w:tcMar>
            <w:vAlign w:val="center"/>
          </w:tcPr>
          <w:p>
            <w:pPr>
              <w:pStyle w:val="TableContents"/>
              <w:bidi w:val="0"/>
              <w:spacing w:lineRule="atLeast" w:line="240" w:before="0" w:after="0"/>
              <w:jc w:val="left"/>
              <w:rPr>
                <w:b/>
                <w:color w:val="FF6A00"/>
              </w:rPr>
            </w:pPr>
            <w:r>
              <w:rPr>
                <w:b/>
                <w:color w:val="FF6A00"/>
                <w:spacing w:val="-2"/>
              </w:rPr>
              <w:t>EXPERIENCE &amp; QUALIFICATIONS</w:t>
            </w:r>
            <w:r>
              <w:rPr>
                <w:b/>
                <w:color w:val="FF6A00"/>
              </w:rPr>
              <w:t xml:space="preserve"> </w:t>
            </w:r>
          </w:p>
          <w:p>
            <w:pPr>
              <w:pStyle w:val="TableContents"/>
              <w:bidi w:val="0"/>
              <w:spacing w:lineRule="atLeast" w:line="240" w:before="160" w:after="0"/>
              <w:ind w:left="400" w:right="0" w:hanging="0"/>
              <w:jc w:val="left"/>
              <w:rPr/>
            </w:pPr>
            <w:r>
              <w:rPr>
                <w:spacing w:val="-2"/>
              </w:rPr>
              <w:t>2020-Current: Chief Operating Officer, Generate Capital, a leading sustainable infrastructure company</w:t>
            </w:r>
            <w:r>
              <w:rPr/>
              <w:t xml:space="preserve"> </w:t>
            </w:r>
            <w:r>
              <mc:AlternateContent>
                <mc:Choice Requires="wps">
                  <w:drawing>
                    <wp:anchor behindDoc="0" distT="101600" distB="0" distL="127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01"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2013-2020: Executive Vice President, SunPower Corp., a solar power products company</w:t>
            </w:r>
            <w:r>
              <w:rPr/>
              <w:t xml:space="preserve"> </w:t>
            </w:r>
            <w:r>
              <mc:AlternateContent>
                <mc:Choice Requires="wps">
                  <w:drawing>
                    <wp:anchor behindDoc="0" distT="101600" distB="0" distL="127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02"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Prior to 2013: Vice President of Global Business Development at First Solar and held various positions in investment banking, working in New York, Singapore and Los Angeles</w:t>
            </w:r>
            <w:r>
              <w:rPr/>
              <w:t xml:space="preserve"> </w:t>
            </w:r>
            <w:r>
              <mc:AlternateContent>
                <mc:Choice Requires="wps">
                  <w:drawing>
                    <wp:anchor behindDoc="0" distT="101600" distB="0" distL="127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03"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283"/>
              <w:jc w:val="left"/>
              <w:rPr>
                <w:b/>
                <w:color w:val="FF6A00"/>
              </w:rPr>
            </w:pPr>
            <w:r>
              <w:rPr>
                <w:b/>
                <w:color w:val="FF6A00"/>
                <w:spacing w:val="-2"/>
              </w:rPr>
              <w:t>Other Board Service</w:t>
            </w:r>
            <w:r>
              <w:rPr>
                <w:b/>
                <w:color w:val="FF6A00"/>
              </w:rPr>
              <w:t xml:space="preserve"> </w:t>
            </w:r>
          </w:p>
          <w:p>
            <w:pPr>
              <w:pStyle w:val="TableContents"/>
              <w:bidi w:val="0"/>
              <w:spacing w:lineRule="atLeast" w:line="240" w:before="160" w:after="0"/>
              <w:ind w:left="400" w:right="0" w:hanging="0"/>
              <w:jc w:val="left"/>
              <w:rPr/>
            </w:pPr>
            <w:r>
              <w:rPr>
                <w:spacing w:val="-2"/>
              </w:rPr>
              <w:t>Current director at Ubiquity, a private digital communications infrastructure company</w:t>
            </w:r>
            <w:r>
              <w:rPr/>
              <w:t xml:space="preserve"> </w:t>
            </w:r>
            <w:r>
              <mc:AlternateContent>
                <mc:Choice Requires="wps">
                  <w:drawing>
                    <wp:anchor behindDoc="0" distT="101600" distB="0" distL="127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04"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Current director at Conasa Infraestrutura S.A., a private holding company focusing on developing and operating infrastructure projects in Brazil</w:t>
            </w:r>
            <w:r>
              <w:rPr/>
              <w:t xml:space="preserve"> </w:t>
            </w:r>
            <w:r>
              <mc:AlternateContent>
                <mc:Choice Requires="wps">
                  <w:drawing>
                    <wp:anchor behindDoc="0" distT="101600" distB="0" distL="127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05"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Current director at Amp Americas, a private company specializing in producing and marketing renewable natural gas from dairy waste</w:t>
            </w:r>
            <w:r>
              <w:rPr/>
              <w:t xml:space="preserve"> </w:t>
            </w:r>
            <w:r>
              <mc:AlternateContent>
                <mc:Choice Requires="wps">
                  <w:drawing>
                    <wp:anchor behindDoc="0" distT="101600" distB="0" distL="127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06"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283"/>
              <w:jc w:val="left"/>
              <w:rPr/>
            </w:pPr>
            <w:r>
              <w:rPr>
                <w:spacing w:val="-2"/>
              </w:rPr>
              <w:t>Ms. Nguyen brings to Generac over 20 years of experience as an executive leader in renewable energy and sustainable infrastructure. Ms. Nguyen specializes in P&amp;L management, international market expansion, business development, sales strategy and operations, and financing. Working in the domestic and international solar sector, Ms. Nguyen has led startup and expansion projects, specifically driving revenue and scaling businesses in new markets. Ms. Nguyen’s background with solar power and renewable energy markets provides Generac with valuable expertise and strategic insight within key areas of Generac’s business. Ms. Nguyen also brings significant international experience, having worked in Latin America and Singapore.</w:t>
            </w:r>
            <w:r>
              <w:rPr/>
              <w:t xml:space="preserve"> </w:t>
            </w:r>
          </w:p>
          <w:p>
            <w:pPr>
              <w:pStyle w:val="TableContents"/>
              <w:bidi w:val="0"/>
              <w:spacing w:lineRule="atLeast" w:line="240" w:before="160" w:after="283"/>
              <w:jc w:val="left"/>
              <w:rPr/>
            </w:pPr>
            <w:r>
              <w:rPr>
                <w:spacing w:val="-2"/>
              </w:rPr>
              <w:t>Ms. Nguyen graduated with a Bachelor of Arts in Economics from Columbia University and a Master of Business Administration from Harvard University.</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10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36" descr=""/>
                          <pic:cNvPicPr>
                            <a:picLocks noChangeAspect="1" noChangeArrowheads="1"/>
                          </pic:cNvPicPr>
                        </pic:nvPicPr>
                        <pic:blipFill>
                          <a:blip r:embed="rId46"/>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11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rFonts w:ascii="Arial;Helvetica;sans-serif" w:hAnsi="Arial;Helvetica;sans-serif"/>
          <w:b w:val="false"/>
          <w:i w:val="false"/>
          <w:caps w:val="false"/>
          <w:smallCaps w:val="false"/>
          <w:color w:val="FF6A00"/>
          <w:sz w:val="22"/>
        </w:rPr>
      </w:pPr>
      <w:r>
        <w:rPr>
          <w:rFonts w:ascii="Arial;Helvetica;sans-serif" w:hAnsi="Arial;Helvetica;sans-serif"/>
          <w:b w:val="false"/>
          <w:i w:val="false"/>
          <w:caps w:val="false"/>
          <w:smallCaps w:val="false"/>
          <w:color w:val="FF6A00"/>
          <w:spacing w:val="-2"/>
          <w:sz w:val="22"/>
        </w:rPr>
        <w:t>PROPOSAL 1 — ELECTION OF CLASS II DIRECTORS</w:t>
      </w:r>
      <w:r>
        <w:rPr>
          <w:rFonts w:ascii="Arial;Helvetica;sans-serif" w:hAnsi="Arial;Helvetica;sans-serif"/>
          <w:b w:val="false"/>
          <w:i w:val="false"/>
          <w:caps w:val="false"/>
          <w:smallCaps w:val="false"/>
          <w:color w:val="FF6A00"/>
          <w:sz w:val="22"/>
        </w:rPr>
        <w:t xml:space="preserve"> </w:t>
      </w:r>
    </w:p>
    <w:p>
      <w:pPr>
        <w:pStyle w:val="TextBody"/>
        <w:bidi w:val="0"/>
        <w:spacing w:lineRule="atLeast" w:line="260" w:before="480" w:after="283"/>
        <w:ind w:left="1140" w:right="0" w:hanging="0"/>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2"/>
          <w:sz w:val="22"/>
        </w:rPr>
        <w:t>Class III Directors</w:t>
      </w:r>
      <w:r>
        <w:rPr>
          <w:rFonts w:ascii="Arial;Helvetica;sans-serif" w:hAnsi="Arial;Helvetica;sans-serif"/>
          <w:b/>
          <w:i w:val="false"/>
          <w:caps w:val="false"/>
          <w:smallCaps w:val="false"/>
          <w:color w:val="000000"/>
          <w:spacing w:val="4"/>
          <w:sz w:val="22"/>
        </w:rPr>
        <w:t xml:space="preserve"> </w:t>
      </w:r>
    </w:p>
    <w:tbl>
      <w:tblPr>
        <w:tblW w:w="9065" w:type="dxa"/>
        <w:jc w:val="left"/>
        <w:tblInd w:w="1140" w:type="dxa"/>
        <w:tblLayout w:type="fixed"/>
        <w:tblCellMar>
          <w:top w:w="0" w:type="dxa"/>
          <w:left w:w="0" w:type="dxa"/>
          <w:bottom w:w="140" w:type="dxa"/>
          <w:right w:w="0" w:type="dxa"/>
        </w:tblCellMar>
      </w:tblPr>
      <w:tblGrid>
        <w:gridCol w:w="1922"/>
        <w:gridCol w:w="109"/>
        <w:gridCol w:w="109"/>
        <w:gridCol w:w="6770"/>
        <w:gridCol w:w="155"/>
      </w:tblGrid>
      <w:tr>
        <w:trPr/>
        <w:tc>
          <w:tcPr>
            <w:tcW w:w="8910" w:type="dxa"/>
            <w:gridSpan w:val="4"/>
            <w:tcBorders>
              <w:bottom w:val="single" w:sz="2" w:space="0" w:color="FF6A00"/>
            </w:tcBorders>
            <w:vAlign w:val="center"/>
          </w:tcPr>
          <w:p>
            <w:pPr>
              <w:pStyle w:val="TableContents"/>
              <w:bidi w:val="0"/>
              <w:spacing w:before="0" w:after="0"/>
              <w:jc w:val="left"/>
              <w:rPr/>
            </w:pPr>
            <w:r>
              <w:rPr>
                <w:spacing w:val="-2"/>
              </w:rPr>
              <w:t>KATHRYN V. BOHL</w:t>
            </w:r>
            <w:r>
              <w:rPr/>
              <w:t xml:space="preserv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22" w:type="dxa"/>
            <w:tcBorders/>
            <w:tcMar>
              <w:bottom w:w="0" w:type="dxa"/>
            </w:tcMar>
            <w:vAlign w:val="center"/>
          </w:tcPr>
          <w:p>
            <w:pPr>
              <w:pStyle w:val="TableContents"/>
              <w:bidi w:val="0"/>
              <w:spacing w:before="0" w:after="0"/>
              <w:jc w:val="left"/>
              <w:rPr/>
            </w:pPr>
            <w:r>
              <w:rPr/>
              <w:drawing>
                <wp:inline distT="0" distB="0" distL="0" distR="0">
                  <wp:extent cx="1152525" cy="1371600"/>
                  <wp:effectExtent l="0" t="0" r="0" b="0"/>
                  <wp:docPr id="10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37" descr=""/>
                          <pic:cNvPicPr>
                            <a:picLocks noChangeAspect="1" noChangeArrowheads="1"/>
                          </pic:cNvPicPr>
                        </pic:nvPicPr>
                        <pic:blipFill>
                          <a:blip r:embed="rId47"/>
                          <a:stretch>
                            <a:fillRect/>
                          </a:stretch>
                        </pic:blipFill>
                        <pic:spPr bwMode="auto">
                          <a:xfrm>
                            <a:off x="0" y="0"/>
                            <a:ext cx="1152525" cy="1371600"/>
                          </a:xfrm>
                          <a:prstGeom prst="rect">
                            <a:avLst/>
                          </a:prstGeom>
                        </pic:spPr>
                      </pic:pic>
                    </a:graphicData>
                  </a:graphic>
                </wp:inline>
              </w:drawing>
            </w:r>
            <w:r>
              <w:rPr/>
              <w:t xml:space="preserve"> </w:t>
            </w:r>
          </w:p>
          <w:p>
            <w:pPr>
              <w:pStyle w:val="TableContents"/>
              <w:bidi w:val="0"/>
              <w:spacing w:lineRule="atLeast" w:line="160" w:before="480" w:after="283"/>
              <w:jc w:val="left"/>
              <w:rPr>
                <w:b/>
                <w:i/>
                <w:sz w:val="16"/>
              </w:rPr>
            </w:pPr>
            <w:r>
              <w:rPr>
                <w:b/>
                <w:i/>
                <w:spacing w:val="-2"/>
                <w:sz w:val="16"/>
              </w:rPr>
              <w:t>Age:</w:t>
            </w:r>
            <w:r>
              <w:rPr>
                <w:b/>
                <w:i/>
                <w:caps w:val="false"/>
                <w:smallCaps w:val="false"/>
                <w:spacing w:val="-2"/>
                <w:sz w:val="16"/>
              </w:rPr>
              <w:t xml:space="preserve"> </w:t>
            </w:r>
            <w:r>
              <w:rPr>
                <w:b w:val="false"/>
                <w:i w:val="false"/>
                <w:caps w:val="false"/>
                <w:smallCaps w:val="false"/>
                <w:spacing w:val="-2"/>
                <w:sz w:val="16"/>
              </w:rPr>
              <w:t>65</w:t>
            </w:r>
            <w:r>
              <w:rPr>
                <w:b/>
                <w:i/>
                <w:sz w:val="16"/>
              </w:rPr>
              <w:t xml:space="preserve"> </w:t>
            </w:r>
          </w:p>
          <w:p>
            <w:pPr>
              <w:pStyle w:val="TableContents"/>
              <w:bidi w:val="0"/>
              <w:spacing w:lineRule="atLeast" w:line="160" w:before="120" w:after="283"/>
              <w:jc w:val="left"/>
              <w:rPr>
                <w:sz w:val="16"/>
              </w:rPr>
            </w:pPr>
            <w:r>
              <w:rPr>
                <w:b/>
                <w:i/>
                <w:spacing w:val="-2"/>
                <w:sz w:val="16"/>
              </w:rPr>
              <w:t>Director Since:</w:t>
            </w:r>
            <w:r>
              <w:rPr>
                <w:spacing w:val="-2"/>
                <w:sz w:val="16"/>
              </w:rPr>
              <w:t xml:space="preserve"> 2016</w:t>
            </w:r>
            <w:r>
              <w:rPr>
                <w:sz w:val="16"/>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70" w:type="dxa"/>
            <w:tcBorders/>
            <w:tcMar>
              <w:bottom w:w="0" w:type="dxa"/>
            </w:tcMar>
            <w:vAlign w:val="center"/>
          </w:tcPr>
          <w:p>
            <w:pPr>
              <w:pStyle w:val="TableContents"/>
              <w:bidi w:val="0"/>
              <w:spacing w:lineRule="atLeast" w:line="240" w:before="0" w:after="0"/>
              <w:jc w:val="left"/>
              <w:rPr>
                <w:b/>
                <w:color w:val="FF6A00"/>
              </w:rPr>
            </w:pPr>
            <w:r>
              <w:rPr>
                <w:b/>
                <w:color w:val="FF6A00"/>
                <w:spacing w:val="-2"/>
              </w:rPr>
              <w:t>EXPERIENCE &amp; QUALIFICATIONS</w:t>
            </w:r>
            <w:r>
              <w:rPr>
                <w:b/>
                <w:color w:val="FF6A00"/>
              </w:rPr>
              <w:t xml:space="preserve"> </w:t>
            </w:r>
          </w:p>
          <w:p>
            <w:pPr>
              <w:pStyle w:val="TableContents"/>
              <w:bidi w:val="0"/>
              <w:spacing w:lineRule="atLeast" w:line="240" w:before="160" w:after="0"/>
              <w:ind w:left="400" w:right="0" w:hanging="0"/>
              <w:jc w:val="left"/>
              <w:rPr/>
            </w:pPr>
            <w:r>
              <w:rPr>
                <w:spacing w:val="-2"/>
              </w:rPr>
              <w:t>2005-2016: Held various leadership roles at Sleep Number Corporation (formerly Select Comfort Corporation), a manufacturer of mattresses and sleep-related products, including</w:t>
            </w:r>
            <w:r>
              <w:rPr/>
              <w:t xml:space="preserve"> </w:t>
            </w:r>
            <w:r>
              <mc:AlternateContent>
                <mc:Choice Requires="wps">
                  <w:drawing>
                    <wp:anchor behindDoc="0" distT="101600" distB="0" distL="127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09"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600" w:right="0" w:hanging="0"/>
              <w:jc w:val="left"/>
              <w:rPr>
                <w:rFonts w:ascii="Times New Roman;Times;serif" w:hAnsi="Times New Roman;Times;serif"/>
              </w:rPr>
            </w:pPr>
            <w:r>
              <w:rPr>
                <w:rFonts w:ascii="Arial;Helvetica;sans-serif" w:hAnsi="Arial;Helvetica;sans-serif"/>
                <w:spacing w:val="-2"/>
              </w:rPr>
              <w:t>Executive Vice President and Chief Services and Fulfillment Officer</w:t>
            </w:r>
            <w:r>
              <w:rPr>
                <w:rFonts w:ascii="Times New Roman;Times;serif" w:hAnsi="Times New Roman;Times;serif"/>
              </w:rPr>
              <w:t xml:space="preserve"> </w:t>
            </w:r>
            <w:r>
              <mc:AlternateContent>
                <mc:Choice Requires="wps">
                  <w:drawing>
                    <wp:anchor behindDoc="0" distT="10160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10"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FF6A00"/>
                                    </w:rPr>
                                    <w:t>◦</w:t>
                                  </w:r>
                                  <w:r>
                                    <w:rPr/>
                                    <w:t xml:space="preserve"> </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00" w:before="0" w:after="283"/>
                              <w:jc w:val="left"/>
                              <w:rPr/>
                            </w:pPr>
                            <w:r>
                              <w:rPr>
                                <w:color w:val="FF6A00"/>
                              </w:rPr>
                              <w:t>◦</w:t>
                            </w:r>
                            <w:r>
                              <w:rPr/>
                              <w:t xml:space="preserve"> </w:t>
                            </w:r>
                            <w:r>
                              <w:rPr>
                                <w:rFonts w:ascii="Times New Roman;Times;serif" w:hAnsi="Times New Roman;Time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600" w:right="0" w:hanging="0"/>
              <w:jc w:val="left"/>
              <w:rPr>
                <w:rFonts w:ascii="Times New Roman;Times;serif" w:hAnsi="Times New Roman;Times;serif"/>
              </w:rPr>
            </w:pPr>
            <w:r>
              <w:rPr>
                <w:rFonts w:ascii="Arial;Helvetica;sans-serif" w:hAnsi="Arial;Helvetica;sans-serif"/>
                <w:spacing w:val="-2"/>
              </w:rPr>
              <w:t>Executive Vice President, Product and Service, and</w:t>
            </w:r>
            <w:r>
              <w:rPr>
                <w:rFonts w:ascii="Times New Roman;Times;serif" w:hAnsi="Times New Roman;Times;serif"/>
              </w:rPr>
              <w:t xml:space="preserve"> </w:t>
            </w:r>
            <w:r>
              <mc:AlternateContent>
                <mc:Choice Requires="wps">
                  <w:drawing>
                    <wp:anchor behindDoc="0" distT="10160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11"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FF6A00"/>
                                    </w:rPr>
                                    <w:t>◦</w:t>
                                  </w:r>
                                  <w:r>
                                    <w:rPr/>
                                    <w:t xml:space="preserve"> </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00" w:before="0" w:after="283"/>
                              <w:jc w:val="left"/>
                              <w:rPr/>
                            </w:pPr>
                            <w:r>
                              <w:rPr>
                                <w:color w:val="FF6A00"/>
                              </w:rPr>
                              <w:t>◦</w:t>
                            </w:r>
                            <w:r>
                              <w:rPr/>
                              <w:t xml:space="preserve"> </w:t>
                            </w:r>
                            <w:r>
                              <w:rPr>
                                <w:rFonts w:ascii="Times New Roman;Times;serif" w:hAnsi="Times New Roman;Time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600" w:right="0" w:hanging="0"/>
              <w:jc w:val="left"/>
              <w:rPr>
                <w:rFonts w:ascii="Times New Roman;Times;serif" w:hAnsi="Times New Roman;Times;serif"/>
              </w:rPr>
            </w:pPr>
            <w:r>
              <w:rPr>
                <w:rFonts w:ascii="Arial;Helvetica;sans-serif" w:hAnsi="Arial;Helvetica;sans-serif"/>
                <w:spacing w:val="-2"/>
              </w:rPr>
              <w:t>Senior Vice President, Global Supply Chain</w:t>
            </w:r>
            <w:r>
              <w:rPr>
                <w:rFonts w:ascii="Times New Roman;Times;serif" w:hAnsi="Times New Roman;Times;serif"/>
              </w:rPr>
              <w:t xml:space="preserve"> </w:t>
            </w:r>
            <w:r>
              <mc:AlternateContent>
                <mc:Choice Requires="wps">
                  <w:drawing>
                    <wp:anchor behindDoc="0" distT="10160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12"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FF6A00"/>
                                    </w:rPr>
                                    <w:t>◦</w:t>
                                  </w:r>
                                  <w:r>
                                    <w:rPr/>
                                    <w:t xml:space="preserve"> </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00" w:before="0" w:after="283"/>
                              <w:jc w:val="left"/>
                              <w:rPr/>
                            </w:pPr>
                            <w:r>
                              <w:rPr>
                                <w:color w:val="FF6A00"/>
                              </w:rPr>
                              <w:t>◦</w:t>
                            </w:r>
                            <w:r>
                              <w:rPr/>
                              <w:t xml:space="preserve"> </w:t>
                            </w:r>
                            <w:r>
                              <w:rPr>
                                <w:rFonts w:ascii="Times New Roman;Times;serif" w:hAnsi="Times New Roman;Time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1983-2005: Held various leadership roles at GE, including</w:t>
            </w:r>
            <w:r>
              <w:rPr/>
              <w:t xml:space="preserve"> </w:t>
            </w:r>
            <w:r>
              <mc:AlternateContent>
                <mc:Choice Requires="wps">
                  <w:drawing>
                    <wp:anchor behindDoc="0" distT="101600" distB="0" distL="127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13"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600" w:right="0" w:hanging="0"/>
              <w:jc w:val="left"/>
              <w:rPr>
                <w:rFonts w:ascii="Times New Roman;Times;serif" w:hAnsi="Times New Roman;Times;serif"/>
              </w:rPr>
            </w:pPr>
            <w:r>
              <w:rPr>
                <w:rFonts w:ascii="Arial;Helvetica;sans-serif" w:hAnsi="Arial;Helvetica;sans-serif"/>
                <w:spacing w:val="-2"/>
              </w:rPr>
              <w:t>General Manager, Global Supply Chain Strategy, GE Healthcare,</w:t>
            </w:r>
            <w:r>
              <w:rPr>
                <w:rFonts w:ascii="Times New Roman;Times;serif" w:hAnsi="Times New Roman;Times;serif"/>
              </w:rPr>
              <w:t xml:space="preserve"> </w:t>
            </w:r>
            <w:r>
              <mc:AlternateContent>
                <mc:Choice Requires="wps">
                  <w:drawing>
                    <wp:anchor behindDoc="0" distT="10160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14"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FF6A00"/>
                                    </w:rPr>
                                    <w:t>◦</w:t>
                                  </w:r>
                                  <w:r>
                                    <w:rPr/>
                                    <w:t xml:space="preserve"> </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00" w:before="0" w:after="283"/>
                              <w:jc w:val="left"/>
                              <w:rPr/>
                            </w:pPr>
                            <w:r>
                              <w:rPr>
                                <w:color w:val="FF6A00"/>
                              </w:rPr>
                              <w:t>◦</w:t>
                            </w:r>
                            <w:r>
                              <w:rPr/>
                              <w:t xml:space="preserve"> </w:t>
                            </w:r>
                            <w:r>
                              <w:rPr>
                                <w:rFonts w:ascii="Times New Roman;Times;serif" w:hAnsi="Times New Roman;Time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600" w:right="0" w:hanging="0"/>
              <w:jc w:val="left"/>
              <w:rPr>
                <w:rFonts w:ascii="Times New Roman;Times;serif" w:hAnsi="Times New Roman;Times;serif"/>
              </w:rPr>
            </w:pPr>
            <w:r>
              <w:rPr>
                <w:rFonts w:ascii="Arial;Helvetica;sans-serif" w:hAnsi="Arial;Helvetica;sans-serif"/>
                <w:spacing w:val="-2"/>
              </w:rPr>
              <w:t>General Manager, Global Quality and Six Sigma, GE Healthcare,</w:t>
            </w:r>
            <w:r>
              <w:rPr>
                <w:rFonts w:ascii="Times New Roman;Times;serif" w:hAnsi="Times New Roman;Times;serif"/>
              </w:rPr>
              <w:t xml:space="preserve"> </w:t>
            </w:r>
            <w:r>
              <mc:AlternateContent>
                <mc:Choice Requires="wps">
                  <w:drawing>
                    <wp:anchor behindDoc="0" distT="10160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115"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FF6A00"/>
                                    </w:rPr>
                                    <w:t>◦</w:t>
                                  </w:r>
                                  <w:r>
                                    <w:rPr/>
                                    <w:t xml:space="preserve"> </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00" w:before="0" w:after="283"/>
                              <w:jc w:val="left"/>
                              <w:rPr/>
                            </w:pPr>
                            <w:r>
                              <w:rPr>
                                <w:color w:val="FF6A00"/>
                              </w:rPr>
                              <w:t>◦</w:t>
                            </w:r>
                            <w:r>
                              <w:rPr/>
                              <w:t xml:space="preserve"> </w:t>
                            </w:r>
                            <w:r>
                              <w:rPr>
                                <w:rFonts w:ascii="Times New Roman;Times;serif" w:hAnsi="Times New Roman;Times;serif"/>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600" w:right="0" w:hanging="0"/>
              <w:jc w:val="left"/>
              <w:rPr/>
            </w:pPr>
            <w:r>
              <w:rPr>
                <w:spacing w:val="-2"/>
              </w:rPr>
              <w:t>Vice President Technical Operations and Director/Vice President of Quality Programs for GE Clinical Services, a division of GE Healthcare, and various roles in Sourcing, Engineering, and Manufacturing at GE Information Services and GE Healthcare</w:t>
            </w:r>
            <w:r>
              <w:rPr/>
              <w:t xml:space="preserve"> </w:t>
            </w:r>
            <w:r>
              <mc:AlternateContent>
                <mc:Choice Requires="wps">
                  <w:drawing>
                    <wp:anchor behindDoc="0" distT="10160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116"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FF6A00"/>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color w:val="FF6A0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283"/>
              <w:jc w:val="left"/>
              <w:rPr>
                <w:b/>
                <w:color w:val="FF6A00"/>
              </w:rPr>
            </w:pPr>
            <w:r>
              <w:rPr>
                <w:b/>
                <w:color w:val="FF6A00"/>
                <w:spacing w:val="-2"/>
              </w:rPr>
              <w:t>Other Board Service</w:t>
            </w:r>
            <w:r>
              <w:rPr>
                <w:b/>
                <w:color w:val="FF6A00"/>
              </w:rPr>
              <w:t xml:space="preserve"> </w:t>
            </w:r>
          </w:p>
          <w:p>
            <w:pPr>
              <w:pStyle w:val="TableContents"/>
              <w:bidi w:val="0"/>
              <w:spacing w:lineRule="atLeast" w:line="240" w:before="160" w:after="0"/>
              <w:ind w:left="400" w:right="0" w:hanging="0"/>
              <w:jc w:val="left"/>
              <w:rPr/>
            </w:pPr>
            <w:r>
              <w:rPr>
                <w:spacing w:val="-2"/>
              </w:rPr>
              <w:t>Current Lead Director of Columbus McKinnon Corporation, a public company that designs and manufactures precision material handling systems</w:t>
            </w:r>
            <w:r>
              <w:rPr/>
              <w:t xml:space="preserve"> </w:t>
            </w:r>
            <w:r>
              <mc:AlternateContent>
                <mc:Choice Requires="wps">
                  <w:drawing>
                    <wp:anchor behindDoc="0" distT="101600" distB="0" distL="127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117"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Former Director of The Jones Family of Companies</w:t>
            </w:r>
            <w:r>
              <w:rPr/>
              <w:t xml:space="preserve"> </w:t>
            </w:r>
            <w:r>
              <mc:AlternateContent>
                <mc:Choice Requires="wps">
                  <w:drawing>
                    <wp:anchor behindDoc="0" distT="101600" distB="0" distL="127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118"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283"/>
              <w:jc w:val="left"/>
              <w:rPr/>
            </w:pPr>
            <w:r>
              <w:rPr>
                <w:spacing w:val="-2"/>
              </w:rPr>
              <w:t>Ms. Bohl brings to Generac extensive leadership experience across B2B and B2C sophisticated technology products and services and consumer/retail businesses. Ms. Bohl has held several senior level management positions, giving her significant experience in strategic growth and development and human resources/talent management. Ms. Bohl has over 30 years of expertise that includes extensive risk management, regulatory compliance, operations, and supply chain experience.</w:t>
            </w:r>
            <w:r>
              <w:rPr/>
              <w:t xml:space="preserve"> </w:t>
            </w:r>
          </w:p>
          <w:p>
            <w:pPr>
              <w:pStyle w:val="TableContents"/>
              <w:bidi w:val="0"/>
              <w:spacing w:lineRule="atLeast" w:line="240" w:before="160" w:after="283"/>
              <w:jc w:val="left"/>
              <w:rPr/>
            </w:pPr>
            <w:r>
              <w:rPr>
                <w:spacing w:val="-2"/>
              </w:rPr>
              <w:t>Ms. Bohl graduated with a Bachelor of Science in Mechanical Engineering from Michigan State University.</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11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38" descr=""/>
                          <pic:cNvPicPr>
                            <a:picLocks noChangeAspect="1" noChangeArrowheads="1"/>
                          </pic:cNvPicPr>
                        </pic:nvPicPr>
                        <pic:blipFill>
                          <a:blip r:embed="rId48"/>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12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rFonts w:ascii="Arial;Helvetica;sans-serif" w:hAnsi="Arial;Helvetica;sans-serif"/>
          <w:b w:val="false"/>
          <w:i w:val="false"/>
          <w:caps w:val="false"/>
          <w:smallCaps w:val="false"/>
          <w:color w:val="FF6A00"/>
          <w:sz w:val="22"/>
        </w:rPr>
      </w:pPr>
      <w:r>
        <w:rPr>
          <w:rFonts w:ascii="Arial;Helvetica;sans-serif" w:hAnsi="Arial;Helvetica;sans-serif"/>
          <w:b w:val="false"/>
          <w:i w:val="false"/>
          <w:caps w:val="false"/>
          <w:smallCaps w:val="false"/>
          <w:color w:val="FF6A00"/>
          <w:spacing w:val="-2"/>
          <w:sz w:val="22"/>
        </w:rPr>
        <w:t>PROPOSAL 1 — ELECTION OF CLASS II DIRECTORS</w:t>
      </w:r>
      <w:r>
        <w:rPr>
          <w:rFonts w:ascii="Arial;Helvetica;sans-serif" w:hAnsi="Arial;Helvetica;sans-serif"/>
          <w:b w:val="false"/>
          <w:i w:val="false"/>
          <w:caps w:val="false"/>
          <w:smallCaps w:val="false"/>
          <w:color w:val="FF6A00"/>
          <w:sz w:val="22"/>
        </w:rPr>
        <w:t xml:space="preserve"> </w:t>
      </w:r>
    </w:p>
    <w:tbl>
      <w:tblPr>
        <w:tblW w:w="9065" w:type="dxa"/>
        <w:jc w:val="left"/>
        <w:tblInd w:w="1140" w:type="dxa"/>
        <w:tblLayout w:type="fixed"/>
        <w:tblCellMar>
          <w:top w:w="0" w:type="dxa"/>
          <w:left w:w="0" w:type="dxa"/>
          <w:bottom w:w="140" w:type="dxa"/>
          <w:right w:w="0" w:type="dxa"/>
        </w:tblCellMar>
      </w:tblPr>
      <w:tblGrid>
        <w:gridCol w:w="1922"/>
        <w:gridCol w:w="109"/>
        <w:gridCol w:w="109"/>
        <w:gridCol w:w="6770"/>
        <w:gridCol w:w="155"/>
      </w:tblGrid>
      <w:tr>
        <w:trPr/>
        <w:tc>
          <w:tcPr>
            <w:tcW w:w="8910" w:type="dxa"/>
            <w:gridSpan w:val="4"/>
            <w:tcBorders>
              <w:bottom w:val="single" w:sz="2" w:space="0" w:color="FF6A00"/>
            </w:tcBorders>
            <w:vAlign w:val="center"/>
          </w:tcPr>
          <w:p>
            <w:pPr>
              <w:pStyle w:val="TableContents"/>
              <w:bidi w:val="0"/>
              <w:spacing w:before="0" w:after="0"/>
              <w:jc w:val="left"/>
              <w:rPr/>
            </w:pPr>
            <w:r>
              <w:rPr>
                <w:spacing w:val="-2"/>
              </w:rPr>
              <w:t>ROBERT D. DIXON</w:t>
            </w:r>
            <w:r>
              <w:rPr/>
              <w:t xml:space="preserv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22" w:type="dxa"/>
            <w:tcBorders/>
            <w:tcMar>
              <w:bottom w:w="0" w:type="dxa"/>
            </w:tcMar>
            <w:vAlign w:val="center"/>
          </w:tcPr>
          <w:p>
            <w:pPr>
              <w:pStyle w:val="TableContents"/>
              <w:bidi w:val="0"/>
              <w:spacing w:before="0" w:after="0"/>
              <w:jc w:val="left"/>
              <w:rPr/>
            </w:pPr>
            <w:r>
              <w:rPr/>
              <w:drawing>
                <wp:inline distT="0" distB="0" distL="0" distR="0">
                  <wp:extent cx="1152525" cy="1371600"/>
                  <wp:effectExtent l="0" t="0" r="0" b="0"/>
                  <wp:docPr id="12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39" descr=""/>
                          <pic:cNvPicPr>
                            <a:picLocks noChangeAspect="1" noChangeArrowheads="1"/>
                          </pic:cNvPicPr>
                        </pic:nvPicPr>
                        <pic:blipFill>
                          <a:blip r:embed="rId49"/>
                          <a:stretch>
                            <a:fillRect/>
                          </a:stretch>
                        </pic:blipFill>
                        <pic:spPr bwMode="auto">
                          <a:xfrm>
                            <a:off x="0" y="0"/>
                            <a:ext cx="1152525" cy="1371600"/>
                          </a:xfrm>
                          <a:prstGeom prst="rect">
                            <a:avLst/>
                          </a:prstGeom>
                        </pic:spPr>
                      </pic:pic>
                    </a:graphicData>
                  </a:graphic>
                </wp:inline>
              </w:drawing>
            </w:r>
            <w:r>
              <w:rPr/>
              <w:t xml:space="preserve"> </w:t>
            </w:r>
          </w:p>
          <w:p>
            <w:pPr>
              <w:pStyle w:val="TableContents"/>
              <w:bidi w:val="0"/>
              <w:spacing w:lineRule="atLeast" w:line="160" w:before="480" w:after="283"/>
              <w:jc w:val="left"/>
              <w:rPr>
                <w:b/>
                <w:i/>
                <w:sz w:val="16"/>
              </w:rPr>
            </w:pPr>
            <w:r>
              <w:rPr>
                <w:b/>
                <w:i/>
                <w:spacing w:val="-2"/>
                <w:sz w:val="16"/>
              </w:rPr>
              <w:t>Age:</w:t>
            </w:r>
            <w:r>
              <w:rPr>
                <w:b/>
                <w:i/>
                <w:caps w:val="false"/>
                <w:smallCaps w:val="false"/>
                <w:spacing w:val="-2"/>
                <w:sz w:val="16"/>
              </w:rPr>
              <w:t xml:space="preserve"> </w:t>
            </w:r>
            <w:r>
              <w:rPr>
                <w:b w:val="false"/>
                <w:i w:val="false"/>
                <w:caps w:val="false"/>
                <w:smallCaps w:val="false"/>
                <w:spacing w:val="-2"/>
                <w:sz w:val="16"/>
              </w:rPr>
              <w:t>66</w:t>
            </w:r>
            <w:r>
              <w:rPr>
                <w:b/>
                <w:i/>
                <w:sz w:val="16"/>
              </w:rPr>
              <w:t xml:space="preserve"> </w:t>
            </w:r>
          </w:p>
          <w:p>
            <w:pPr>
              <w:pStyle w:val="TableContents"/>
              <w:bidi w:val="0"/>
              <w:spacing w:lineRule="atLeast" w:line="160" w:before="120" w:after="283"/>
              <w:jc w:val="left"/>
              <w:rPr>
                <w:sz w:val="16"/>
              </w:rPr>
            </w:pPr>
            <w:r>
              <w:rPr>
                <w:b/>
                <w:i/>
                <w:spacing w:val="-2"/>
                <w:sz w:val="16"/>
              </w:rPr>
              <w:t>Director Since:</w:t>
            </w:r>
            <w:r>
              <w:rPr>
                <w:spacing w:val="-2"/>
                <w:sz w:val="16"/>
              </w:rPr>
              <w:t xml:space="preserve"> 2012</w:t>
            </w:r>
            <w:r>
              <w:rPr>
                <w:sz w:val="16"/>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70" w:type="dxa"/>
            <w:tcBorders/>
            <w:tcMar>
              <w:bottom w:w="0" w:type="dxa"/>
            </w:tcMar>
            <w:vAlign w:val="center"/>
          </w:tcPr>
          <w:p>
            <w:pPr>
              <w:pStyle w:val="TableContents"/>
              <w:bidi w:val="0"/>
              <w:spacing w:lineRule="atLeast" w:line="240" w:before="0" w:after="0"/>
              <w:jc w:val="left"/>
              <w:rPr>
                <w:b/>
                <w:color w:val="FF6A00"/>
              </w:rPr>
            </w:pPr>
            <w:r>
              <w:rPr>
                <w:b/>
                <w:color w:val="FF6A00"/>
                <w:spacing w:val="-2"/>
              </w:rPr>
              <w:t>EXPERIENCE &amp; QUALIFICATIONS</w:t>
            </w:r>
            <w:r>
              <w:rPr>
                <w:b/>
                <w:color w:val="FF6A00"/>
              </w:rPr>
              <w:t xml:space="preserve"> </w:t>
            </w:r>
          </w:p>
          <w:p>
            <w:pPr>
              <w:pStyle w:val="TableContents"/>
              <w:bidi w:val="0"/>
              <w:spacing w:lineRule="atLeast" w:line="240" w:before="160" w:after="0"/>
              <w:ind w:left="400" w:right="0" w:hanging="0"/>
              <w:jc w:val="left"/>
              <w:rPr/>
            </w:pPr>
            <w:r>
              <w:rPr>
                <w:spacing w:val="-2"/>
              </w:rPr>
              <w:t>2014-2016: Chairman and CEO of Natural Systems Utilities LLC, a distributed water infrastructure company</w:t>
            </w:r>
            <w:r>
              <w:rPr/>
              <w:t xml:space="preserve"> </w:t>
            </w:r>
            <w:r>
              <mc:AlternateContent>
                <mc:Choice Requires="wps">
                  <w:drawing>
                    <wp:anchor behindDoc="0" distT="101600" distB="0" distL="127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121"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2012-2014: Chief Executive Officer of Seven Seas Water Corporation, an international services corporation</w:t>
            </w:r>
            <w:r>
              <w:rPr/>
              <w:t xml:space="preserve"> </w:t>
            </w:r>
            <w:r>
              <mc:AlternateContent>
                <mc:Choice Requires="wps">
                  <w:drawing>
                    <wp:anchor behindDoc="0" distT="101600" distB="0" distL="127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122"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1983-2011: Held various leadership roles at Air Products and Chemicals, Inc., including Senior Vice President &amp; General Manager</w:t>
            </w:r>
            <w:r>
              <w:rPr/>
              <w:t xml:space="preserve"> </w:t>
            </w:r>
            <w:r>
              <mc:AlternateContent>
                <mc:Choice Requires="wps">
                  <w:drawing>
                    <wp:anchor behindDoc="0" distT="101600" distB="0" distL="127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123"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283"/>
              <w:jc w:val="left"/>
              <w:rPr>
                <w:b/>
                <w:color w:val="FF6A00"/>
              </w:rPr>
            </w:pPr>
            <w:r>
              <w:rPr>
                <w:b/>
                <w:color w:val="FF6A00"/>
                <w:spacing w:val="-2"/>
              </w:rPr>
              <w:t>Other Board Service</w:t>
            </w:r>
            <w:r>
              <w:rPr>
                <w:b/>
                <w:color w:val="FF6A00"/>
              </w:rPr>
              <w:t xml:space="preserve"> </w:t>
            </w:r>
          </w:p>
          <w:p>
            <w:pPr>
              <w:pStyle w:val="TableContents"/>
              <w:bidi w:val="0"/>
              <w:spacing w:lineRule="atLeast" w:line="200" w:before="160" w:after="0"/>
              <w:ind w:left="400" w:right="0" w:hanging="0"/>
              <w:jc w:val="left"/>
              <w:rPr/>
            </w:pPr>
            <w:r>
              <w:rPr>
                <w:spacing w:val="-2"/>
              </w:rPr>
              <w:t>Former Director of Valicor Environmental Services</w:t>
            </w:r>
            <w:r>
              <w:rPr/>
              <w:t xml:space="preserve"> </w:t>
            </w:r>
            <w:r>
              <mc:AlternateContent>
                <mc:Choice Requires="wps">
                  <w:drawing>
                    <wp:anchor behindDoc="0" distT="101600" distB="0" distL="127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124"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283"/>
              <w:jc w:val="left"/>
              <w:rPr/>
            </w:pPr>
            <w:r>
              <w:rPr>
                <w:spacing w:val="-2"/>
              </w:rPr>
              <w:t>Mr. Dixon brings to Generac over 30 years of global management, operations and finance experience. Mr. Dixon has significant prior experience working in the energy industry, including specifically within the industrial gas sector on various clean energy initiatives. Mr. Dixon also brings vast international experience to Generac, having managed international operations for the majority of his career, including spending several years working overseas in Asia.</w:t>
            </w:r>
            <w:r>
              <w:rPr/>
              <w:t xml:space="preserve"> </w:t>
            </w:r>
          </w:p>
          <w:p>
            <w:pPr>
              <w:pStyle w:val="TableContents"/>
              <w:bidi w:val="0"/>
              <w:spacing w:lineRule="atLeast" w:line="240" w:before="160" w:after="283"/>
              <w:jc w:val="left"/>
              <w:rPr/>
            </w:pPr>
            <w:r>
              <w:rPr>
                <w:spacing w:val="-2"/>
              </w:rPr>
              <w:t>Mr. Dixon earned a Bachelor of Business Administration from Miami University and a Master of Business Administration from Pennsylvania State University. He also attended the Advanced Management Program at INSEAD in Fontainebleau, France.</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125"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40" descr=""/>
                          <pic:cNvPicPr>
                            <a:picLocks noChangeAspect="1" noChangeArrowheads="1"/>
                          </pic:cNvPicPr>
                        </pic:nvPicPr>
                        <pic:blipFill>
                          <a:blip r:embed="rId50"/>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13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rFonts w:ascii="Arial;Helvetica;sans-serif" w:hAnsi="Arial;Helvetica;sans-serif"/>
          <w:b w:val="false"/>
          <w:i w:val="false"/>
          <w:caps w:val="false"/>
          <w:smallCaps w:val="false"/>
          <w:color w:val="FF6A00"/>
          <w:sz w:val="22"/>
        </w:rPr>
      </w:pPr>
      <w:r>
        <w:rPr>
          <w:rFonts w:ascii="Arial;Helvetica;sans-serif" w:hAnsi="Arial;Helvetica;sans-serif"/>
          <w:b w:val="false"/>
          <w:i w:val="false"/>
          <w:caps w:val="false"/>
          <w:smallCaps w:val="false"/>
          <w:color w:val="FF6A00"/>
          <w:spacing w:val="-2"/>
          <w:sz w:val="22"/>
        </w:rPr>
        <w:t>PROPOSAL 1 — ELECTION OF CLASS II DIRECTORS</w:t>
      </w:r>
      <w:r>
        <w:rPr>
          <w:rFonts w:ascii="Arial;Helvetica;sans-serif" w:hAnsi="Arial;Helvetica;sans-serif"/>
          <w:b w:val="false"/>
          <w:i w:val="false"/>
          <w:caps w:val="false"/>
          <w:smallCaps w:val="false"/>
          <w:color w:val="FF6A00"/>
          <w:sz w:val="22"/>
        </w:rPr>
        <w:t xml:space="preserve"> </w:t>
      </w:r>
    </w:p>
    <w:tbl>
      <w:tblPr>
        <w:tblW w:w="9065" w:type="dxa"/>
        <w:jc w:val="left"/>
        <w:tblInd w:w="1140" w:type="dxa"/>
        <w:tblLayout w:type="fixed"/>
        <w:tblCellMar>
          <w:top w:w="0" w:type="dxa"/>
          <w:left w:w="0" w:type="dxa"/>
          <w:bottom w:w="140" w:type="dxa"/>
          <w:right w:w="0" w:type="dxa"/>
        </w:tblCellMar>
      </w:tblPr>
      <w:tblGrid>
        <w:gridCol w:w="1935"/>
        <w:gridCol w:w="109"/>
        <w:gridCol w:w="109"/>
        <w:gridCol w:w="6757"/>
        <w:gridCol w:w="155"/>
      </w:tblGrid>
      <w:tr>
        <w:trPr/>
        <w:tc>
          <w:tcPr>
            <w:tcW w:w="8910" w:type="dxa"/>
            <w:gridSpan w:val="4"/>
            <w:tcBorders>
              <w:bottom w:val="single" w:sz="2" w:space="0" w:color="FF6A00"/>
            </w:tcBorders>
            <w:vAlign w:val="center"/>
          </w:tcPr>
          <w:p>
            <w:pPr>
              <w:pStyle w:val="TableContents"/>
              <w:bidi w:val="0"/>
              <w:spacing w:before="0" w:after="0"/>
              <w:jc w:val="left"/>
              <w:rPr/>
            </w:pPr>
            <w:r>
              <w:rPr>
                <w:spacing w:val="-2"/>
              </w:rPr>
              <w:t>WILLIAM D. JENKINS, JR.</w:t>
            </w:r>
            <w:r>
              <w:rPr/>
              <w:t xml:space="preserv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35" w:type="dxa"/>
            <w:tcBorders/>
            <w:tcMar>
              <w:bottom w:w="0" w:type="dxa"/>
            </w:tcMar>
            <w:vAlign w:val="center"/>
          </w:tcPr>
          <w:p>
            <w:pPr>
              <w:pStyle w:val="TableContents"/>
              <w:bidi w:val="0"/>
              <w:spacing w:before="0" w:after="0"/>
              <w:jc w:val="left"/>
              <w:rPr/>
            </w:pPr>
            <w:r>
              <w:rPr/>
              <w:drawing>
                <wp:inline distT="0" distB="0" distL="0" distR="0">
                  <wp:extent cx="1152525" cy="1371600"/>
                  <wp:effectExtent l="0" t="0" r="0" b="0"/>
                  <wp:docPr id="126"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41" descr=""/>
                          <pic:cNvPicPr>
                            <a:picLocks noChangeAspect="1" noChangeArrowheads="1"/>
                          </pic:cNvPicPr>
                        </pic:nvPicPr>
                        <pic:blipFill>
                          <a:blip r:embed="rId51"/>
                          <a:stretch>
                            <a:fillRect/>
                          </a:stretch>
                        </pic:blipFill>
                        <pic:spPr bwMode="auto">
                          <a:xfrm>
                            <a:off x="0" y="0"/>
                            <a:ext cx="1152525" cy="1371600"/>
                          </a:xfrm>
                          <a:prstGeom prst="rect">
                            <a:avLst/>
                          </a:prstGeom>
                        </pic:spPr>
                      </pic:pic>
                    </a:graphicData>
                  </a:graphic>
                </wp:inline>
              </w:drawing>
            </w:r>
            <w:r>
              <w:rPr/>
              <w:t xml:space="preserve"> </w:t>
            </w:r>
          </w:p>
          <w:p>
            <w:pPr>
              <w:pStyle w:val="TableContents"/>
              <w:bidi w:val="0"/>
              <w:spacing w:lineRule="atLeast" w:line="160" w:before="480" w:after="283"/>
              <w:jc w:val="left"/>
              <w:rPr>
                <w:b/>
                <w:i/>
                <w:sz w:val="16"/>
              </w:rPr>
            </w:pPr>
            <w:r>
              <w:rPr>
                <w:b/>
                <w:i/>
                <w:spacing w:val="-2"/>
                <w:sz w:val="16"/>
              </w:rPr>
              <w:t>Age:</w:t>
            </w:r>
            <w:r>
              <w:rPr>
                <w:b/>
                <w:i/>
                <w:caps w:val="false"/>
                <w:smallCaps w:val="false"/>
                <w:spacing w:val="-2"/>
                <w:sz w:val="16"/>
              </w:rPr>
              <w:t xml:space="preserve"> </w:t>
            </w:r>
            <w:r>
              <w:rPr>
                <w:b w:val="false"/>
                <w:i w:val="false"/>
                <w:caps w:val="false"/>
                <w:smallCaps w:val="false"/>
                <w:spacing w:val="-2"/>
                <w:sz w:val="16"/>
              </w:rPr>
              <w:t>60</w:t>
            </w:r>
            <w:r>
              <w:rPr>
                <w:b/>
                <w:i/>
                <w:sz w:val="16"/>
              </w:rPr>
              <w:t xml:space="preserve"> </w:t>
            </w:r>
          </w:p>
          <w:p>
            <w:pPr>
              <w:pStyle w:val="TableContents"/>
              <w:bidi w:val="0"/>
              <w:spacing w:lineRule="atLeast" w:line="160" w:before="120" w:after="283"/>
              <w:jc w:val="left"/>
              <w:rPr>
                <w:sz w:val="16"/>
              </w:rPr>
            </w:pPr>
            <w:r>
              <w:rPr>
                <w:b/>
                <w:i/>
                <w:spacing w:val="-2"/>
                <w:sz w:val="16"/>
              </w:rPr>
              <w:t>Director Since:</w:t>
            </w:r>
            <w:r>
              <w:rPr>
                <w:spacing w:val="-2"/>
                <w:sz w:val="16"/>
              </w:rPr>
              <w:t xml:space="preserve"> 2017</w:t>
            </w:r>
            <w:r>
              <w:rPr>
                <w:sz w:val="16"/>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57" w:type="dxa"/>
            <w:tcBorders/>
            <w:tcMar>
              <w:bottom w:w="0" w:type="dxa"/>
            </w:tcMar>
            <w:vAlign w:val="center"/>
          </w:tcPr>
          <w:p>
            <w:pPr>
              <w:pStyle w:val="TableContents"/>
              <w:bidi w:val="0"/>
              <w:spacing w:lineRule="atLeast" w:line="240" w:before="0" w:after="0"/>
              <w:jc w:val="left"/>
              <w:rPr>
                <w:b/>
                <w:color w:val="FF6A00"/>
              </w:rPr>
            </w:pPr>
            <w:r>
              <w:rPr>
                <w:b/>
                <w:color w:val="FF6A00"/>
                <w:spacing w:val="-2"/>
              </w:rPr>
              <w:t>EXPERIENCE &amp; QUALIFICATIONS</w:t>
            </w:r>
            <w:r>
              <w:rPr>
                <w:b/>
                <w:color w:val="FF6A00"/>
              </w:rPr>
              <w:t xml:space="preserve"> </w:t>
            </w:r>
          </w:p>
          <w:p>
            <w:pPr>
              <w:pStyle w:val="TableContents"/>
              <w:bidi w:val="0"/>
              <w:spacing w:lineRule="atLeast" w:line="240" w:before="160" w:after="0"/>
              <w:ind w:left="400" w:right="0" w:hanging="0"/>
              <w:jc w:val="left"/>
              <w:rPr/>
            </w:pPr>
            <w:r>
              <w:rPr>
                <w:spacing w:val="-2"/>
              </w:rPr>
              <w:t>2021-Current: President of Palo Alto Networks, a public cybersecurity firm</w:t>
            </w:r>
            <w:r>
              <w:rPr/>
              <w:t xml:space="preserve"> </w:t>
            </w:r>
            <w:r>
              <mc:AlternateContent>
                <mc:Choice Requires="wps">
                  <w:drawing>
                    <wp:anchor behindDoc="0" distT="101600" distB="0" distL="127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127"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2012-2021: President &amp; Chief Executive Officer of Barracuda Networks, a private network technology company</w:t>
            </w:r>
            <w:r>
              <w:rPr/>
              <w:t xml:space="preserve"> </w:t>
            </w:r>
            <w:r>
              <mc:AlternateContent>
                <mc:Choice Requires="wps">
                  <w:drawing>
                    <wp:anchor behindDoc="0" distT="101600" distB="0" distL="127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128"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1998-2012: Held various positions at EMC Corporation, an information infrastructure company, including President of the Backup Recovery Systems division</w:t>
            </w:r>
            <w:r>
              <w:rPr/>
              <w:t xml:space="preserve"> </w:t>
            </w:r>
            <w:r>
              <mc:AlternateContent>
                <mc:Choice Requires="wps">
                  <w:drawing>
                    <wp:anchor behindDoc="0" distT="101600" distB="0" distL="127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129"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283"/>
              <w:jc w:val="left"/>
              <w:rPr>
                <w:b/>
                <w:color w:val="FF6A00"/>
              </w:rPr>
            </w:pPr>
            <w:r>
              <w:rPr>
                <w:b/>
                <w:color w:val="FF6A00"/>
                <w:spacing w:val="-2"/>
              </w:rPr>
              <w:t>Other Board Service</w:t>
            </w:r>
            <w:r>
              <w:rPr>
                <w:b/>
                <w:color w:val="FF6A00"/>
              </w:rPr>
              <w:t xml:space="preserve"> </w:t>
            </w:r>
          </w:p>
          <w:p>
            <w:pPr>
              <w:pStyle w:val="TableContents"/>
              <w:bidi w:val="0"/>
              <w:spacing w:lineRule="atLeast" w:line="200" w:before="160" w:after="0"/>
              <w:ind w:left="400" w:right="0" w:hanging="0"/>
              <w:jc w:val="left"/>
              <w:rPr/>
            </w:pPr>
            <w:r>
              <w:rPr>
                <w:spacing w:val="-2"/>
              </w:rPr>
              <w:t>Former Director of Skydeck Acquisition Corporation</w:t>
            </w:r>
            <w:r>
              <w:rPr/>
              <w:t xml:space="preserve"> </w:t>
            </w:r>
            <w:r>
              <mc:AlternateContent>
                <mc:Choice Requires="wps">
                  <w:drawing>
                    <wp:anchor behindDoc="0" distT="101600" distB="0" distL="127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130"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Former Director of Barracuda Networks</w:t>
            </w:r>
            <w:r>
              <w:rPr/>
              <w:t xml:space="preserve"> </w:t>
            </w:r>
            <w:r>
              <mc:AlternateContent>
                <mc:Choice Requires="wps">
                  <w:drawing>
                    <wp:anchor behindDoc="0" distT="101600" distB="0" distL="127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131"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Former Director of Sumo Logic</w:t>
            </w:r>
            <w:r>
              <w:rPr/>
              <w:t xml:space="preserve"> </w:t>
            </w:r>
            <w:r>
              <mc:AlternateContent>
                <mc:Choice Requires="wps">
                  <w:drawing>
                    <wp:anchor behindDoc="0" distT="101600" distB="0" distL="127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132"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Former Lead Director for Apigee Corporation (acquired by Google, Inc.)</w:t>
            </w:r>
            <w:r>
              <w:rPr/>
              <w:t xml:space="preserve"> </w:t>
            </w:r>
            <w:r>
              <mc:AlternateContent>
                <mc:Choice Requires="wps">
                  <w:drawing>
                    <wp:anchor behindDoc="0" distT="101600" distB="0" distL="127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133"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Former Director for Nimble Storage, Inc. (acquired by Hewlett Packard Enterprise Company)</w:t>
            </w:r>
            <w:r>
              <w:rPr/>
              <w:t xml:space="preserve"> </w:t>
            </w:r>
            <w:r>
              <mc:AlternateContent>
                <mc:Choice Requires="wps">
                  <w:drawing>
                    <wp:anchor behindDoc="0" distT="101600" distB="0" distL="127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134"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283"/>
              <w:jc w:val="left"/>
              <w:rPr/>
            </w:pPr>
            <w:r>
              <w:rPr>
                <w:spacing w:val="-2"/>
              </w:rPr>
              <w:t>Mr. Jenkins brings to Generac over 10 years of cybersecurity and technology experience, including currently serving as the President of a global cybersecurity company.</w:t>
            </w:r>
            <w:r>
              <w:rPr/>
              <w:t xml:space="preserve"> </w:t>
            </w:r>
          </w:p>
          <w:p>
            <w:pPr>
              <w:pStyle w:val="TableContents"/>
              <w:bidi w:val="0"/>
              <w:spacing w:lineRule="atLeast" w:line="240" w:before="160" w:after="283"/>
              <w:jc w:val="left"/>
              <w:rPr/>
            </w:pPr>
            <w:r>
              <w:rPr>
                <w:spacing w:val="-2"/>
              </w:rPr>
              <w:t>Mr. Jenkins holds a Bachelor of Science in General Engineering from the University of Illinois and a Master of Business Administration from Harvard Business School.</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13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42" descr=""/>
                          <pic:cNvPicPr>
                            <a:picLocks noChangeAspect="1" noChangeArrowheads="1"/>
                          </pic:cNvPicPr>
                        </pic:nvPicPr>
                        <pic:blipFill>
                          <a:blip r:embed="rId52"/>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14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rFonts w:ascii="Arial;Helvetica;sans-serif" w:hAnsi="Arial;Helvetica;sans-serif"/>
          <w:b w:val="false"/>
          <w:i w:val="false"/>
          <w:caps w:val="false"/>
          <w:smallCaps w:val="false"/>
          <w:color w:val="FF6A00"/>
          <w:sz w:val="22"/>
        </w:rPr>
      </w:pPr>
      <w:r>
        <w:rPr>
          <w:rFonts w:ascii="Arial;Helvetica;sans-serif" w:hAnsi="Arial;Helvetica;sans-serif"/>
          <w:b w:val="false"/>
          <w:i w:val="false"/>
          <w:caps w:val="false"/>
          <w:smallCaps w:val="false"/>
          <w:color w:val="FF6A00"/>
          <w:spacing w:val="-2"/>
          <w:sz w:val="22"/>
        </w:rPr>
        <w:t>PROPOSAL 1 — ELECTION OF CLASS II DIRECTORS</w:t>
      </w:r>
      <w:r>
        <w:rPr>
          <w:rFonts w:ascii="Arial;Helvetica;sans-serif" w:hAnsi="Arial;Helvetica;sans-serif"/>
          <w:b w:val="false"/>
          <w:i w:val="false"/>
          <w:caps w:val="false"/>
          <w:smallCaps w:val="false"/>
          <w:color w:val="FF6A00"/>
          <w:sz w:val="22"/>
        </w:rPr>
        <w:t xml:space="preserve"> </w:t>
      </w:r>
    </w:p>
    <w:tbl>
      <w:tblPr>
        <w:tblW w:w="9065" w:type="dxa"/>
        <w:jc w:val="left"/>
        <w:tblInd w:w="1140" w:type="dxa"/>
        <w:tblLayout w:type="fixed"/>
        <w:tblCellMar>
          <w:top w:w="0" w:type="dxa"/>
          <w:left w:w="0" w:type="dxa"/>
          <w:bottom w:w="140" w:type="dxa"/>
          <w:right w:w="0" w:type="dxa"/>
        </w:tblCellMar>
      </w:tblPr>
      <w:tblGrid>
        <w:gridCol w:w="1920"/>
        <w:gridCol w:w="109"/>
        <w:gridCol w:w="109"/>
        <w:gridCol w:w="6772"/>
        <w:gridCol w:w="155"/>
      </w:tblGrid>
      <w:tr>
        <w:trPr/>
        <w:tc>
          <w:tcPr>
            <w:tcW w:w="8910" w:type="dxa"/>
            <w:gridSpan w:val="4"/>
            <w:tcBorders>
              <w:bottom w:val="single" w:sz="2" w:space="0" w:color="FF6A00"/>
            </w:tcBorders>
            <w:vAlign w:val="center"/>
          </w:tcPr>
          <w:p>
            <w:pPr>
              <w:pStyle w:val="TableContents"/>
              <w:bidi w:val="0"/>
              <w:spacing w:before="0" w:after="0"/>
              <w:jc w:val="left"/>
              <w:rPr/>
            </w:pPr>
            <w:r>
              <w:rPr>
                <w:spacing w:val="-2"/>
              </w:rPr>
              <w:t>DAVID A. RAMON</w:t>
            </w:r>
            <w:r>
              <w:rPr/>
              <w:t xml:space="preserv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20" w:type="dxa"/>
            <w:tcBorders/>
            <w:tcMar>
              <w:bottom w:w="0" w:type="dxa"/>
            </w:tcMar>
            <w:vAlign w:val="center"/>
          </w:tcPr>
          <w:p>
            <w:pPr>
              <w:pStyle w:val="TableContents"/>
              <w:bidi w:val="0"/>
              <w:spacing w:before="0" w:after="0"/>
              <w:jc w:val="left"/>
              <w:rPr/>
            </w:pPr>
            <w:r>
              <w:rPr/>
              <w:drawing>
                <wp:inline distT="0" distB="0" distL="0" distR="0">
                  <wp:extent cx="1152525" cy="1371600"/>
                  <wp:effectExtent l="0" t="0" r="0" b="0"/>
                  <wp:docPr id="13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43" descr=""/>
                          <pic:cNvPicPr>
                            <a:picLocks noChangeAspect="1" noChangeArrowheads="1"/>
                          </pic:cNvPicPr>
                        </pic:nvPicPr>
                        <pic:blipFill>
                          <a:blip r:embed="rId53"/>
                          <a:stretch>
                            <a:fillRect/>
                          </a:stretch>
                        </pic:blipFill>
                        <pic:spPr bwMode="auto">
                          <a:xfrm>
                            <a:off x="0" y="0"/>
                            <a:ext cx="1152525" cy="1371600"/>
                          </a:xfrm>
                          <a:prstGeom prst="rect">
                            <a:avLst/>
                          </a:prstGeom>
                        </pic:spPr>
                      </pic:pic>
                    </a:graphicData>
                  </a:graphic>
                </wp:inline>
              </w:drawing>
            </w:r>
            <w:r>
              <w:rPr/>
              <w:t xml:space="preserve"> </w:t>
            </w:r>
          </w:p>
          <w:p>
            <w:pPr>
              <w:pStyle w:val="TableContents"/>
              <w:bidi w:val="0"/>
              <w:spacing w:lineRule="atLeast" w:line="160" w:before="480" w:after="283"/>
              <w:jc w:val="left"/>
              <w:rPr>
                <w:b/>
                <w:i/>
                <w:sz w:val="16"/>
              </w:rPr>
            </w:pPr>
            <w:r>
              <w:rPr>
                <w:b/>
                <w:i/>
                <w:spacing w:val="-2"/>
                <w:sz w:val="16"/>
              </w:rPr>
              <w:t>Age:</w:t>
            </w:r>
            <w:r>
              <w:rPr>
                <w:b/>
                <w:i/>
                <w:caps w:val="false"/>
                <w:smallCaps w:val="false"/>
                <w:spacing w:val="-2"/>
                <w:sz w:val="16"/>
              </w:rPr>
              <w:t xml:space="preserve"> </w:t>
            </w:r>
            <w:r>
              <w:rPr>
                <w:b w:val="false"/>
                <w:i w:val="false"/>
                <w:caps w:val="false"/>
                <w:smallCaps w:val="false"/>
                <w:spacing w:val="-2"/>
                <w:sz w:val="16"/>
              </w:rPr>
              <w:t>70</w:t>
            </w:r>
            <w:r>
              <w:rPr>
                <w:b/>
                <w:i/>
                <w:sz w:val="16"/>
              </w:rPr>
              <w:t xml:space="preserve"> </w:t>
            </w:r>
          </w:p>
          <w:p>
            <w:pPr>
              <w:pStyle w:val="TableContents"/>
              <w:bidi w:val="0"/>
              <w:spacing w:lineRule="atLeast" w:line="160" w:before="120" w:after="283"/>
              <w:jc w:val="left"/>
              <w:rPr>
                <w:sz w:val="16"/>
              </w:rPr>
            </w:pPr>
            <w:r>
              <w:rPr>
                <w:b/>
                <w:i/>
                <w:spacing w:val="-2"/>
                <w:sz w:val="16"/>
              </w:rPr>
              <w:t>Director Since:</w:t>
            </w:r>
            <w:r>
              <w:rPr>
                <w:spacing w:val="-2"/>
                <w:sz w:val="16"/>
              </w:rPr>
              <w:t xml:space="preserve"> 2010</w:t>
            </w:r>
            <w:r>
              <w:rPr>
                <w:sz w:val="16"/>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72" w:type="dxa"/>
            <w:tcBorders/>
            <w:tcMar>
              <w:bottom w:w="0" w:type="dxa"/>
            </w:tcMar>
            <w:vAlign w:val="center"/>
          </w:tcPr>
          <w:p>
            <w:pPr>
              <w:pStyle w:val="TableContents"/>
              <w:bidi w:val="0"/>
              <w:spacing w:lineRule="atLeast" w:line="240" w:before="0" w:after="0"/>
              <w:jc w:val="left"/>
              <w:rPr>
                <w:b/>
                <w:color w:val="FF6A00"/>
              </w:rPr>
            </w:pPr>
            <w:r>
              <w:rPr>
                <w:b/>
                <w:color w:val="FF6A00"/>
                <w:spacing w:val="-2"/>
              </w:rPr>
              <w:t>EXPERIENCE &amp; QUALIFICATIONS</w:t>
            </w:r>
            <w:r>
              <w:rPr>
                <w:b/>
                <w:color w:val="FF6A00"/>
              </w:rPr>
              <w:t xml:space="preserve"> </w:t>
            </w:r>
          </w:p>
          <w:p>
            <w:pPr>
              <w:pStyle w:val="TableContents"/>
              <w:bidi w:val="0"/>
              <w:spacing w:lineRule="atLeast" w:line="240" w:before="160" w:after="0"/>
              <w:ind w:left="400" w:right="0" w:hanging="0"/>
              <w:jc w:val="left"/>
              <w:rPr/>
            </w:pPr>
            <w:r>
              <w:rPr>
                <w:spacing w:val="-2"/>
              </w:rPr>
              <w:t>1998-Current: Founder and Managing Partner of Vaduz Partners, a private investment firm</w:t>
            </w:r>
            <w:r>
              <w:rPr/>
              <w:t xml:space="preserve"> </w:t>
            </w:r>
            <w:r>
              <mc:AlternateContent>
                <mc:Choice Requires="wps">
                  <w:drawing>
                    <wp:anchor behindDoc="0" distT="101600" distB="0" distL="127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137"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2019-2024: Investment Partner in Gratitude Railroad, an alternative investment capital firm</w:t>
            </w:r>
            <w:r>
              <w:rPr/>
              <w:t xml:space="preserve"> </w:t>
            </w:r>
            <w:r>
              <mc:AlternateContent>
                <mc:Choice Requires="wps">
                  <w:drawing>
                    <wp:anchor behindDoc="0" distT="101600" distB="0" distL="127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138"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2014-2018: Chairman and Chief Executive Officer of Diversified Maintenance, a specialized facility services company</w:t>
            </w:r>
            <w:r>
              <w:rPr/>
              <w:t xml:space="preserve"> </w:t>
            </w:r>
            <w:r>
              <mc:AlternateContent>
                <mc:Choice Requires="wps">
                  <w:drawing>
                    <wp:anchor behindDoc="0" distT="101600" distB="0" distL="127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139"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2000-2007: President and Chief Executive Officer of USA.NET, Inc.</w:t>
            </w:r>
            <w:r>
              <w:rPr/>
              <w:t xml:space="preserve"> </w:t>
            </w:r>
            <w:r>
              <mc:AlternateContent>
                <mc:Choice Requires="wps">
                  <w:drawing>
                    <wp:anchor behindDoc="0" distT="101600" distB="0" distL="127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140"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1997-1998: President, Coleman Outdoor Recreation Group</w:t>
            </w:r>
            <w:r>
              <w:rPr/>
              <w:t xml:space="preserve"> </w:t>
            </w:r>
            <w:r>
              <mc:AlternateContent>
                <mc:Choice Requires="wps">
                  <w:drawing>
                    <wp:anchor behindDoc="0" distT="101600" distB="0" distL="127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141"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1994-1997: Held various senior management positions, including President and Chief Operating Officer of New World Television, Inc.</w:t>
            </w:r>
            <w:r>
              <w:rPr/>
              <w:t xml:space="preserve"> </w:t>
            </w:r>
            <w:r>
              <mc:AlternateContent>
                <mc:Choice Requires="wps">
                  <w:drawing>
                    <wp:anchor behindDoc="0" distT="101600" distB="0" distL="12700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right"/>
                      <wp:docPr id="142"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1982-1994: Executive Vice President and Chief Financial Officer of Gillett Holdings, Inc.</w:t>
            </w:r>
            <w:r>
              <w:rPr/>
              <w:t xml:space="preserve"> </w:t>
            </w:r>
            <w:r>
              <mc:AlternateContent>
                <mc:Choice Requires="wps">
                  <w:drawing>
                    <wp:anchor behindDoc="0" distT="101600" distB="0" distL="127000" distR="0" simplePos="0" locked="0" layoutInCell="1" allowOverlap="1" relativeHeight="224">
                      <wp:simplePos x="0" y="0"/>
                      <wp:positionH relativeFrom="column">
                        <wp:align>left</wp:align>
                      </wp:positionH>
                      <wp:positionV relativeFrom="line">
                        <wp:align>top</wp:align>
                      </wp:positionV>
                      <wp:extent cx="127000" cy="350520"/>
                      <wp:effectExtent l="0" t="0" r="0" b="0"/>
                      <wp:wrapSquare wrapText="right"/>
                      <wp:docPr id="143"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Prior to 1982: Arthur Young &amp; Company</w:t>
            </w:r>
            <w:r>
              <w:rPr/>
              <w:t xml:space="preserve"> </w:t>
            </w:r>
            <w:r>
              <mc:AlternateContent>
                <mc:Choice Requires="wps">
                  <w:drawing>
                    <wp:anchor behindDoc="0" distT="101600" distB="0" distL="12700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right"/>
                      <wp:docPr id="144"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283"/>
              <w:jc w:val="left"/>
              <w:rPr>
                <w:b/>
                <w:color w:val="FF6A00"/>
              </w:rPr>
            </w:pPr>
            <w:r>
              <w:rPr>
                <w:b/>
                <w:color w:val="FF6A00"/>
                <w:spacing w:val="-2"/>
              </w:rPr>
              <w:t>Other Board Service</w:t>
            </w:r>
            <w:r>
              <w:rPr>
                <w:b/>
                <w:color w:val="FF6A00"/>
              </w:rPr>
              <w:t xml:space="preserve"> </w:t>
            </w:r>
          </w:p>
          <w:p>
            <w:pPr>
              <w:pStyle w:val="TableContents"/>
              <w:bidi w:val="0"/>
              <w:spacing w:lineRule="atLeast" w:line="240" w:before="160" w:after="0"/>
              <w:ind w:left="400" w:right="0" w:hanging="0"/>
              <w:jc w:val="left"/>
              <w:rPr/>
            </w:pPr>
            <w:r>
              <w:rPr>
                <w:spacing w:val="-2"/>
              </w:rPr>
              <w:t>Current Director of Sagent-CTAM Holdings, Inc., a private network solutions provider</w:t>
            </w:r>
            <w:r>
              <w:rPr/>
              <w:t xml:space="preserve"> </w:t>
            </w:r>
            <w:r>
              <mc:AlternateContent>
                <mc:Choice Requires="wps">
                  <w:drawing>
                    <wp:anchor behindDoc="0" distT="101600" distB="0" distL="12700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right"/>
                      <wp:docPr id="145"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Former Director of Diversified Maintenance</w:t>
            </w:r>
            <w:r>
              <w:rPr/>
              <w:t xml:space="preserve"> </w:t>
            </w:r>
            <w:r>
              <mc:AlternateContent>
                <mc:Choice Requires="wps">
                  <w:drawing>
                    <wp:anchor behindDoc="0" distT="101600" distB="0" distL="127000" distR="0" simplePos="0" locked="0" layoutInCell="1" allowOverlap="1" relativeHeight="227">
                      <wp:simplePos x="0" y="0"/>
                      <wp:positionH relativeFrom="column">
                        <wp:align>left</wp:align>
                      </wp:positionH>
                      <wp:positionV relativeFrom="line">
                        <wp:align>top</wp:align>
                      </wp:positionV>
                      <wp:extent cx="127000" cy="350520"/>
                      <wp:effectExtent l="0" t="0" r="0" b="0"/>
                      <wp:wrapSquare wrapText="right"/>
                      <wp:docPr id="146"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Former Director of New World Communications Group, Inc.</w:t>
            </w:r>
            <w:r>
              <w:rPr/>
              <w:t xml:space="preserve"> </w:t>
            </w:r>
            <w:r>
              <mc:AlternateContent>
                <mc:Choice Requires="wps">
                  <w:drawing>
                    <wp:anchor behindDoc="0" distT="101600" distB="0" distL="127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right"/>
                      <wp:docPr id="147"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Former Director of USA.NET, Inc.</w:t>
            </w:r>
            <w:r>
              <w:rPr/>
              <w:t xml:space="preserve"> </w:t>
            </w:r>
            <w:r>
              <mc:AlternateContent>
                <mc:Choice Requires="wps">
                  <w:drawing>
                    <wp:anchor behindDoc="0" distT="101600" distB="0" distL="12700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right"/>
                      <wp:docPr id="148"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30pt;mso-position-horizontal:left;mso-position-horizontal-relative:text">
                      <v:textbox>
                        <w:txbxContent>
                          <w:p>
                            <w:pPr>
                              <w:pStyle w:val="TextBody"/>
                              <w:bidi w:val="0"/>
                              <w:spacing w:lineRule="atLeast" w:line="20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283"/>
              <w:jc w:val="left"/>
              <w:rPr/>
            </w:pPr>
            <w:r>
              <w:rPr>
                <w:spacing w:val="-2"/>
              </w:rPr>
              <w:t>Mr. Ramon brings to Generac more than 30 years of broad management, operations, and investment experience with established consumer product markets, emerging companies in cloud computing and software services, and in enterprises that deliver positive social and environmental impact. Mr. Ramon also brings significant leadership and financial experience, having served as Chief Executive Officer, Chief Operating Officer, President or Chief Financial Officer for a number of privately held and public companies. Mr. Ramon’s work as a founder and managing partner of a private investment firm gives him significant and valuable capital markets experience.</w:t>
            </w:r>
            <w:r>
              <w:rPr/>
              <w:t xml:space="preserve"> </w:t>
            </w:r>
          </w:p>
          <w:p>
            <w:pPr>
              <w:pStyle w:val="TableContents"/>
              <w:bidi w:val="0"/>
              <w:spacing w:lineRule="atLeast" w:line="240" w:before="160" w:after="283"/>
              <w:jc w:val="left"/>
              <w:rPr/>
            </w:pPr>
            <w:r>
              <w:rPr>
                <w:spacing w:val="-2"/>
              </w:rPr>
              <w:t>Mr. Ramon earned a Bachelor of Business Administration in Accounting from the University of Wisconsin.</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149"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44" descr=""/>
                          <pic:cNvPicPr>
                            <a:picLocks noChangeAspect="1" noChangeArrowheads="1"/>
                          </pic:cNvPicPr>
                        </pic:nvPicPr>
                        <pic:blipFill>
                          <a:blip r:embed="rId54"/>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15</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COGO"/>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520" w:before="740" w:after="283"/>
        <w:ind w:left="1140" w:right="0" w:hanging="0"/>
        <w:jc w:val="left"/>
        <w:rPr>
          <w:rFonts w:ascii="Arial;Helvetica;sans-serif" w:hAnsi="Arial;Helvetica;sans-serif"/>
          <w:b w:val="false"/>
          <w:i w:val="false"/>
          <w:caps w:val="false"/>
          <w:smallCaps w:val="false"/>
          <w:color w:val="000000"/>
          <w:sz w:val="48"/>
        </w:rPr>
      </w:pPr>
      <w:r>
        <w:rPr>
          <w:rFonts w:ascii="Arial;Helvetica;sans-serif" w:hAnsi="Arial;Helvetica;sans-serif"/>
          <w:b w:val="false"/>
          <w:i w:val="false"/>
          <w:caps w:val="false"/>
          <w:smallCaps w:val="false"/>
          <w:color w:val="000000"/>
          <w:spacing w:val="-5"/>
          <w:sz w:val="48"/>
        </w:rPr>
        <w:t>Corporate Governance</w:t>
      </w:r>
      <w:r>
        <w:rPr>
          <w:rFonts w:ascii="Arial;Helvetica;sans-serif" w:hAnsi="Arial;Helvetica;sans-serif"/>
          <w:b w:val="false"/>
          <w:i w:val="false"/>
          <w:caps w:val="false"/>
          <w:smallCaps w:val="false"/>
          <w:color w:val="000000"/>
          <w:spacing w:val="10"/>
          <w:sz w:val="48"/>
        </w:rPr>
        <w:t xml:space="preserve"> </w:t>
      </w:r>
    </w:p>
    <w:p>
      <w:pPr>
        <w:pStyle w:val="TextBody"/>
        <w:bidi w:val="0"/>
        <w:spacing w:lineRule="atLeast" w:line="400" w:before="40" w:after="283"/>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Board of Directors Independence Standards for Directors</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 xml:space="preserve">Pursuant to our Corporate Governance Guidelines and Principles, a copy of which is available on our website at </w:t>
      </w:r>
      <w:r>
        <w:rPr>
          <w:rFonts w:ascii="Arial;Helvetica;sans-serif" w:hAnsi="Arial;Helvetica;sans-serif"/>
          <w:b w:val="false"/>
          <w:i w:val="false"/>
          <w:caps w:val="false"/>
          <w:smallCaps w:val="false"/>
          <w:color w:val="FF6A00"/>
          <w:spacing w:val="-2"/>
          <w:sz w:val="22"/>
        </w:rPr>
        <w:t>www.generac.com</w:t>
      </w:r>
      <w:r>
        <w:rPr>
          <w:rFonts w:ascii="Arial;Helvetica;sans-serif" w:hAnsi="Arial;Helvetica;sans-serif"/>
          <w:b w:val="false"/>
          <w:i w:val="false"/>
          <w:caps w:val="false"/>
          <w:smallCaps w:val="false"/>
          <w:color w:val="000000"/>
          <w:spacing w:val="-2"/>
          <w:sz w:val="22"/>
        </w:rPr>
        <w:t>, our Board of Directors affirmatively determines whether our directors are independent under the listing standards of the New York Stock Exchange (“NYSE”), the principal exchange on which our common stock is traded.</w:t>
      </w:r>
      <w:r>
        <w:rPr>
          <w:rFonts w:ascii="Arial;Helvetica;sans-serif" w:hAnsi="Arial;Helvetica;sans-serif"/>
          <w:b w:val="false"/>
          <w:i w:val="false"/>
          <w:caps w:val="false"/>
          <w:smallCaps w:val="false"/>
          <w:color w:val="000000"/>
          <w:spacing w:val="4"/>
          <w:sz w:val="22"/>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228600" distR="0" simplePos="0" locked="0" layoutInCell="1" allowOverlap="1" relativeHeight="38">
                <wp:simplePos x="0" y="0"/>
                <wp:positionH relativeFrom="column">
                  <wp:align>left</wp:align>
                </wp:positionH>
                <wp:positionV relativeFrom="line">
                  <wp:posOffset>635</wp:posOffset>
                </wp:positionV>
                <wp:extent cx="2590800" cy="4538345"/>
                <wp:effectExtent l="0" t="0" r="0" b="0"/>
                <wp:wrapSquare wrapText="right"/>
                <wp:docPr id="150" name="Frame98"/>
                <a:graphic xmlns:a="http://schemas.openxmlformats.org/drawingml/2006/main">
                  <a:graphicData uri="http://schemas.microsoft.com/office/word/2010/wordprocessingShape">
                    <wps:wsp>
                      <wps:cNvSpPr txBox="1"/>
                      <wps:spPr>
                        <a:xfrm>
                          <a:off x="0" y="0"/>
                          <a:ext cx="2590800" cy="4538345"/>
                        </a:xfrm>
                        <a:prstGeom prst="rect"/>
                        <a:solidFill>
                          <a:srgbClr val="FFFFFF"/>
                        </a:solidFill>
                      </wps:spPr>
                      <wps:txbx>
                        <w:txbxContent>
                          <w:p>
                            <w:pPr>
                              <w:pStyle w:val="TextBody"/>
                              <w:bidi w:val="0"/>
                              <w:spacing w:before="0" w:after="0"/>
                              <w:jc w:val="left"/>
                              <w:rPr/>
                            </w:pPr>
                            <w:r>
                              <w:rPr/>
                              <w:drawing>
                                <wp:inline distT="0" distB="0" distL="0" distR="0">
                                  <wp:extent cx="2552700" cy="4505325"/>
                                  <wp:effectExtent l="0" t="0" r="0" b="0"/>
                                  <wp:docPr id="151"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45" descr=""/>
                                          <pic:cNvPicPr>
                                            <a:picLocks noChangeAspect="1" noChangeArrowheads="1"/>
                                          </pic:cNvPicPr>
                                        </pic:nvPicPr>
                                        <pic:blipFill>
                                          <a:blip r:embed="rId55"/>
                                          <a:stretch>
                                            <a:fillRect/>
                                          </a:stretch>
                                        </pic:blipFill>
                                        <pic:spPr bwMode="auto">
                                          <a:xfrm>
                                            <a:off x="0" y="0"/>
                                            <a:ext cx="2552700" cy="45053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4pt;height:357.35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0" w:after="0"/>
                        <w:jc w:val="left"/>
                        <w:rPr/>
                      </w:pPr>
                      <w:r>
                        <w:rPr/>
                        <w:drawing>
                          <wp:inline distT="0" distB="0" distL="0" distR="0">
                            <wp:extent cx="2552700" cy="4505325"/>
                            <wp:effectExtent l="0" t="0" r="0" b="0"/>
                            <wp:docPr id="152"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45" descr=""/>
                                    <pic:cNvPicPr>
                                      <a:picLocks noChangeAspect="1" noChangeArrowheads="1"/>
                                    </pic:cNvPicPr>
                                  </pic:nvPicPr>
                                  <pic:blipFill>
                                    <a:blip r:embed="rId56"/>
                                    <a:stretch>
                                      <a:fillRect/>
                                    </a:stretch>
                                  </pic:blipFill>
                                  <pic:spPr bwMode="auto">
                                    <a:xfrm>
                                      <a:off x="0" y="0"/>
                                      <a:ext cx="2552700" cy="4505325"/>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692150" distR="0" simplePos="0" locked="0" layoutInCell="1" allowOverlap="1" relativeHeight="230">
                <wp:simplePos x="0" y="0"/>
                <wp:positionH relativeFrom="column">
                  <wp:align>left</wp:align>
                </wp:positionH>
                <wp:positionV relativeFrom="line">
                  <wp:posOffset>635</wp:posOffset>
                </wp:positionV>
                <wp:extent cx="3352800" cy="6897370"/>
                <wp:effectExtent l="0" t="0" r="0" b="0"/>
                <wp:wrapSquare wrapText="right"/>
                <wp:docPr id="153" name="Frame97"/>
                <a:graphic xmlns:a="http://schemas.openxmlformats.org/drawingml/2006/main">
                  <a:graphicData uri="http://schemas.microsoft.com/office/word/2010/wordprocessingShape">
                    <wps:wsp>
                      <wps:cNvSpPr txBox="1"/>
                      <wps:spPr>
                        <a:xfrm>
                          <a:off x="0" y="0"/>
                          <a:ext cx="3352800" cy="6897370"/>
                        </a:xfrm>
                        <a:prstGeom prst="rect"/>
                        <a:solidFill>
                          <a:srgbClr val="FFFFFF"/>
                        </a:solidFill>
                      </wps:spPr>
                      <wps:txbx>
                        <w:txbxContent>
                          <w:p>
                            <w:pPr>
                              <w:pStyle w:val="TextBody"/>
                              <w:bidi w:val="0"/>
                              <w:spacing w:lineRule="atLeast" w:line="250" w:before="0" w:after="0"/>
                              <w:jc w:val="left"/>
                              <w:rPr/>
                            </w:pPr>
                            <w:r>
                              <w:rPr>
                                <w:spacing w:val="-2"/>
                              </w:rPr>
                              <w:t>During its annual review of director independence, the Board of Directors considers all information it deems relevant, including any transactions and relationships between each director or any member of his or her immediate family and the Company and its subsidiaries and affiliates as disclosed by directors in the Directors and Officers Questionnaire that each director completes annually.</w:t>
                            </w:r>
                            <w:r>
                              <w:rPr>
                                <w:spacing w:val="4"/>
                              </w:rPr>
                              <w:t xml:space="preserve"> </w:t>
                            </w:r>
                          </w:p>
                          <w:p>
                            <w:pPr>
                              <w:pStyle w:val="TextBody"/>
                              <w:bidi w:val="0"/>
                              <w:spacing w:lineRule="atLeast" w:line="250" w:before="120" w:after="283"/>
                              <w:jc w:val="left"/>
                              <w:rPr/>
                            </w:pPr>
                            <w:r>
                              <w:rPr>
                                <w:spacing w:val="-2"/>
                              </w:rPr>
                              <w:t>The Board of Directors also considers the recommendations of the Nominating and Corporate Governance Committee, which conducts a separate independence assessment of all directors as part of its nomination process for the Board of Directors and its respective committees. The purpose of this review is to determine whether any such relationship or transaction is considered a “material relationship” that would be inconsistent with a determination that a director is independent.</w:t>
                            </w:r>
                            <w:r>
                              <w:rPr>
                                <w:spacing w:val="4"/>
                              </w:rPr>
                              <w:t xml:space="preserve"> </w:t>
                            </w:r>
                          </w:p>
                          <w:p>
                            <w:pPr>
                              <w:pStyle w:val="TextBody"/>
                              <w:bidi w:val="0"/>
                              <w:spacing w:lineRule="atLeast" w:line="250" w:before="120" w:after="283"/>
                              <w:jc w:val="left"/>
                              <w:rPr/>
                            </w:pPr>
                            <w:r>
                              <w:rPr>
                                <w:spacing w:val="-2"/>
                              </w:rPr>
                              <w:t>The Board of Directors has not adopted any “categorical standards” for assessing independence, preferring instead to consider all relevant facts and circumstances in making an independence determination including, without limitation, applicable independence standards promulgated by the NYSE.</w:t>
                            </w:r>
                            <w:r>
                              <w:rPr>
                                <w:spacing w:val="4"/>
                              </w:rPr>
                              <w:t xml:space="preserve"> </w:t>
                            </w:r>
                          </w:p>
                          <w:p>
                            <w:pPr>
                              <w:pStyle w:val="TextBody"/>
                              <w:bidi w:val="0"/>
                              <w:spacing w:lineRule="atLeast" w:line="250" w:before="120" w:after="283"/>
                              <w:jc w:val="left"/>
                              <w:rPr>
                                <w:spacing w:val="-2"/>
                              </w:rPr>
                            </w:pPr>
                            <w:r>
                              <w:rPr>
                                <w:spacing w:val="-2"/>
                              </w:rPr>
                              <w:t xml:space="preserve">In making its independence determination, the Board of Directors specifically considered Mr. Jenkins’ appointment as an executive officer of Palo Alto Networks, Inc., from which the Company purchased cybersecurity services in fiscal 2025. The value of such transactions represented an immaterial percentage of the Company and Palo Alto Networks’ revenue, and Mr. Jenkins was not personally involved in such transactions. Accordingly, the Board of Directors concluded that such transactions did not preclude Mr. Jenkins from being independent under applicable standards. </w:t>
                            </w:r>
                          </w:p>
                        </w:txbxContent>
                      </wps:txbx>
                      <wps:bodyPr anchor="t" lIns="0" tIns="0" rIns="0" bIns="0">
                        <a:noAutofit/>
                      </wps:bodyPr>
                    </wps:wsp>
                  </a:graphicData>
                </a:graphic>
              </wp:anchor>
            </w:drawing>
          </mc:Choice>
          <mc:Fallback>
            <w:pict>
              <v:rect style="position:absolute;rotation:-0;width:264pt;height:543.1pt;mso-wrap-distance-left:54.5pt;mso-wrap-distance-right:0pt;mso-wrap-distance-top:0pt;mso-wrap-distance-bottom:0pt;margin-top:0pt;mso-position-vertical:top;mso-position-vertical-relative:text;margin-left:54.5pt;mso-position-horizontal:left;mso-position-horizontal-relative:text">
                <v:textbox>
                  <w:txbxContent>
                    <w:p>
                      <w:pPr>
                        <w:pStyle w:val="TextBody"/>
                        <w:bidi w:val="0"/>
                        <w:spacing w:lineRule="atLeast" w:line="250" w:before="0" w:after="0"/>
                        <w:jc w:val="left"/>
                        <w:rPr/>
                      </w:pPr>
                      <w:r>
                        <w:rPr>
                          <w:spacing w:val="-2"/>
                        </w:rPr>
                        <w:t>During its annual review of director independence, the Board of Directors considers all information it deems relevant, including any transactions and relationships between each director or any member of his or her immediate family and the Company and its subsidiaries and affiliates as disclosed by directors in the Directors and Officers Questionnaire that each director completes annually.</w:t>
                      </w:r>
                      <w:r>
                        <w:rPr>
                          <w:spacing w:val="4"/>
                        </w:rPr>
                        <w:t xml:space="preserve"> </w:t>
                      </w:r>
                    </w:p>
                    <w:p>
                      <w:pPr>
                        <w:pStyle w:val="TextBody"/>
                        <w:bidi w:val="0"/>
                        <w:spacing w:lineRule="atLeast" w:line="250" w:before="120" w:after="283"/>
                        <w:jc w:val="left"/>
                        <w:rPr/>
                      </w:pPr>
                      <w:r>
                        <w:rPr>
                          <w:spacing w:val="-2"/>
                        </w:rPr>
                        <w:t>The Board of Directors also considers the recommendations of the Nominating and Corporate Governance Committee, which conducts a separate independence assessment of all directors as part of its nomination process for the Board of Directors and its respective committees. The purpose of this review is to determine whether any such relationship or transaction is considered a “material relationship” that would be inconsistent with a determination that a director is independent.</w:t>
                      </w:r>
                      <w:r>
                        <w:rPr>
                          <w:spacing w:val="4"/>
                        </w:rPr>
                        <w:t xml:space="preserve"> </w:t>
                      </w:r>
                    </w:p>
                    <w:p>
                      <w:pPr>
                        <w:pStyle w:val="TextBody"/>
                        <w:bidi w:val="0"/>
                        <w:spacing w:lineRule="atLeast" w:line="250" w:before="120" w:after="283"/>
                        <w:jc w:val="left"/>
                        <w:rPr/>
                      </w:pPr>
                      <w:r>
                        <w:rPr>
                          <w:spacing w:val="-2"/>
                        </w:rPr>
                        <w:t>The Board of Directors has not adopted any “categorical standards” for assessing independence, preferring instead to consider all relevant facts and circumstances in making an independence determination including, without limitation, applicable independence standards promulgated by the NYSE.</w:t>
                      </w:r>
                      <w:r>
                        <w:rPr>
                          <w:spacing w:val="4"/>
                        </w:rPr>
                        <w:t xml:space="preserve"> </w:t>
                      </w:r>
                    </w:p>
                    <w:p>
                      <w:pPr>
                        <w:pStyle w:val="TextBody"/>
                        <w:bidi w:val="0"/>
                        <w:spacing w:lineRule="atLeast" w:line="250" w:before="120" w:after="283"/>
                        <w:jc w:val="left"/>
                        <w:rPr>
                          <w:spacing w:val="-2"/>
                        </w:rPr>
                      </w:pPr>
                      <w:r>
                        <w:rPr>
                          <w:spacing w:val="-2"/>
                        </w:rPr>
                        <w:t xml:space="preserve">In making its independence determination, the Board of Directors specifically considered Mr. Jenkins’ appointment as an executive officer of Palo Alto Networks, Inc., from which the Company purchased cybersecurity services in fiscal 2025. The value of such transactions represented an immaterial percentage of the Company and Palo Alto Networks’ revenue, and Mr. Jenkins was not personally involved in such transactions. Accordingly, the Board of Directors concluded that such transactions did not preclude Mr. Jenkins from being independent under applicable standards. </w:t>
                      </w:r>
                    </w:p>
                  </w:txbxContent>
                </v:textbox>
                <w10:wrap type="square" side="right"/>
              </v:rect>
            </w:pict>
          </mc:Fallback>
        </mc:AlternateContent>
      </w:r>
    </w:p>
    <w:p>
      <w:pPr>
        <w:pStyle w:val="TextBody"/>
        <w:bidi w:val="0"/>
        <w:spacing w:lineRule="atLeast" w:line="240" w:before="128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154"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46" descr=""/>
                          <pic:cNvPicPr>
                            <a:picLocks noChangeAspect="1" noChangeArrowheads="1"/>
                          </pic:cNvPicPr>
                        </pic:nvPicPr>
                        <pic:blipFill>
                          <a:blip r:embed="rId57"/>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16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rFonts w:ascii="Arial;Helvetica;sans-serif" w:hAnsi="Arial;Helvetica;sans-serif"/>
          <w:b w:val="false"/>
          <w:i w:val="false"/>
          <w:caps w:val="false"/>
          <w:smallCaps w:val="false"/>
          <w:color w:val="FF6A00"/>
          <w:spacing w:val="-2"/>
          <w:sz w:val="22"/>
        </w:rPr>
      </w:pPr>
      <w:r>
        <w:rPr>
          <w:rFonts w:ascii="Arial;Helvetica;sans-serif" w:hAnsi="Arial;Helvetica;sans-serif"/>
          <w:b w:val="false"/>
          <w:i w:val="false"/>
          <w:caps w:val="false"/>
          <w:smallCaps w:val="false"/>
          <w:color w:val="FF6A00"/>
          <w:spacing w:val="-2"/>
          <w:sz w:val="22"/>
        </w:rPr>
        <w:t xml:space="preserve">CORPORATE GOVERNANCE </w:t>
      </w:r>
    </w:p>
    <w:p>
      <w:pPr>
        <w:pStyle w:val="TextBody"/>
        <w:bidi w:val="0"/>
        <w:spacing w:lineRule="atLeast" w:line="400" w:before="480" w:after="283"/>
        <w:ind w:left="1140" w:right="0" w:hanging="0"/>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Committees of the Board of Directors</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 xml:space="preserve">Our Board of Directors has three standing committees: an Audit Committee, a Human Capital and Compensation Committee, and a Nominating and Corporate Governance Committee. Our Board of Directors has adopted charters for each of its standing committees. Copies of our current committee charters are posted under “Corporate Governance” in the “Investors” section on our website at </w:t>
      </w:r>
      <w:r>
        <w:rPr>
          <w:rFonts w:ascii="Arial;Helvetica;sans-serif" w:hAnsi="Arial;Helvetica;sans-serif"/>
          <w:b w:val="false"/>
          <w:i w:val="false"/>
          <w:caps w:val="false"/>
          <w:smallCaps w:val="false"/>
          <w:color w:val="FF6A00"/>
          <w:spacing w:val="-2"/>
          <w:sz w:val="22"/>
        </w:rPr>
        <w:t>www.generac.com</w:t>
      </w:r>
      <w:r>
        <w:rPr>
          <w:rFonts w:ascii="Arial;Helvetica;sans-serif" w:hAnsi="Arial;Helvetica;sans-serif"/>
          <w:b w:val="false"/>
          <w:i w:val="false"/>
          <w:caps w:val="false"/>
          <w:smallCaps w:val="false"/>
          <w:color w:val="000000"/>
          <w:spacing w:val="-2"/>
          <w:sz w:val="22"/>
        </w:rPr>
        <w:t>.</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60" w:before="194" w:after="283"/>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2"/>
          <w:sz w:val="22"/>
        </w:rPr>
        <w:t>Audit Committee</w:t>
      </w:r>
      <w:r>
        <w:rPr>
          <w:rFonts w:ascii="Arial;Helvetica;sans-serif" w:hAnsi="Arial;Helvetica;sans-serif"/>
          <w:b/>
          <w:i w:val="false"/>
          <w:caps w:val="false"/>
          <w:smallCaps w:val="false"/>
          <w:color w:val="000000"/>
          <w:spacing w:val="4"/>
          <w:sz w:val="22"/>
        </w:rPr>
        <w:t xml:space="preserve"> </w:t>
      </w:r>
    </w:p>
    <w:tbl>
      <w:tblPr>
        <w:tblW w:w="9065" w:type="dxa"/>
        <w:jc w:val="left"/>
        <w:tblInd w:w="1140" w:type="dxa"/>
        <w:tblLayout w:type="fixed"/>
        <w:tblCellMar>
          <w:top w:w="0" w:type="dxa"/>
          <w:left w:w="0" w:type="dxa"/>
          <w:bottom w:w="60" w:type="dxa"/>
          <w:right w:w="0" w:type="dxa"/>
        </w:tblCellMar>
      </w:tblPr>
      <w:tblGrid>
        <w:gridCol w:w="1748"/>
        <w:gridCol w:w="109"/>
        <w:gridCol w:w="109"/>
        <w:gridCol w:w="3467"/>
        <w:gridCol w:w="206"/>
        <w:gridCol w:w="206"/>
        <w:gridCol w:w="3063"/>
        <w:gridCol w:w="157"/>
      </w:tblGrid>
      <w:tr>
        <w:trPr/>
        <w:tc>
          <w:tcPr>
            <w:tcW w:w="1748" w:type="dxa"/>
            <w:tcBorders>
              <w:bottom w:val="single" w:sz="2" w:space="0" w:color="000000"/>
            </w:tcBorders>
            <w:vAlign w:val="center"/>
          </w:tcPr>
          <w:p>
            <w:pPr>
              <w:pStyle w:val="TableContents"/>
              <w:bidi w:val="0"/>
              <w:spacing w:before="0" w:after="0"/>
              <w:jc w:val="left"/>
              <w:rPr>
                <w:spacing w:val="-2"/>
              </w:rPr>
            </w:pPr>
            <w:r>
              <w:rPr>
                <w:spacing w:val="-2"/>
              </w:rPr>
              <w:t xml:space="preserve">Members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467" w:type="dxa"/>
            <w:tcBorders>
              <w:bottom w:val="single" w:sz="2" w:space="0" w:color="000000"/>
            </w:tcBorders>
            <w:vAlign w:val="center"/>
          </w:tcPr>
          <w:p>
            <w:pPr>
              <w:pStyle w:val="TableContents"/>
              <w:bidi w:val="0"/>
              <w:spacing w:before="0" w:after="0"/>
              <w:jc w:val="left"/>
              <w:rPr>
                <w:spacing w:val="-2"/>
              </w:rPr>
            </w:pPr>
            <w:r>
              <w:rPr>
                <w:spacing w:val="-2"/>
              </w:rPr>
              <w:t xml:space="preserve">Key Responsibilities </w:t>
            </w:r>
          </w:p>
        </w:tc>
        <w:tc>
          <w:tcPr>
            <w:tcW w:w="206" w:type="dxa"/>
            <w:tcBorders>
              <w:bottom w:val="single" w:sz="2" w:space="0" w:color="000000"/>
            </w:tcBorders>
            <w:tcMar>
              <w:bottom w:w="28" w:type="dxa"/>
            </w:tcMar>
            <w:vAlign w:val="center"/>
          </w:tcPr>
          <w:p>
            <w:pPr>
              <w:pStyle w:val="TableContents"/>
              <w:bidi w:val="0"/>
              <w:spacing w:before="0" w:after="283"/>
              <w:jc w:val="left"/>
              <w:rPr/>
            </w:pPr>
            <w:r>
              <w:rPr/>
              <w:t>​</w:t>
            </w:r>
          </w:p>
        </w:tc>
        <w:tc>
          <w:tcPr>
            <w:tcW w:w="206" w:type="dxa"/>
            <w:tcBorders>
              <w:bottom w:val="single" w:sz="2" w:space="0" w:color="000000"/>
            </w:tcBorders>
            <w:tcMar>
              <w:bottom w:w="28" w:type="dxa"/>
            </w:tcMar>
            <w:vAlign w:val="center"/>
          </w:tcPr>
          <w:p>
            <w:pPr>
              <w:pStyle w:val="TableContents"/>
              <w:bidi w:val="0"/>
              <w:spacing w:before="0" w:after="283"/>
              <w:jc w:val="left"/>
              <w:rPr/>
            </w:pPr>
            <w:r>
              <w:rPr/>
              <w:t>​</w:t>
            </w:r>
          </w:p>
        </w:tc>
        <w:tc>
          <w:tcPr>
            <w:tcW w:w="3063" w:type="dxa"/>
            <w:tcBorders>
              <w:bottom w:val="single" w:sz="2" w:space="0" w:color="000000"/>
            </w:tcBorders>
            <w:vAlign w:val="center"/>
          </w:tcPr>
          <w:p>
            <w:pPr>
              <w:pStyle w:val="TableContents"/>
              <w:bidi w:val="0"/>
              <w:spacing w:before="0" w:after="0"/>
              <w:jc w:val="left"/>
              <w:rPr/>
            </w:pPr>
            <w:r>
              <w:rPr>
                <w:spacing w:val="-2"/>
              </w:rPr>
              <w:t>(</w:t>
            </w:r>
            <w:r>
              <w:rPr>
                <w:color w:val="FF6A00"/>
                <w:spacing w:val="-2"/>
              </w:rPr>
              <w:t>10</w:t>
            </w:r>
            <w:r>
              <w:rPr>
                <w:spacing w:val="-2"/>
              </w:rPr>
              <w:t xml:space="preserve"> Meetings in 2025) </w:t>
            </w:r>
          </w:p>
        </w:tc>
        <w:tc>
          <w:tcPr>
            <w:tcW w:w="157"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748" w:type="dxa"/>
            <w:tcBorders/>
            <w:tcMar>
              <w:bottom w:w="0" w:type="dxa"/>
            </w:tcMar>
            <w:vAlign w:val="center"/>
          </w:tcPr>
          <w:p>
            <w:pPr>
              <w:pStyle w:val="TableContents"/>
              <w:bidi w:val="0"/>
              <w:spacing w:before="0" w:after="0"/>
              <w:jc w:val="left"/>
              <w:rPr>
                <w:b/>
                <w:color w:val="FF6A00"/>
              </w:rPr>
            </w:pPr>
            <w:r>
              <w:rPr>
                <w:b/>
                <w:color w:val="FF6A00"/>
                <w:spacing w:val="-2"/>
              </w:rPr>
              <w:t xml:space="preserve">ANDREW G. </w:t>
              <w:br/>
              <w:t xml:space="preserve">LAMPEREUR </w:t>
              <w:br/>
              <w:t>(Chair)</w:t>
            </w:r>
            <w:r>
              <w:rPr>
                <w:b/>
                <w:color w:val="FF6A00"/>
              </w:rPr>
              <w:t xml:space="preserve"> </w:t>
            </w:r>
          </w:p>
          <w:p>
            <w:pPr>
              <w:pStyle w:val="TableContents"/>
              <w:bidi w:val="0"/>
              <w:spacing w:before="300" w:after="283"/>
              <w:jc w:val="left"/>
              <w:rPr>
                <w:b/>
                <w:color w:val="FF6A00"/>
              </w:rPr>
            </w:pPr>
            <w:r>
              <w:rPr>
                <w:b/>
                <w:color w:val="FF6A00"/>
                <w:spacing w:val="-2"/>
              </w:rPr>
              <w:t>KATHRYN V. BOHL</w:t>
            </w:r>
            <w:r>
              <w:rPr>
                <w:b/>
                <w:color w:val="FF6A00"/>
              </w:rPr>
              <w:t xml:space="preserve"> </w:t>
            </w:r>
          </w:p>
          <w:p>
            <w:pPr>
              <w:pStyle w:val="TableContents"/>
              <w:bidi w:val="0"/>
              <w:spacing w:before="300" w:after="283"/>
              <w:jc w:val="left"/>
              <w:rPr>
                <w:b/>
                <w:color w:val="FF6A00"/>
              </w:rPr>
            </w:pPr>
            <w:r>
              <w:rPr>
                <w:b/>
                <w:color w:val="FF6A00"/>
                <w:spacing w:val="-2"/>
              </w:rPr>
              <w:t>ROBERT D. DIXON</w:t>
            </w:r>
            <w:r>
              <w:rPr>
                <w:b/>
                <w:color w:val="FF6A00"/>
              </w:rPr>
              <w:t xml:space="preserve"> </w:t>
            </w:r>
          </w:p>
          <w:p>
            <w:pPr>
              <w:pStyle w:val="TableContents"/>
              <w:bidi w:val="0"/>
              <w:spacing w:before="300" w:after="283"/>
              <w:jc w:val="left"/>
              <w:rPr>
                <w:b/>
                <w:color w:val="FF6A00"/>
              </w:rPr>
            </w:pPr>
            <w:r>
              <w:rPr>
                <w:b/>
                <w:color w:val="FF6A00"/>
                <w:spacing w:val="-2"/>
              </w:rPr>
              <w:t>DAVID A. RAMON</w:t>
            </w:r>
            <w:r>
              <w:rPr>
                <w:b/>
                <w:color w:val="FF6A00"/>
              </w:rPr>
              <w:t xml:space="preserve"> </w:t>
            </w:r>
          </w:p>
          <w:p>
            <w:pPr>
              <w:pStyle w:val="TableContents"/>
              <w:bidi w:val="0"/>
              <w:spacing w:before="300" w:after="283"/>
              <w:jc w:val="left"/>
              <w:rPr>
                <w:b/>
                <w:color w:val="FF6A00"/>
                <w:spacing w:val="-2"/>
              </w:rPr>
            </w:pPr>
            <w:r>
              <w:rPr>
                <w:b/>
                <w:color w:val="FF6A00"/>
                <w:spacing w:val="-2"/>
              </w:rPr>
              <w:t xml:space="preserve">DOMINICK P. </w:t>
              <w:br/>
              <w:t xml:space="preserve">ZARCONE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42" w:type="dxa"/>
            <w:gridSpan w:val="4"/>
            <w:tcBorders/>
            <w:tcMar>
              <w:bottom w:w="0" w:type="dxa"/>
            </w:tcMar>
            <w:vAlign w:val="center"/>
          </w:tcPr>
          <w:p>
            <w:pPr>
              <w:pStyle w:val="TableContents"/>
              <w:bidi w:val="0"/>
              <w:spacing w:lineRule="atLeast" w:line="232" w:before="0" w:after="0"/>
              <w:jc w:val="left"/>
              <w:rPr/>
            </w:pPr>
            <w:r>
              <w:rPr>
                <w:spacing w:val="-2"/>
              </w:rPr>
              <w:t>The Audit Committee, among other items, assists the Board of Directors in fulfilling its responsibility relating to the following:</w:t>
            </w:r>
            <w:r>
              <w:rPr/>
              <w:t xml:space="preserve"> </w:t>
            </w:r>
          </w:p>
          <w:p>
            <w:pPr>
              <w:pStyle w:val="TableContents"/>
              <w:bidi w:val="0"/>
              <w:spacing w:lineRule="atLeast" w:line="200" w:before="152" w:after="0"/>
              <w:ind w:left="200" w:right="0" w:hanging="0"/>
              <w:jc w:val="left"/>
              <w:rPr/>
            </w:pPr>
            <w:r>
              <w:rPr>
                <w:spacing w:val="-2"/>
              </w:rPr>
              <w:t>the integrity of our financial statements,</w:t>
            </w:r>
            <w:r>
              <w:rPr/>
              <w:t xml:space="preserve"> </w:t>
            </w:r>
            <w:r>
              <mc:AlternateContent>
                <mc:Choice Requires="wps">
                  <w:drawing>
                    <wp:anchor behindDoc="0" distT="96520" distB="0" distL="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right"/>
                      <wp:docPr id="155"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2" w:after="0"/>
              <w:ind w:left="200" w:right="0" w:hanging="0"/>
              <w:jc w:val="left"/>
              <w:rPr/>
            </w:pPr>
            <w:r>
              <w:rPr>
                <w:spacing w:val="-2"/>
              </w:rPr>
              <w:t>our systems of internal controls and disclosure controls and procedures,</w:t>
            </w:r>
            <w:r>
              <w:rPr/>
              <w:t xml:space="preserve"> </w:t>
            </w:r>
            <w:r>
              <mc:AlternateContent>
                <mc:Choice Requires="wps">
                  <w:drawing>
                    <wp:anchor behindDoc="0" distT="96520" distB="0" distL="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right"/>
                      <wp:docPr id="156"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2" w:after="0"/>
              <w:ind w:left="200" w:right="0" w:hanging="0"/>
              <w:jc w:val="left"/>
              <w:rPr/>
            </w:pPr>
            <w:r>
              <w:rPr>
                <w:spacing w:val="-2"/>
              </w:rPr>
              <w:t>our compliance with applicable law and ethics programs,</w:t>
            </w:r>
            <w:r>
              <w:rPr/>
              <w:t xml:space="preserve"> </w:t>
            </w:r>
            <w:r>
              <mc:AlternateContent>
                <mc:Choice Requires="wps">
                  <w:drawing>
                    <wp:anchor behindDoc="0" distT="96520" distB="0" distL="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157"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2" w:after="0"/>
              <w:ind w:left="200" w:right="0" w:hanging="0"/>
              <w:jc w:val="left"/>
              <w:rPr/>
            </w:pPr>
            <w:r>
              <w:rPr>
                <w:spacing w:val="-2"/>
              </w:rPr>
              <w:t>the annual independent audit of our financial statements,</w:t>
            </w:r>
            <w:r>
              <w:rPr/>
              <w:t xml:space="preserve"> </w:t>
            </w:r>
            <w:r>
              <mc:AlternateContent>
                <mc:Choice Requires="wps">
                  <w:drawing>
                    <wp:anchor behindDoc="0" distT="96520" distB="0" distL="0" distR="0" simplePos="0" locked="0" layoutInCell="1" allowOverlap="1" relativeHeight="234">
                      <wp:simplePos x="0" y="0"/>
                      <wp:positionH relativeFrom="column">
                        <wp:align>left</wp:align>
                      </wp:positionH>
                      <wp:positionV relativeFrom="line">
                        <wp:align>top</wp:align>
                      </wp:positionV>
                      <wp:extent cx="127000" cy="350520"/>
                      <wp:effectExtent l="0" t="0" r="0" b="0"/>
                      <wp:wrapSquare wrapText="right"/>
                      <wp:docPr id="158"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2" w:before="152" w:after="0"/>
              <w:ind w:left="200" w:right="0" w:hanging="0"/>
              <w:jc w:val="left"/>
              <w:rPr/>
            </w:pPr>
            <w:r>
              <w:rPr>
                <w:spacing w:val="-2"/>
              </w:rPr>
              <w:t>review and assessment of any sustainability reporting or disclosure of the Company and the controls and procedures related to such disclosure, and</w:t>
            </w:r>
            <w:r>
              <w:rPr/>
              <w:t xml:space="preserve"> </w:t>
            </w:r>
            <w:r>
              <mc:AlternateContent>
                <mc:Choice Requires="wps">
                  <w:drawing>
                    <wp:anchor behindDoc="0" distT="96520" distB="0" distL="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right"/>
                      <wp:docPr id="159"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bidi w:val="0"/>
                              <w:spacing w:lineRule="atLeast" w:line="232"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2" w:before="152" w:after="0"/>
              <w:ind w:left="200" w:right="0" w:hanging="0"/>
              <w:jc w:val="left"/>
              <w:rPr/>
            </w:pPr>
            <w:r>
              <w:rPr>
                <w:spacing w:val="-2"/>
              </w:rPr>
              <w:t>the evaluation of financial and enterprise risks, including areas related to legal compliance and ethics, cybersecurity, and certain other functional areas.</w:t>
            </w:r>
            <w:r>
              <w:rPr/>
              <w:t xml:space="preserve"> </w:t>
            </w:r>
            <w:r>
              <mc:AlternateContent>
                <mc:Choice Requires="wps">
                  <w:drawing>
                    <wp:anchor behindDoc="0" distT="96520" distB="0" distL="0" distR="0" simplePos="0" locked="0" layoutInCell="1" allowOverlap="1" relativeHeight="236">
                      <wp:simplePos x="0" y="0"/>
                      <wp:positionH relativeFrom="column">
                        <wp:align>left</wp:align>
                      </wp:positionH>
                      <wp:positionV relativeFrom="line">
                        <wp:align>top</wp:align>
                      </wp:positionV>
                      <wp:extent cx="127000" cy="350520"/>
                      <wp:effectExtent l="0" t="0" r="0" b="0"/>
                      <wp:wrapSquare wrapText="right"/>
                      <wp:docPr id="160"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bidi w:val="0"/>
                              <w:spacing w:lineRule="atLeast" w:line="232"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52" w:after="283"/>
              <w:jc w:val="left"/>
              <w:rPr/>
            </w:pPr>
            <w:r>
              <w:rPr>
                <w:spacing w:val="-2"/>
              </w:rPr>
              <w:t>The Board has determined that each of Messrs. Dixon, Lampereur, Ramon, and Zarcone is an “audit committee financial expert” as defined in Item 407(d)(5) of Regulation S-K, and the Board is satisfied that all members of our Audit Committee have sufficient expertise and business and financial experience necessary to effectively perform their duties as members of the Audit Committee. The Board has determined that all members of the Audit Committee meet the NYSE and SEC definitions of independence.</w:t>
            </w:r>
            <w:r>
              <w:rPr/>
              <w:t xml:space="preserve"> </w:t>
            </w:r>
          </w:p>
          <w:p>
            <w:pPr>
              <w:pStyle w:val="TableContents"/>
              <w:bidi w:val="0"/>
              <w:spacing w:before="152" w:after="283"/>
              <w:jc w:val="left"/>
              <w:rPr/>
            </w:pPr>
            <w:r>
              <w:rPr>
                <w:spacing w:val="-2"/>
              </w:rPr>
              <w:t>In connection with its review of the Company’s financial statements, the Audit Committee receives reports from the Company’s Chief Financial Officer and the Company’s independent registered public accounting firm regarding significant risks and exposures and assesses management’s steps to minimize them. The Audit Committee also reviews material legal and regulatory matters and compliance with significant applicable legal, ethical, and regulatory requirements, and receives reports from the Company’s General Counsel relating to these matters. The Audit Committee also reviews other areas within its oversight from members of management as appropriate.</w:t>
            </w:r>
            <w:r>
              <w:rPr/>
              <w:t xml:space="preserve"> </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76" w:after="283"/>
        <w:ind w:left="11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In discharging its duties, the Audit Committee has the sole authority to select, retain, oversee, and terminate, if necessary, the independent registered public accounting firm, review and approve the scope of the annual audit, review and preapprove the engagement of our independent registered public accounting firm to perform audit and non-audit services, meet independently with our independent registered public accounting firm and senior management, review the integrity of our financial reporting process, and review our financial statements and disclosures and certain SEC filings and financial press releases. The Audit Committee meets with our independent registered public accounting firm without management present on a regular basis.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40" w:before="114"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In addition to the scheduled meetings, the members of the Audit Committee also met informally among themselves, with management, and with other members of the Board from time to time.</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16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47" descr=""/>
                          <pic:cNvPicPr>
                            <a:picLocks noChangeAspect="1" noChangeArrowheads="1"/>
                          </pic:cNvPicPr>
                        </pic:nvPicPr>
                        <pic:blipFill>
                          <a:blip r:embed="rId58"/>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17</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rFonts w:ascii="Arial;Helvetica;sans-serif" w:hAnsi="Arial;Helvetica;sans-serif"/>
          <w:b w:val="false"/>
          <w:i w:val="false"/>
          <w:caps w:val="false"/>
          <w:smallCaps w:val="false"/>
          <w:color w:val="FF6A00"/>
          <w:spacing w:val="-2"/>
          <w:sz w:val="22"/>
        </w:rPr>
      </w:pPr>
      <w:r>
        <w:rPr>
          <w:rFonts w:ascii="Arial;Helvetica;sans-serif" w:hAnsi="Arial;Helvetica;sans-serif"/>
          <w:b w:val="false"/>
          <w:i w:val="false"/>
          <w:caps w:val="false"/>
          <w:smallCaps w:val="false"/>
          <w:color w:val="FF6A00"/>
          <w:spacing w:val="-2"/>
          <w:sz w:val="22"/>
        </w:rPr>
        <w:t xml:space="preserve">CORPORATE GOVERNANCE </w:t>
      </w:r>
    </w:p>
    <w:p>
      <w:pPr>
        <w:pStyle w:val="TextBody"/>
        <w:bidi w:val="0"/>
        <w:spacing w:lineRule="atLeast" w:line="260" w:before="480" w:after="283"/>
        <w:ind w:left="1140" w:right="0" w:hanging="0"/>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2"/>
          <w:sz w:val="22"/>
        </w:rPr>
        <w:t>Human Capital and Compensation Committee</w:t>
      </w:r>
      <w:r>
        <w:rPr>
          <w:rFonts w:ascii="Arial;Helvetica;sans-serif" w:hAnsi="Arial;Helvetica;sans-serif"/>
          <w:b/>
          <w:i w:val="false"/>
          <w:caps w:val="false"/>
          <w:smallCaps w:val="false"/>
          <w:color w:val="000000"/>
          <w:spacing w:val="4"/>
          <w:sz w:val="22"/>
        </w:rPr>
        <w:t xml:space="preserve"> </w:t>
      </w:r>
    </w:p>
    <w:tbl>
      <w:tblPr>
        <w:tblW w:w="9065" w:type="dxa"/>
        <w:jc w:val="left"/>
        <w:tblInd w:w="1140" w:type="dxa"/>
        <w:tblLayout w:type="fixed"/>
        <w:tblCellMar>
          <w:top w:w="0" w:type="dxa"/>
          <w:left w:w="0" w:type="dxa"/>
          <w:bottom w:w="60" w:type="dxa"/>
          <w:right w:w="0" w:type="dxa"/>
        </w:tblCellMar>
      </w:tblPr>
      <w:tblGrid>
        <w:gridCol w:w="1640"/>
        <w:gridCol w:w="109"/>
        <w:gridCol w:w="109"/>
        <w:gridCol w:w="3537"/>
        <w:gridCol w:w="206"/>
        <w:gridCol w:w="206"/>
        <w:gridCol w:w="3101"/>
        <w:gridCol w:w="157"/>
      </w:tblGrid>
      <w:tr>
        <w:trPr/>
        <w:tc>
          <w:tcPr>
            <w:tcW w:w="1640" w:type="dxa"/>
            <w:tcBorders>
              <w:bottom w:val="single" w:sz="2" w:space="0" w:color="000000"/>
            </w:tcBorders>
            <w:vAlign w:val="center"/>
          </w:tcPr>
          <w:p>
            <w:pPr>
              <w:pStyle w:val="TableContents"/>
              <w:bidi w:val="0"/>
              <w:spacing w:before="0" w:after="0"/>
              <w:jc w:val="left"/>
              <w:rPr>
                <w:spacing w:val="-2"/>
              </w:rPr>
            </w:pPr>
            <w:r>
              <w:rPr>
                <w:spacing w:val="-2"/>
              </w:rPr>
              <w:t xml:space="preserve">Members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537" w:type="dxa"/>
            <w:tcBorders>
              <w:bottom w:val="single" w:sz="2" w:space="0" w:color="000000"/>
            </w:tcBorders>
            <w:vAlign w:val="center"/>
          </w:tcPr>
          <w:p>
            <w:pPr>
              <w:pStyle w:val="TableContents"/>
              <w:bidi w:val="0"/>
              <w:spacing w:before="0" w:after="0"/>
              <w:jc w:val="left"/>
              <w:rPr>
                <w:spacing w:val="-2"/>
              </w:rPr>
            </w:pPr>
            <w:r>
              <w:rPr>
                <w:spacing w:val="-2"/>
              </w:rPr>
              <w:t xml:space="preserve">Key Responsibilities </w:t>
            </w:r>
          </w:p>
        </w:tc>
        <w:tc>
          <w:tcPr>
            <w:tcW w:w="206" w:type="dxa"/>
            <w:tcBorders>
              <w:bottom w:val="single" w:sz="2" w:space="0" w:color="000000"/>
            </w:tcBorders>
            <w:tcMar>
              <w:bottom w:w="28" w:type="dxa"/>
            </w:tcMar>
            <w:vAlign w:val="center"/>
          </w:tcPr>
          <w:p>
            <w:pPr>
              <w:pStyle w:val="TableContents"/>
              <w:bidi w:val="0"/>
              <w:spacing w:before="0" w:after="283"/>
              <w:jc w:val="left"/>
              <w:rPr/>
            </w:pPr>
            <w:r>
              <w:rPr/>
              <w:t>​</w:t>
            </w:r>
          </w:p>
        </w:tc>
        <w:tc>
          <w:tcPr>
            <w:tcW w:w="206" w:type="dxa"/>
            <w:tcBorders>
              <w:bottom w:val="single" w:sz="2" w:space="0" w:color="000000"/>
            </w:tcBorders>
            <w:tcMar>
              <w:bottom w:w="28" w:type="dxa"/>
            </w:tcMar>
            <w:vAlign w:val="center"/>
          </w:tcPr>
          <w:p>
            <w:pPr>
              <w:pStyle w:val="TableContents"/>
              <w:bidi w:val="0"/>
              <w:spacing w:before="0" w:after="283"/>
              <w:jc w:val="left"/>
              <w:rPr/>
            </w:pPr>
            <w:r>
              <w:rPr/>
              <w:t>​</w:t>
            </w:r>
          </w:p>
        </w:tc>
        <w:tc>
          <w:tcPr>
            <w:tcW w:w="3101" w:type="dxa"/>
            <w:tcBorders>
              <w:bottom w:val="single" w:sz="2" w:space="0" w:color="000000"/>
            </w:tcBorders>
            <w:vAlign w:val="center"/>
          </w:tcPr>
          <w:p>
            <w:pPr>
              <w:pStyle w:val="TableContents"/>
              <w:bidi w:val="0"/>
              <w:spacing w:before="0" w:after="0"/>
              <w:jc w:val="left"/>
              <w:rPr/>
            </w:pPr>
            <w:r>
              <w:rPr>
                <w:spacing w:val="-2"/>
              </w:rPr>
              <w:t>(</w:t>
            </w:r>
            <w:r>
              <w:rPr>
                <w:color w:val="FF6A00"/>
                <w:spacing w:val="-2"/>
              </w:rPr>
              <w:t>5</w:t>
            </w:r>
            <w:r>
              <w:rPr>
                <w:spacing w:val="-2"/>
              </w:rPr>
              <w:t xml:space="preserve"> Meetings in 2025) </w:t>
            </w:r>
          </w:p>
        </w:tc>
        <w:tc>
          <w:tcPr>
            <w:tcW w:w="157"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640" w:type="dxa"/>
            <w:tcBorders/>
            <w:tcMar>
              <w:bottom w:w="0" w:type="dxa"/>
            </w:tcMar>
            <w:vAlign w:val="center"/>
          </w:tcPr>
          <w:p>
            <w:pPr>
              <w:pStyle w:val="TableContents"/>
              <w:bidi w:val="0"/>
              <w:spacing w:before="0" w:after="0"/>
              <w:jc w:val="left"/>
              <w:rPr>
                <w:b/>
                <w:color w:val="FF6A00"/>
              </w:rPr>
            </w:pPr>
            <w:r>
              <w:rPr>
                <w:b/>
                <w:color w:val="FF6A00"/>
                <w:spacing w:val="-2"/>
              </w:rPr>
              <w:t xml:space="preserve">MARCIA J. AVEDON </w:t>
              <w:br/>
              <w:t>(Chair)</w:t>
            </w:r>
            <w:r>
              <w:rPr>
                <w:b/>
                <w:color w:val="FF6A00"/>
              </w:rPr>
              <w:t xml:space="preserve"> </w:t>
            </w:r>
          </w:p>
          <w:p>
            <w:pPr>
              <w:pStyle w:val="TableContents"/>
              <w:bidi w:val="0"/>
              <w:spacing w:before="300" w:after="283"/>
              <w:jc w:val="left"/>
              <w:rPr>
                <w:b/>
                <w:color w:val="FF6A00"/>
              </w:rPr>
            </w:pPr>
            <w:r>
              <w:rPr>
                <w:b/>
                <w:color w:val="FF6A00"/>
                <w:spacing w:val="-2"/>
              </w:rPr>
              <w:t xml:space="preserve">WILLIAM D. </w:t>
              <w:br/>
              <w:t>JENKINS, JR.</w:t>
            </w:r>
            <w:r>
              <w:rPr>
                <w:b/>
                <w:color w:val="FF6A00"/>
              </w:rPr>
              <w:t xml:space="preserve"> </w:t>
            </w:r>
          </w:p>
          <w:p>
            <w:pPr>
              <w:pStyle w:val="TableContents"/>
              <w:bidi w:val="0"/>
              <w:spacing w:before="300" w:after="283"/>
              <w:jc w:val="left"/>
              <w:rPr>
                <w:b/>
                <w:color w:val="FF6A00"/>
              </w:rPr>
            </w:pPr>
            <w:r>
              <w:rPr>
                <w:b/>
                <w:color w:val="FF6A00"/>
                <w:spacing w:val="-2"/>
              </w:rPr>
              <w:t xml:space="preserve">BENNETT J. </w:t>
              <w:br/>
              <w:t>MORGAN</w:t>
            </w:r>
            <w:r>
              <w:rPr>
                <w:b/>
                <w:color w:val="FF6A00"/>
              </w:rPr>
              <w:t xml:space="preserve"> </w:t>
            </w:r>
          </w:p>
          <w:p>
            <w:pPr>
              <w:pStyle w:val="TableContents"/>
              <w:bidi w:val="0"/>
              <w:spacing w:before="300" w:after="283"/>
              <w:jc w:val="left"/>
              <w:rPr>
                <w:b/>
                <w:color w:val="FF6A00"/>
              </w:rPr>
            </w:pPr>
            <w:r>
              <w:rPr>
                <w:b/>
                <w:color w:val="FF6A00"/>
                <w:spacing w:val="-2"/>
              </w:rPr>
              <w:t>NAM T. NGUYEN</w:t>
            </w:r>
            <w:r>
              <w:rPr>
                <w:b/>
                <w:color w:val="FF6A00"/>
              </w:rPr>
              <w:t xml:space="preserve"> </w:t>
            </w:r>
          </w:p>
          <w:p>
            <w:pPr>
              <w:pStyle w:val="TableContents"/>
              <w:bidi w:val="0"/>
              <w:spacing w:before="300" w:after="283"/>
              <w:jc w:val="left"/>
              <w:rPr>
                <w:b/>
                <w:color w:val="FF6A00"/>
                <w:spacing w:val="-2"/>
              </w:rPr>
            </w:pPr>
            <w:r>
              <w:rPr>
                <w:b/>
                <w:color w:val="FF6A00"/>
                <w:spacing w:val="-2"/>
              </w:rPr>
              <w:t xml:space="preserve">DOMINICK P. </w:t>
              <w:br/>
              <w:t xml:space="preserve">ZARCONE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050" w:type="dxa"/>
            <w:gridSpan w:val="4"/>
            <w:tcBorders/>
            <w:tcMar>
              <w:bottom w:w="0" w:type="dxa"/>
            </w:tcMar>
            <w:vAlign w:val="center"/>
          </w:tcPr>
          <w:p>
            <w:pPr>
              <w:pStyle w:val="TableContents"/>
              <w:bidi w:val="0"/>
              <w:spacing w:lineRule="atLeast" w:line="200" w:before="0" w:after="0"/>
              <w:jc w:val="left"/>
              <w:rPr/>
            </w:pPr>
            <w:r>
              <w:rPr>
                <w:spacing w:val="-2"/>
              </w:rPr>
              <w:t>The Human Capital and Compensation Committee:</w:t>
            </w:r>
            <w:r>
              <w:rPr/>
              <w:t xml:space="preserve"> </w:t>
            </w:r>
          </w:p>
          <w:p>
            <w:pPr>
              <w:pStyle w:val="TableContents"/>
              <w:bidi w:val="0"/>
              <w:spacing w:lineRule="atLeast" w:line="232" w:before="152" w:after="0"/>
              <w:ind w:left="200" w:right="0" w:hanging="0"/>
              <w:jc w:val="left"/>
              <w:rPr/>
            </w:pPr>
            <w:r>
              <w:rPr>
                <w:spacing w:val="-2"/>
              </w:rPr>
              <w:t>oversees the Company’s plans, policies, and programs relating to human capital management and corporate culture to help ensure the Company is seeking, developing, and retaining human capital appropriate to meet the Company’s needs,</w:t>
            </w:r>
            <w:r>
              <w:rPr/>
              <w:t xml:space="preserve"> </w:t>
            </w:r>
            <w:r>
              <mc:AlternateContent>
                <mc:Choice Requires="wps">
                  <w:drawing>
                    <wp:anchor behindDoc="0" distT="96520" distB="0" distL="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right"/>
                      <wp:docPr id="162"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bidi w:val="0"/>
                              <w:spacing w:lineRule="atLeast" w:line="232"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2" w:before="152" w:after="0"/>
              <w:ind w:left="200" w:right="0" w:hanging="0"/>
              <w:jc w:val="left"/>
              <w:rPr/>
            </w:pPr>
            <w:r>
              <w:rPr>
                <w:spacing w:val="-2"/>
              </w:rPr>
              <w:t>reviews, assesses, and advises the Board regarding the Company’s policies, practices, strategies, and goals with respect to those sustainability matters falling within its responsibilities,</w:t>
            </w:r>
            <w:r>
              <w:rPr/>
              <w:t xml:space="preserve"> </w:t>
            </w:r>
            <w:r>
              <mc:AlternateContent>
                <mc:Choice Requires="wps">
                  <w:drawing>
                    <wp:anchor behindDoc="0" distT="96520" distB="0" distL="0" distR="0" simplePos="0" locked="0" layoutInCell="1" allowOverlap="1" relativeHeight="238">
                      <wp:simplePos x="0" y="0"/>
                      <wp:positionH relativeFrom="column">
                        <wp:align>left</wp:align>
                      </wp:positionH>
                      <wp:positionV relativeFrom="line">
                        <wp:align>top</wp:align>
                      </wp:positionV>
                      <wp:extent cx="127000" cy="350520"/>
                      <wp:effectExtent l="0" t="0" r="0" b="0"/>
                      <wp:wrapSquare wrapText="right"/>
                      <wp:docPr id="163"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bidi w:val="0"/>
                              <w:spacing w:lineRule="atLeast" w:line="232"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2" w:before="152" w:after="0"/>
              <w:ind w:left="200" w:right="0" w:hanging="0"/>
              <w:jc w:val="left"/>
              <w:rPr/>
            </w:pPr>
            <w:r>
              <w:rPr>
                <w:spacing w:val="-2"/>
              </w:rPr>
              <w:t>plays an integral role in the Company’s processes and procedures for the consideration and determination of executive and director compensation,</w:t>
            </w:r>
            <w:r>
              <w:rPr/>
              <w:t xml:space="preserve"> </w:t>
            </w:r>
            <w:r>
              <mc:AlternateContent>
                <mc:Choice Requires="wps">
                  <w:drawing>
                    <wp:anchor behindDoc="0" distT="96520" distB="0" distL="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right"/>
                      <wp:docPr id="164"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bidi w:val="0"/>
                              <w:spacing w:lineRule="atLeast" w:line="232"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2" w:before="152" w:after="0"/>
              <w:ind w:left="200" w:right="0" w:hanging="0"/>
              <w:jc w:val="left"/>
              <w:rPr/>
            </w:pPr>
            <w:r>
              <w:rPr>
                <w:spacing w:val="-2"/>
              </w:rPr>
              <w:t>determines the compensation policies and individual compensation decisions for our executive officers and ensures these policies and decisions are consistent with overall corporate performance,</w:t>
            </w:r>
            <w:r>
              <w:rPr/>
              <w:t xml:space="preserve"> </w:t>
            </w:r>
            <w:r>
              <mc:AlternateContent>
                <mc:Choice Requires="wps">
                  <w:drawing>
                    <wp:anchor behindDoc="0" distT="96520" distB="0" distL="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165"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bidi w:val="0"/>
                              <w:spacing w:lineRule="atLeast" w:line="232"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2" w:before="152" w:after="0"/>
              <w:ind w:left="200" w:right="0" w:hanging="0"/>
              <w:jc w:val="left"/>
              <w:rPr/>
            </w:pPr>
            <w:r>
              <w:rPr>
                <w:spacing w:val="-2"/>
              </w:rPr>
              <w:t>in conjunction with the Nominating and Corporate Governance Committee as needed, reviews the form and amount of director compensation and makes recommendations to the Board related thereto,</w:t>
            </w:r>
            <w:r>
              <w:rPr/>
              <w:t xml:space="preserve"> </w:t>
            </w:r>
            <w:r>
              <mc:AlternateContent>
                <mc:Choice Requires="wps">
                  <w:drawing>
                    <wp:anchor behindDoc="0" distT="96520" distB="0" distL="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166"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bidi w:val="0"/>
                              <w:spacing w:lineRule="atLeast" w:line="232"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2" w:before="152" w:after="0"/>
              <w:ind w:left="200" w:right="0" w:hanging="0"/>
              <w:jc w:val="left"/>
              <w:rPr/>
            </w:pPr>
            <w:r>
              <w:rPr>
                <w:spacing w:val="-2"/>
              </w:rPr>
              <w:t>has the authority to approve all equity and equity-based awards to our employees, directors, and executive officers,</w:t>
            </w:r>
            <w:r>
              <w:rPr/>
              <w:t xml:space="preserve"> </w:t>
            </w:r>
            <w:r>
              <mc:AlternateContent>
                <mc:Choice Requires="wps">
                  <w:drawing>
                    <wp:anchor behindDoc="0" distT="96520" distB="0" distL="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167"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bidi w:val="0"/>
                              <w:spacing w:lineRule="atLeast" w:line="232"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2" w:before="152" w:after="0"/>
              <w:ind w:left="200" w:right="0" w:hanging="0"/>
              <w:jc w:val="left"/>
              <w:rPr/>
            </w:pPr>
            <w:r>
              <w:rPr>
                <w:spacing w:val="-2"/>
              </w:rPr>
              <w:t>reviews and recommends to the Board of Directors the target annual incentive pool, the annual performance objectives for participants, and actual payouts to participants, including the executive officers,</w:t>
            </w:r>
            <w:r>
              <w:rPr/>
              <w:t xml:space="preserve"> </w:t>
            </w:r>
            <w:r>
              <mc:AlternateContent>
                <mc:Choice Requires="wps">
                  <w:drawing>
                    <wp:anchor behindDoc="0" distT="96520" distB="0" distL="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168"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bidi w:val="0"/>
                              <w:spacing w:lineRule="atLeast" w:line="232"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2" w:before="152" w:after="0"/>
              <w:ind w:left="200" w:right="0" w:hanging="0"/>
              <w:jc w:val="left"/>
              <w:rPr/>
            </w:pPr>
            <w:r>
              <w:rPr>
                <w:spacing w:val="-2"/>
              </w:rPr>
              <w:t>works with its independent compensation consultant and management in setting compensation to create incentives that encourage an appropriate level of risk taking that is consistent with the Company’s business strategy and maximization of stockholder value,</w:t>
            </w:r>
            <w:r>
              <w:rPr/>
              <w:t xml:space="preserve"> </w:t>
            </w:r>
            <w:r>
              <mc:AlternateContent>
                <mc:Choice Requires="wps">
                  <w:drawing>
                    <wp:anchor behindDoc="0" distT="96520" distB="0" distL="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169"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bidi w:val="0"/>
                              <w:spacing w:lineRule="atLeast" w:line="232"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2" w:before="152" w:after="0"/>
              <w:ind w:left="200" w:right="0" w:hanging="0"/>
              <w:jc w:val="left"/>
              <w:rPr/>
            </w:pPr>
            <w:r>
              <w:rPr>
                <w:spacing w:val="-2"/>
              </w:rPr>
              <w:t>reviews and approves annual performance goals for the CEO and certain executives related to incentive compensation,</w:t>
            </w:r>
            <w:r>
              <w:rPr/>
              <w:t xml:space="preserve"> </w:t>
            </w:r>
            <w:r>
              <mc:AlternateContent>
                <mc:Choice Requires="wps">
                  <w:drawing>
                    <wp:anchor behindDoc="0" distT="96520" distB="0" distL="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170"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bidi w:val="0"/>
                              <w:spacing w:lineRule="atLeast" w:line="232"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2" w:before="152" w:after="0"/>
              <w:ind w:left="200" w:right="0" w:hanging="0"/>
              <w:jc w:val="left"/>
              <w:rPr/>
            </w:pPr>
            <w:r>
              <w:rPr>
                <w:spacing w:val="-2"/>
              </w:rPr>
              <w:t>oversees the Company’s Organizational Talent Review process and human capital programs and initiatives to determine whether outcomes are effective and achieve their intended purposes, and</w:t>
            </w:r>
            <w:r>
              <w:rPr/>
              <w:t xml:space="preserve"> </w:t>
            </w:r>
            <w:r>
              <mc:AlternateContent>
                <mc:Choice Requires="wps">
                  <w:drawing>
                    <wp:anchor behindDoc="0" distT="96520" distB="0" distL="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171"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bidi w:val="0"/>
                              <w:spacing w:lineRule="atLeast" w:line="232"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2" w:before="152" w:after="0"/>
              <w:ind w:left="200" w:right="0" w:hanging="0"/>
              <w:jc w:val="left"/>
              <w:rPr/>
            </w:pPr>
            <w:r>
              <w:rPr>
                <w:spacing w:val="-2"/>
              </w:rPr>
              <w:t>reviews management development and executive succession plans, including for the CEO.</w:t>
            </w:r>
            <w:r>
              <w:rPr/>
              <w:t xml:space="preserve"> </w:t>
            </w:r>
            <w:r>
              <mc:AlternateContent>
                <mc:Choice Requires="wps">
                  <w:drawing>
                    <wp:anchor behindDoc="0" distT="96520" distB="0" distL="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172"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bidi w:val="0"/>
                              <w:spacing w:lineRule="atLeast" w:line="232"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60" w:before="144" w:after="283"/>
        <w:ind w:left="11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Human Capital and Compensation Committee has decision-making authority with respect to all compensation decisions for our executive officers, including annual incentive plan awards and grants of equity awards. The Human Capital and Compensation Committee is responsible for finalizing and approving the performance objectives relevant to the compensation of our CEO and other executive officers.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60" w:before="120" w:after="283"/>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The Human Capital and Compensation Committee’s recommendations are developed with input from our CEO and, where appropriate, other senior executives. The Human Capital and Compensation Committee reviews management recommendations and input from compensation consultants, along with other sources of data when formulating its independent recommendations to the Board of Directors. A discussion and analysis of the Company’s compensation decisions </w:t>
      </w:r>
    </w:p>
    <w:p>
      <w:pPr>
        <w:pStyle w:val="TextBody"/>
        <w:bidi w:val="0"/>
        <w:spacing w:lineRule="atLeast" w:line="240" w:before="289"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173"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48" descr=""/>
                          <pic:cNvPicPr>
                            <a:picLocks noChangeAspect="1" noChangeArrowheads="1"/>
                          </pic:cNvPicPr>
                        </pic:nvPicPr>
                        <pic:blipFill>
                          <a:blip r:embed="rId59"/>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18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rFonts w:ascii="Arial;Helvetica;sans-serif" w:hAnsi="Arial;Helvetica;sans-serif"/>
          <w:b w:val="false"/>
          <w:i w:val="false"/>
          <w:caps w:val="false"/>
          <w:smallCaps w:val="false"/>
          <w:color w:val="FF6A00"/>
          <w:spacing w:val="-2"/>
          <w:sz w:val="22"/>
        </w:rPr>
      </w:pPr>
      <w:r>
        <w:rPr>
          <w:rFonts w:ascii="Arial;Helvetica;sans-serif" w:hAnsi="Arial;Helvetica;sans-serif"/>
          <w:b w:val="false"/>
          <w:i w:val="false"/>
          <w:caps w:val="false"/>
          <w:smallCaps w:val="false"/>
          <w:color w:val="FF6A00"/>
          <w:spacing w:val="-2"/>
          <w:sz w:val="22"/>
        </w:rPr>
        <w:t xml:space="preserve">CORPORATE GOVERNANCE </w:t>
      </w:r>
    </w:p>
    <w:p>
      <w:pPr>
        <w:pStyle w:val="TextBody"/>
        <w:bidi w:val="0"/>
        <w:spacing w:lineRule="atLeast" w:line="260" w:before="480" w:after="283"/>
        <w:ind w:left="11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regarding the executive officers named in the Summary Compensation Table appears in this proxy statement under the heading “EXECUTIVE COMPENSATION — Compensation Discussion and Analysis.”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6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To assist it in performing its duties, the Human Capital and Compensation Committee has the authority to engage outside consulting firms. The Human Capital and Compensation Committee has engaged Pay Governance as its independent compensation consultant since October 2023. In its capacity as an outside and independent compensation consultant, Pay Governance reports directly to the Human Capital and Compensation Committee.</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6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Human Capital and Compensation Committee has sole authority to replace compensation consultants retained from time to time, and to hire additional consultants for the Committee at any time.</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6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Representatives from Pay Governance engaged by the Human Capital and Compensation Committee attend meetings of the Committee, as requested, and communicate with the Chair of the Committee between meetings.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6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Human Capital and Compensation Committee assessed the independence of Pay Governance pursuant to applicable SEC rules and concluded that no conflict of interest exists that would prevent Pay Governance from independently advising the Committee.</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6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Human Capital and Compensation Committee reviews and discusses with management proposed Compensation Discussion and Analysis disclosures and determines whether to recommend the Compensation Discussion and Analysis to the Board of Directors for inclusion in the Company’s proxy statement and annual report. The recommendation is described in the Human Capital and Compensation Committee Report included in this proxy statement.</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6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In addition to scheduled meetings, the members of the Human Capital and Compensation Committee also met informally among themselves, with management, with other members of the Board, and with Pay Governance from time to time.</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60" w:before="240" w:after="283"/>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2"/>
          <w:sz w:val="22"/>
        </w:rPr>
        <w:t>Nominating and Corporate Governance Committee</w:t>
      </w:r>
      <w:r>
        <w:rPr>
          <w:rFonts w:ascii="Arial;Helvetica;sans-serif" w:hAnsi="Arial;Helvetica;sans-serif"/>
          <w:b/>
          <w:i w:val="false"/>
          <w:caps w:val="false"/>
          <w:smallCaps w:val="false"/>
          <w:color w:val="000000"/>
          <w:spacing w:val="4"/>
          <w:sz w:val="22"/>
        </w:rPr>
        <w:t xml:space="preserve"> </w:t>
      </w:r>
    </w:p>
    <w:tbl>
      <w:tblPr>
        <w:tblW w:w="9065" w:type="dxa"/>
        <w:jc w:val="left"/>
        <w:tblInd w:w="1140" w:type="dxa"/>
        <w:tblLayout w:type="fixed"/>
        <w:tblCellMar>
          <w:top w:w="0" w:type="dxa"/>
          <w:left w:w="0" w:type="dxa"/>
          <w:bottom w:w="60" w:type="dxa"/>
          <w:right w:w="0" w:type="dxa"/>
        </w:tblCellMar>
      </w:tblPr>
      <w:tblGrid>
        <w:gridCol w:w="1851"/>
        <w:gridCol w:w="109"/>
        <w:gridCol w:w="109"/>
        <w:gridCol w:w="3379"/>
        <w:gridCol w:w="192"/>
        <w:gridCol w:w="192"/>
        <w:gridCol w:w="3075"/>
        <w:gridCol w:w="158"/>
      </w:tblGrid>
      <w:tr>
        <w:trPr/>
        <w:tc>
          <w:tcPr>
            <w:tcW w:w="1851" w:type="dxa"/>
            <w:tcBorders>
              <w:bottom w:val="single" w:sz="2" w:space="0" w:color="000000"/>
            </w:tcBorders>
            <w:vAlign w:val="center"/>
          </w:tcPr>
          <w:p>
            <w:pPr>
              <w:pStyle w:val="TableContents"/>
              <w:bidi w:val="0"/>
              <w:spacing w:before="0" w:after="0"/>
              <w:jc w:val="left"/>
              <w:rPr>
                <w:spacing w:val="-2"/>
              </w:rPr>
            </w:pPr>
            <w:r>
              <w:rPr>
                <w:spacing w:val="-2"/>
              </w:rPr>
              <w:t xml:space="preserve">Members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379" w:type="dxa"/>
            <w:tcBorders>
              <w:bottom w:val="single" w:sz="2" w:space="0" w:color="000000"/>
            </w:tcBorders>
            <w:vAlign w:val="center"/>
          </w:tcPr>
          <w:p>
            <w:pPr>
              <w:pStyle w:val="TableContents"/>
              <w:bidi w:val="0"/>
              <w:spacing w:before="0" w:after="0"/>
              <w:jc w:val="left"/>
              <w:rPr>
                <w:spacing w:val="-2"/>
              </w:rPr>
            </w:pPr>
            <w:r>
              <w:rPr>
                <w:spacing w:val="-2"/>
              </w:rPr>
              <w:t xml:space="preserve">Key Responsibilities </w:t>
            </w:r>
          </w:p>
        </w:tc>
        <w:tc>
          <w:tcPr>
            <w:tcW w:w="192" w:type="dxa"/>
            <w:tcBorders>
              <w:bottom w:val="single" w:sz="2" w:space="0" w:color="000000"/>
            </w:tcBorders>
            <w:tcMar>
              <w:bottom w:w="28" w:type="dxa"/>
            </w:tcMar>
            <w:vAlign w:val="center"/>
          </w:tcPr>
          <w:p>
            <w:pPr>
              <w:pStyle w:val="TableContents"/>
              <w:bidi w:val="0"/>
              <w:spacing w:before="0" w:after="283"/>
              <w:jc w:val="left"/>
              <w:rPr/>
            </w:pPr>
            <w:r>
              <w:rPr/>
              <w:t>​</w:t>
            </w:r>
          </w:p>
        </w:tc>
        <w:tc>
          <w:tcPr>
            <w:tcW w:w="192" w:type="dxa"/>
            <w:tcBorders>
              <w:bottom w:val="single" w:sz="2" w:space="0" w:color="000000"/>
            </w:tcBorders>
            <w:tcMar>
              <w:bottom w:w="28" w:type="dxa"/>
            </w:tcMar>
            <w:vAlign w:val="center"/>
          </w:tcPr>
          <w:p>
            <w:pPr>
              <w:pStyle w:val="TableContents"/>
              <w:bidi w:val="0"/>
              <w:spacing w:before="0" w:after="283"/>
              <w:jc w:val="left"/>
              <w:rPr/>
            </w:pPr>
            <w:r>
              <w:rPr/>
              <w:t>​</w:t>
            </w:r>
          </w:p>
        </w:tc>
        <w:tc>
          <w:tcPr>
            <w:tcW w:w="3075" w:type="dxa"/>
            <w:tcBorders>
              <w:bottom w:val="single" w:sz="2" w:space="0" w:color="000000"/>
            </w:tcBorders>
            <w:vAlign w:val="center"/>
          </w:tcPr>
          <w:p>
            <w:pPr>
              <w:pStyle w:val="TableContents"/>
              <w:bidi w:val="0"/>
              <w:spacing w:before="0" w:after="0"/>
              <w:jc w:val="left"/>
              <w:rPr/>
            </w:pPr>
            <w:r>
              <w:rPr>
                <w:spacing w:val="-2"/>
              </w:rPr>
              <w:t>(</w:t>
            </w:r>
            <w:r>
              <w:rPr>
                <w:color w:val="FF6A00"/>
                <w:spacing w:val="-2"/>
              </w:rPr>
              <w:t>7</w:t>
            </w:r>
            <w:r>
              <w:rPr>
                <w:spacing w:val="-2"/>
              </w:rPr>
              <w:t xml:space="preserve"> Meetings in 2025) </w:t>
            </w:r>
          </w:p>
        </w:tc>
        <w:tc>
          <w:tcPr>
            <w:tcW w:w="158"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851" w:type="dxa"/>
            <w:tcBorders/>
            <w:tcMar>
              <w:bottom w:w="0" w:type="dxa"/>
            </w:tcMar>
            <w:vAlign w:val="center"/>
          </w:tcPr>
          <w:p>
            <w:pPr>
              <w:pStyle w:val="TableContents"/>
              <w:bidi w:val="0"/>
              <w:spacing w:before="0" w:after="0"/>
              <w:jc w:val="left"/>
              <w:rPr>
                <w:b/>
                <w:color w:val="FF6A00"/>
                <w:spacing w:val="-2"/>
              </w:rPr>
            </w:pPr>
            <w:r>
              <w:rPr>
                <w:b/>
                <w:color w:val="FF6A00"/>
                <w:spacing w:val="-2"/>
              </w:rPr>
              <w:t xml:space="preserve">ROBERT D. DIXON </w:t>
              <w:br/>
              <w:t xml:space="preserve">(Chair) </w:t>
            </w:r>
          </w:p>
          <w:p>
            <w:pPr>
              <w:pStyle w:val="TableContents"/>
              <w:bidi w:val="0"/>
              <w:spacing w:before="300" w:after="283"/>
              <w:jc w:val="left"/>
              <w:rPr>
                <w:b/>
                <w:color w:val="FF6A00"/>
                <w:spacing w:val="-2"/>
              </w:rPr>
            </w:pPr>
            <w:r>
              <w:rPr>
                <w:b/>
                <w:color w:val="FF6A00"/>
                <w:spacing w:val="-2"/>
              </w:rPr>
              <w:t xml:space="preserve">MARCIA J. AVEDON </w:t>
            </w:r>
          </w:p>
          <w:p>
            <w:pPr>
              <w:pStyle w:val="TableContents"/>
              <w:bidi w:val="0"/>
              <w:spacing w:before="300" w:after="283"/>
              <w:jc w:val="left"/>
              <w:rPr>
                <w:b/>
                <w:color w:val="FF6A00"/>
                <w:spacing w:val="-2"/>
              </w:rPr>
            </w:pPr>
            <w:r>
              <w:rPr>
                <w:b/>
                <w:color w:val="FF6A00"/>
                <w:spacing w:val="-2"/>
              </w:rPr>
              <w:t xml:space="preserve">KATHRYN V. BOHL </w:t>
            </w:r>
          </w:p>
          <w:p>
            <w:pPr>
              <w:pStyle w:val="TableContents"/>
              <w:bidi w:val="0"/>
              <w:spacing w:before="300" w:after="283"/>
              <w:jc w:val="left"/>
              <w:rPr>
                <w:b/>
                <w:color w:val="FF6A00"/>
                <w:spacing w:val="-2"/>
              </w:rPr>
            </w:pPr>
            <w:r>
              <w:rPr>
                <w:b/>
                <w:color w:val="FF6A00"/>
                <w:spacing w:val="-2"/>
              </w:rPr>
              <w:t xml:space="preserve">BENNETT J. </w:t>
              <w:br/>
              <w:t xml:space="preserve">MORGAN </w:t>
            </w:r>
          </w:p>
          <w:p>
            <w:pPr>
              <w:pStyle w:val="TableContents"/>
              <w:bidi w:val="0"/>
              <w:spacing w:before="300" w:after="283"/>
              <w:jc w:val="left"/>
              <w:rPr>
                <w:b/>
                <w:color w:val="FF6A00"/>
                <w:spacing w:val="-2"/>
              </w:rPr>
            </w:pPr>
            <w:r>
              <w:rPr>
                <w:b/>
                <w:color w:val="FF6A00"/>
                <w:spacing w:val="-2"/>
              </w:rPr>
              <w:t xml:space="preserve">NAM T. NGUYEN </w:t>
            </w:r>
          </w:p>
          <w:p>
            <w:pPr>
              <w:pStyle w:val="TableContents"/>
              <w:bidi w:val="0"/>
              <w:spacing w:before="300" w:after="283"/>
              <w:jc w:val="left"/>
              <w:rPr>
                <w:b/>
                <w:color w:val="FF6A00"/>
                <w:spacing w:val="-2"/>
              </w:rPr>
            </w:pPr>
            <w:r>
              <w:rPr>
                <w:b/>
                <w:color w:val="FF6A00"/>
                <w:spacing w:val="-2"/>
              </w:rPr>
              <w:t xml:space="preserve">DAVID A. RAMON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838" w:type="dxa"/>
            <w:gridSpan w:val="4"/>
            <w:tcBorders/>
            <w:tcMar>
              <w:bottom w:w="0" w:type="dxa"/>
            </w:tcMar>
            <w:vAlign w:val="center"/>
          </w:tcPr>
          <w:p>
            <w:pPr>
              <w:pStyle w:val="TableContents"/>
              <w:bidi w:val="0"/>
              <w:spacing w:lineRule="atLeast" w:line="200" w:before="0" w:after="0"/>
              <w:jc w:val="left"/>
              <w:rPr>
                <w:spacing w:val="-2"/>
              </w:rPr>
            </w:pPr>
            <w:r>
              <w:rPr>
                <w:spacing w:val="-2"/>
              </w:rPr>
              <w:t xml:space="preserve">The Nominating and Corporate Governance Committee: </w:t>
            </w:r>
          </w:p>
          <w:p>
            <w:pPr>
              <w:pStyle w:val="TableContents"/>
              <w:bidi w:val="0"/>
              <w:spacing w:lineRule="atLeast" w:line="232" w:before="152" w:after="0"/>
              <w:ind w:left="200" w:right="0" w:hanging="0"/>
              <w:jc w:val="left"/>
              <w:rPr>
                <w:spacing w:val="-2"/>
              </w:rPr>
            </w:pPr>
            <w:r>
              <w:rPr>
                <w:spacing w:val="-2"/>
              </w:rPr>
              <w:t xml:space="preserve">identifies candidates to serve as directors and on committees of the Board of Directors, </w:t>
            </w:r>
            <w:r>
              <mc:AlternateContent>
                <mc:Choice Requires="wps">
                  <w:drawing>
                    <wp:anchor behindDoc="0" distT="96520" distB="0" distL="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174"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bidi w:val="0"/>
                              <w:spacing w:lineRule="atLeast" w:line="232"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2" w:before="152" w:after="0"/>
              <w:ind w:left="200" w:right="0" w:hanging="0"/>
              <w:jc w:val="left"/>
              <w:rPr>
                <w:spacing w:val="-2"/>
              </w:rPr>
            </w:pPr>
            <w:r>
              <w:rPr>
                <w:spacing w:val="-2"/>
              </w:rPr>
              <w:t xml:space="preserve">develops, recommends, and reviews our Corporate Governance Guidelines and Principles on a regular basis, </w:t>
            </w:r>
            <w:r>
              <mc:AlternateContent>
                <mc:Choice Requires="wps">
                  <w:drawing>
                    <wp:anchor behindDoc="0" distT="96520" distB="0" distL="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175"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bidi w:val="0"/>
                              <w:spacing w:lineRule="atLeast" w:line="232"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2" w:before="152" w:after="0"/>
              <w:ind w:left="200" w:right="0" w:hanging="0"/>
              <w:jc w:val="left"/>
              <w:rPr>
                <w:spacing w:val="-2"/>
              </w:rPr>
            </w:pPr>
            <w:r>
              <w:rPr>
                <w:spacing w:val="-2"/>
              </w:rPr>
              <w:t xml:space="preserve">oversees any necessary search, selection, and hiring process for appointing a new CEO, </w:t>
            </w:r>
            <w:r>
              <mc:AlternateContent>
                <mc:Choice Requires="wps">
                  <w:drawing>
                    <wp:anchor behindDoc="0" distT="96520" distB="0" distL="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176"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bidi w:val="0"/>
                              <w:spacing w:lineRule="atLeast" w:line="232"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2" w:before="152" w:after="0"/>
              <w:ind w:left="200" w:right="0" w:hanging="0"/>
              <w:jc w:val="left"/>
              <w:rPr>
                <w:spacing w:val="-2"/>
              </w:rPr>
            </w:pPr>
            <w:r>
              <w:rPr>
                <w:spacing w:val="-2"/>
              </w:rPr>
              <w:t xml:space="preserve">assists the Board of Directors in its annual review of the performance and effectiveness of the Board of Directors and its committees, </w:t>
            </w:r>
            <w:r>
              <mc:AlternateContent>
                <mc:Choice Requires="wps">
                  <w:drawing>
                    <wp:anchor behindDoc="0" distT="96520" distB="0" distL="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177"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bidi w:val="0"/>
                              <w:spacing w:lineRule="atLeast" w:line="232"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2" w:after="0"/>
              <w:ind w:left="200" w:right="0" w:hanging="0"/>
              <w:jc w:val="left"/>
              <w:rPr>
                <w:spacing w:val="-2"/>
              </w:rPr>
            </w:pPr>
            <w:r>
              <w:rPr>
                <w:spacing w:val="-2"/>
              </w:rPr>
              <w:t xml:space="preserve">reviews the Company’s sustainability policies, practices, and disclosures, and </w:t>
            </w:r>
            <w:r>
              <mc:AlternateContent>
                <mc:Choice Requires="wps">
                  <w:drawing>
                    <wp:anchor behindDoc="0" distT="96520" distB="0" distL="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178"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bidi w:val="0"/>
                              <w:spacing w:lineRule="atLeast" w:line="200"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2" w:before="152" w:after="0"/>
              <w:ind w:left="200" w:right="0" w:hanging="0"/>
              <w:jc w:val="left"/>
              <w:rPr/>
            </w:pPr>
            <w:r>
              <w:rPr>
                <w:spacing w:val="-2"/>
              </w:rPr>
              <w:t>undertakes such other tasks delegated to the committee by the Board of Directors.</w:t>
            </w:r>
            <w:r>
              <w:rPr/>
              <w:t xml:space="preserve"> </w:t>
            </w:r>
            <w:r>
              <mc:AlternateContent>
                <mc:Choice Requires="wps">
                  <w:drawing>
                    <wp:anchor behindDoc="0" distT="96520" distB="0" distL="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179"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3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bidi w:val="0"/>
                              <w:spacing w:lineRule="atLeast" w:line="232" w:before="0" w:after="283"/>
                              <w:jc w:val="left"/>
                              <w:rPr/>
                            </w:pPr>
                            <w:r>
                              <w:rPr>
                                <w:color w:val="FF6A00"/>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60" w:before="140" w:after="283"/>
        <w:ind w:left="11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Decisions regarding board nominations and corporate governance-related matters were approved by our Board after considering the recommendations of the Nominating and Corporate Governance Committee.</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180"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49" descr=""/>
                          <pic:cNvPicPr>
                            <a:picLocks noChangeAspect="1" noChangeArrowheads="1"/>
                          </pic:cNvPicPr>
                        </pic:nvPicPr>
                        <pic:blipFill>
                          <a:blip r:embed="rId60"/>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19</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rFonts w:ascii="Arial;Helvetica;sans-serif" w:hAnsi="Arial;Helvetica;sans-serif"/>
          <w:b w:val="false"/>
          <w:i w:val="false"/>
          <w:caps w:val="false"/>
          <w:smallCaps w:val="false"/>
          <w:color w:val="FF6A00"/>
          <w:spacing w:val="-2"/>
          <w:sz w:val="22"/>
        </w:rPr>
      </w:pPr>
      <w:r>
        <w:rPr>
          <w:rFonts w:ascii="Arial;Helvetica;sans-serif" w:hAnsi="Arial;Helvetica;sans-serif"/>
          <w:b w:val="false"/>
          <w:i w:val="false"/>
          <w:caps w:val="false"/>
          <w:smallCaps w:val="false"/>
          <w:color w:val="FF6A00"/>
          <w:spacing w:val="-2"/>
          <w:sz w:val="22"/>
        </w:rPr>
        <w:t xml:space="preserve">CORPORATE GOVERNANCE </w:t>
      </w:r>
    </w:p>
    <w:p>
      <w:pPr>
        <w:pStyle w:val="TextBody"/>
        <w:bidi w:val="0"/>
        <w:spacing w:lineRule="atLeast" w:line="400" w:before="480" w:after="283"/>
        <w:ind w:left="1140" w:right="0" w:hanging="0"/>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Criteria for Director Nominees</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In selecting director candidates, the Nominating and Corporate Governance Committee considers whether the candidates possess the required skill sets and fulfill the qualification requirements of directors approved by the Board of Directors, including exhibiting integrity, objectivity, sound judgment, leadership, and a breadth of different perspectives and experience. Annually, the Nominating and Corporate Governance Committee assesses the composition of the Board of Directors, including the Committee’s effectiveness in balancing the above considerations.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Other than the foregoing, there are no minimum criteria for director nominees, although the Nominating and Corporate Governance Committee may consider such other factors as it may deem are in the best interests of the Company and its stockholders. The Nominating and Corporate Governance Committee does not assign specific weights to, and a potential or incumbent director will not necessarily satisfy all, the foregoing criteria, and in evaluating a candidate does not distinguish on the basis of whether the candidate was recommended by a stockholder.</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400" w:before="240" w:after="283"/>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Process for Identifying and Evaluating Director Nominees</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Nominating and Corporate Governance Committee identifies nominees by first evaluating the current members of the Board of Directors willing to continue in service. Current members of the Board of Directors with skills and experience that are relevant to the Company’s business and who are willing to continue in service are considered for renomination, balancing the value of continuity of service by existing members of the Board of Directors with that of obtaining a new perspective on the Board. If any member of the Board of Directors does not wish to continue in service or if the Nominating and Corporate Governance Committee decides not to renominate a member for reelection, the Nominating and Corporate Governance Committee identifies the desired skills and experience of a new nominee based on the criteria listed above. Current members of the Nominating and Corporate Governance Committee and Board of Directors are polled for suggestions as to individuals meeting the criteria set by the Nominating and Corporate Governance Committee. Executive search firms may also be retained to identify qualified individuals.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Stockholders who wish to recommend a candidate for consideration by the Nominating and Corporate Governance Committee may do so by sending the candidate’s name and supporting information to Mr. Robert Dixon, Nominating and Corporate Governance Committee, c/o Raj Kanuru, Executive Vice President, General Counsel &amp; Secretary, Generac Power Systems, Inc., S45 W29290 Highway 59, Waukesha, Wisconsin 53189. Our Bylaws contain provisions that address the processes by which a stockholder may nominate an individual to stand for election to the Board of Directors. See “NOMINATIONS AND PROPOSALS BY STOCKHOLDERS” below for additional information.</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400" w:before="240" w:after="283"/>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Director Commitments and Board Limitations</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Our Corporate Governance Guidelines and Principles state our expectation that directors be prepared to devote the time required to prepare for and attend Board meetings and fulfill their responsibilities effectively. Accordingly, our guidelines state the expectation that directors limit the number of public company boards on which they serve to no more than four additional public boards for non-employee directors who do not serve as an executive officer of a public company, and to one additional public company board in the case of directors who serve as an </w:t>
      </w:r>
    </w:p>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181"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50" descr=""/>
                          <pic:cNvPicPr>
                            <a:picLocks noChangeAspect="1" noChangeArrowheads="1"/>
                          </pic:cNvPicPr>
                        </pic:nvPicPr>
                        <pic:blipFill>
                          <a:blip r:embed="rId61"/>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20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rFonts w:ascii="Arial;Helvetica;sans-serif" w:hAnsi="Arial;Helvetica;sans-serif"/>
          <w:b w:val="false"/>
          <w:i w:val="false"/>
          <w:caps w:val="false"/>
          <w:smallCaps w:val="false"/>
          <w:color w:val="FF6A00"/>
          <w:spacing w:val="-2"/>
          <w:sz w:val="22"/>
        </w:rPr>
      </w:pPr>
      <w:r>
        <w:rPr>
          <w:rFonts w:ascii="Arial;Helvetica;sans-serif" w:hAnsi="Arial;Helvetica;sans-serif"/>
          <w:b w:val="false"/>
          <w:i w:val="false"/>
          <w:caps w:val="false"/>
          <w:smallCaps w:val="false"/>
          <w:color w:val="FF6A00"/>
          <w:spacing w:val="-2"/>
          <w:sz w:val="22"/>
        </w:rPr>
        <w:t xml:space="preserve">CORPORATE GOVERNANCE </w:t>
      </w:r>
    </w:p>
    <w:p>
      <w:pPr>
        <w:pStyle w:val="TextBody"/>
        <w:bidi w:val="0"/>
        <w:spacing w:lineRule="atLeast" w:line="260" w:before="480" w:after="283"/>
        <w:ind w:left="11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executive officer of a public company. Directors are also required to notify and obtain approval from the Chairperson of the Board and Chairperson of the Nominating and Corporate Governance Committee in advance of accepting an invitation to serve on another public company or for-profit, private board. The Company monitors compliance with this policy through its annual Directors and Officers’ questionnaire process.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400" w:before="240" w:after="283"/>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Board of Directors Role in Risk Oversight</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6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Our Board oversees the risks and opportunities related to our business strategies. As part of our Enterprise Risk Management (“ERM”) process, our Board and management continually identify and monitor the material risks facing our Company, including financial risk, strategic risk, operational risk, legal and compliance risk, and other risks as described in the Company’s Annual Report on Form 10-K for the fiscal year ended December 31, 2025, and address these risks in an appropriate manner.</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6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Overall responsibility for risk oversight rests with our Board and management regularly reports to the Board on its activities in monitoring and mitigating these identified risks. The Board may delegate risk oversight responsibility to a particular committee in situations in which the risk falls within the committee’s area of focus or expertise. Our Board believes that for certain areas of risk, our Company is better served by having the initial risk evaluation and risk monitoring undertaken by a subset of the entire Board that is more focused on the issues pertaining to the particular risk. For instance, our Human Capital and Compensation Committee assists the Board in evaluating whether compensation policies and procedures promote profitable growth without encouraging unnecessary risk taking. Our Audit Committee assists the Board in fulfilling the Board’s oversight responsibility relating to the evaluation of financial and legal risks, including information security and cybersecurity, environmental, health and safety, product regulatory, and product safety matters.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400" w:before="240" w:after="283"/>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Board of Directors Leadership Structure</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6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Aaron Jagdfeld has served as a director of the Company since 2006 and is the Company’s Chairman of the Board, President, and Chief Executive Officer. Bennett Morgan serves as the Board’s independent Lead Director.</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Lead Director has broad responsibility and authority, including to:</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2" w:before="88"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Review the agendas for and preside over meetings of the independent directors.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5880" distB="0" distL="254000" distR="0" simplePos="0" locked="0" layoutInCell="1" allowOverlap="1" relativeHeight="254">
                <wp:simplePos x="0" y="0"/>
                <wp:positionH relativeFrom="column">
                  <wp:align>left</wp:align>
                </wp:positionH>
                <wp:positionV relativeFrom="line">
                  <wp:align>top</wp:align>
                </wp:positionV>
                <wp:extent cx="254000" cy="350520"/>
                <wp:effectExtent l="0" t="0" r="0" b="0"/>
                <wp:wrapSquare wrapText="right"/>
                <wp:docPr id="182" name="Frame1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4pt;mso-wrap-distance-bottom:0pt;margin-top:4.4pt;mso-position-vertical:top;mso-position-vertical-relative:text;margin-left:20pt;mso-position-horizontal:left;mso-position-horizontal-relative:text">
                <v:textbox>
                  <w:txbxContent>
                    <w:p>
                      <w:pPr>
                        <w:pStyle w:val="TextBody"/>
                        <w:bidi w:val="0"/>
                        <w:spacing w:lineRule="atLeast" w:line="252"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52" w:before="82"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Preside at all meetings of the Board of Directors at which the Chairman is not present, including executive sessions of the independent directors.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2070" distB="0" distL="254000" distR="0" simplePos="0" locked="0" layoutInCell="1" allowOverlap="1" relativeHeight="255">
                <wp:simplePos x="0" y="0"/>
                <wp:positionH relativeFrom="column">
                  <wp:align>left</wp:align>
                </wp:positionH>
                <wp:positionV relativeFrom="line">
                  <wp:align>top</wp:align>
                </wp:positionV>
                <wp:extent cx="254000" cy="350520"/>
                <wp:effectExtent l="0" t="0" r="0" b="0"/>
                <wp:wrapSquare wrapText="right"/>
                <wp:docPr id="183" name="Frame1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1pt;mso-wrap-distance-bottom:0pt;margin-top:4.1pt;mso-position-vertical:top;mso-position-vertical-relative:text;margin-left:20pt;mso-position-horizontal:left;mso-position-horizontal-relative:text">
                <v:textbox>
                  <w:txbxContent>
                    <w:p>
                      <w:pPr>
                        <w:pStyle w:val="TextBody"/>
                        <w:bidi w:val="0"/>
                        <w:spacing w:lineRule="atLeast" w:line="252"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52" w:before="82"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Call meetings of the independent directors.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2070" distB="0" distL="254000" distR="0" simplePos="0" locked="0" layoutInCell="1" allowOverlap="1" relativeHeight="256">
                <wp:simplePos x="0" y="0"/>
                <wp:positionH relativeFrom="column">
                  <wp:align>left</wp:align>
                </wp:positionH>
                <wp:positionV relativeFrom="line">
                  <wp:align>top</wp:align>
                </wp:positionV>
                <wp:extent cx="254000" cy="350520"/>
                <wp:effectExtent l="0" t="0" r="0" b="0"/>
                <wp:wrapSquare wrapText="right"/>
                <wp:docPr id="184" name="Frame1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1pt;mso-wrap-distance-bottom:0pt;margin-top:4.1pt;mso-position-vertical:top;mso-position-vertical-relative:text;margin-left:20pt;mso-position-horizontal:left;mso-position-horizontal-relative:text">
                <v:textbox>
                  <w:txbxContent>
                    <w:p>
                      <w:pPr>
                        <w:pStyle w:val="TextBody"/>
                        <w:bidi w:val="0"/>
                        <w:spacing w:lineRule="atLeast" w:line="252"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52" w:before="82"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Serve as the principal liaison between the Chairman and CEO and the independent directors.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2070" distB="0" distL="254000" distR="0" simplePos="0" locked="0" layoutInCell="1" allowOverlap="1" relativeHeight="257">
                <wp:simplePos x="0" y="0"/>
                <wp:positionH relativeFrom="column">
                  <wp:align>left</wp:align>
                </wp:positionH>
                <wp:positionV relativeFrom="line">
                  <wp:align>top</wp:align>
                </wp:positionV>
                <wp:extent cx="254000" cy="350520"/>
                <wp:effectExtent l="0" t="0" r="0" b="0"/>
                <wp:wrapSquare wrapText="right"/>
                <wp:docPr id="185" name="Frame1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1pt;mso-wrap-distance-bottom:0pt;margin-top:4.1pt;mso-position-vertical:top;mso-position-vertical-relative:text;margin-left:20pt;mso-position-horizontal:left;mso-position-horizontal-relative:text">
                <v:textbox>
                  <w:txbxContent>
                    <w:p>
                      <w:pPr>
                        <w:pStyle w:val="TextBody"/>
                        <w:bidi w:val="0"/>
                        <w:spacing w:lineRule="atLeast" w:line="252"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52" w:before="82"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Consult with the Chairman and CEO regarding:</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2070" distB="0" distL="254000" distR="0" simplePos="0" locked="0" layoutInCell="1" allowOverlap="1" relativeHeight="258">
                <wp:simplePos x="0" y="0"/>
                <wp:positionH relativeFrom="column">
                  <wp:align>left</wp:align>
                </wp:positionH>
                <wp:positionV relativeFrom="line">
                  <wp:align>top</wp:align>
                </wp:positionV>
                <wp:extent cx="254000" cy="350520"/>
                <wp:effectExtent l="0" t="0" r="0" b="0"/>
                <wp:wrapSquare wrapText="right"/>
                <wp:docPr id="186" name="Frame1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1pt;mso-wrap-distance-bottom:0pt;margin-top:4.1pt;mso-position-vertical:top;mso-position-vertical-relative:text;margin-left:20pt;mso-position-horizontal:left;mso-position-horizontal-relative:text">
                <v:textbox>
                  <w:txbxContent>
                    <w:p>
                      <w:pPr>
                        <w:pStyle w:val="TextBody"/>
                        <w:bidi w:val="0"/>
                        <w:spacing w:lineRule="atLeast" w:line="252"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52" w:before="82" w:after="0"/>
        <w:ind w:left="23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Information sent to the Board of Directors, including the quality, quantity, appropriateness, and timeliness of such information.</w:t>
      </w:r>
      <w:r>
        <w:rPr>
          <w:rFonts w:ascii="Arial;Helvetica;sans-serif" w:hAnsi="Arial;Helvetica;sans-serif"/>
          <w:b w:val="false"/>
          <w:i w:val="false"/>
          <w:caps w:val="false"/>
          <w:smallCaps w:val="false"/>
          <w:color w:val="000000"/>
          <w:sz w:val="22"/>
        </w:rPr>
        <w:t xml:space="preserve"> </w:t>
      </w:r>
      <w:r>
        <mc:AlternateContent>
          <mc:Choice Requires="wps">
            <w:drawing>
              <wp:anchor behindDoc="0" distT="52070" distB="0" distL="508000" distR="0" simplePos="0" locked="0" layoutInCell="1" allowOverlap="1" relativeHeight="259">
                <wp:simplePos x="0" y="0"/>
                <wp:positionH relativeFrom="column">
                  <wp:align>left</wp:align>
                </wp:positionH>
                <wp:positionV relativeFrom="line">
                  <wp:align>top</wp:align>
                </wp:positionV>
                <wp:extent cx="254000" cy="350520"/>
                <wp:effectExtent l="0" t="0" r="0" b="0"/>
                <wp:wrapSquare wrapText="right"/>
                <wp:docPr id="187" name="Frame1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4.1pt;mso-wrap-distance-bottom:0pt;margin-top:4.1pt;mso-position-vertical:top;mso-position-vertical-relative:text;margin-left:40pt;mso-position-horizontal:left;mso-position-horizontal-relative:text">
                <v:textbox>
                  <w:txbxContent>
                    <w:p>
                      <w:pPr>
                        <w:pStyle w:val="TextBody"/>
                        <w:bidi w:val="0"/>
                        <w:spacing w:lineRule="atLeast" w:line="252" w:before="0" w:after="283"/>
                        <w:jc w:val="left"/>
                        <w:rPr/>
                      </w:pPr>
                      <w:r>
                        <w:rPr>
                          <w:color w:val="FF6A00"/>
                        </w:rPr>
                        <w:t>◦</w:t>
                      </w:r>
                      <w:r>
                        <w:rPr/>
                        <w:t xml:space="preserve"> </w:t>
                      </w:r>
                      <w:r>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52" w:before="82" w:after="0"/>
        <w:ind w:left="2340" w:right="0" w:hanging="0"/>
        <w:jc w:val="left"/>
        <w:rPr>
          <w:rFonts w:ascii="Times New Roman;Times;serif" w:hAnsi="Times New Roman;Time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Meeting agendas for the Board of Directors.</w:t>
      </w:r>
      <w:r>
        <w:rPr>
          <w:rFonts w:ascii="Times New Roman;Times;serif" w:hAnsi="Times New Roman;Times;serif"/>
          <w:b w:val="false"/>
          <w:i w:val="false"/>
          <w:caps w:val="false"/>
          <w:smallCaps w:val="false"/>
          <w:color w:val="000000"/>
          <w:sz w:val="22"/>
        </w:rPr>
        <w:t xml:space="preserve"> </w:t>
      </w:r>
      <w:r>
        <mc:AlternateContent>
          <mc:Choice Requires="wps">
            <w:drawing>
              <wp:anchor behindDoc="0" distT="52070" distB="0" distL="508000" distR="0" simplePos="0" locked="0" layoutInCell="1" allowOverlap="1" relativeHeight="260">
                <wp:simplePos x="0" y="0"/>
                <wp:positionH relativeFrom="column">
                  <wp:align>left</wp:align>
                </wp:positionH>
                <wp:positionV relativeFrom="line">
                  <wp:align>top</wp:align>
                </wp:positionV>
                <wp:extent cx="254000" cy="350520"/>
                <wp:effectExtent l="0" t="0" r="0" b="0"/>
                <wp:wrapSquare wrapText="right"/>
                <wp:docPr id="188" name="Frame1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rPr>
                              <w:t>◦</w:t>
                            </w:r>
                            <w:r>
                              <w:rPr/>
                              <w:t xml:space="preserve"> </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4.1pt;mso-wrap-distance-bottom:0pt;margin-top:4.1pt;mso-position-vertical:top;mso-position-vertical-relative:text;margin-left:40pt;mso-position-horizontal:left;mso-position-horizontal-relative:text">
                <v:textbox>
                  <w:txbxContent>
                    <w:p>
                      <w:pPr>
                        <w:pStyle w:val="TextBody"/>
                        <w:bidi w:val="0"/>
                        <w:spacing w:lineRule="atLeast" w:line="252" w:before="0" w:after="283"/>
                        <w:jc w:val="left"/>
                        <w:rPr/>
                      </w:pPr>
                      <w:r>
                        <w:rPr>
                          <w:color w:val="FF6A00"/>
                        </w:rPr>
                        <w:t>◦</w:t>
                      </w:r>
                      <w:r>
                        <w:rPr/>
                        <w:t xml:space="preserve"> </w:t>
                      </w:r>
                      <w:r>
                        <w:rPr>
                          <w:rFonts w:ascii="Times New Roman;Times;serif" w:hAnsi="Times New Roman;Times;serif"/>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52" w:before="82" w:after="0"/>
        <w:ind w:left="23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frequency of Board of Directors meetings and meeting schedules, assuring there is sufficient time for discussion of all agenda items.</w:t>
      </w:r>
      <w:r>
        <w:rPr>
          <w:rFonts w:ascii="Arial;Helvetica;sans-serif" w:hAnsi="Arial;Helvetica;sans-serif"/>
          <w:b w:val="false"/>
          <w:i w:val="false"/>
          <w:caps w:val="false"/>
          <w:smallCaps w:val="false"/>
          <w:color w:val="000000"/>
          <w:sz w:val="22"/>
        </w:rPr>
        <w:t xml:space="preserve"> </w:t>
      </w:r>
      <w:r>
        <mc:AlternateContent>
          <mc:Choice Requires="wps">
            <w:drawing>
              <wp:anchor behindDoc="0" distT="52070" distB="0" distL="508000" distR="0" simplePos="0" locked="0" layoutInCell="1" allowOverlap="1" relativeHeight="261">
                <wp:simplePos x="0" y="0"/>
                <wp:positionH relativeFrom="column">
                  <wp:align>left</wp:align>
                </wp:positionH>
                <wp:positionV relativeFrom="line">
                  <wp:align>top</wp:align>
                </wp:positionV>
                <wp:extent cx="254000" cy="350520"/>
                <wp:effectExtent l="0" t="0" r="0" b="0"/>
                <wp:wrapSquare wrapText="right"/>
                <wp:docPr id="189" name="Frame1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4.1pt;mso-wrap-distance-bottom:0pt;margin-top:4.1pt;mso-position-vertical:top;mso-position-vertical-relative:text;margin-left:40pt;mso-position-horizontal:left;mso-position-horizontal-relative:text">
                <v:textbox>
                  <w:txbxContent>
                    <w:p>
                      <w:pPr>
                        <w:pStyle w:val="TextBody"/>
                        <w:bidi w:val="0"/>
                        <w:spacing w:lineRule="atLeast" w:line="252" w:before="0" w:after="283"/>
                        <w:jc w:val="left"/>
                        <w:rPr/>
                      </w:pPr>
                      <w:r>
                        <w:rPr>
                          <w:color w:val="FF6A00"/>
                        </w:rPr>
                        <w:t>◦</w:t>
                      </w:r>
                      <w:r>
                        <w:rPr/>
                        <w:t xml:space="preserve"> </w:t>
                      </w:r>
                      <w:r>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52" w:before="82" w:after="0"/>
        <w:ind w:left="2340" w:right="0" w:hanging="0"/>
        <w:jc w:val="left"/>
        <w:rPr>
          <w:rFonts w:ascii="Times New Roman;Times;serif" w:hAnsi="Times New Roman;Time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Development of annual priorities and goals for the Board of Directors.</w:t>
      </w:r>
      <w:r>
        <w:rPr>
          <w:rFonts w:ascii="Times New Roman;Times;serif" w:hAnsi="Times New Roman;Times;serif"/>
          <w:b w:val="false"/>
          <w:i w:val="false"/>
          <w:caps w:val="false"/>
          <w:smallCaps w:val="false"/>
          <w:color w:val="000000"/>
          <w:sz w:val="22"/>
        </w:rPr>
        <w:t xml:space="preserve"> </w:t>
      </w:r>
      <w:r>
        <mc:AlternateContent>
          <mc:Choice Requires="wps">
            <w:drawing>
              <wp:anchor behindDoc="0" distT="52070" distB="0" distL="508000" distR="0" simplePos="0" locked="0" layoutInCell="1" allowOverlap="1" relativeHeight="262">
                <wp:simplePos x="0" y="0"/>
                <wp:positionH relativeFrom="column">
                  <wp:align>left</wp:align>
                </wp:positionH>
                <wp:positionV relativeFrom="line">
                  <wp:align>top</wp:align>
                </wp:positionV>
                <wp:extent cx="254000" cy="350520"/>
                <wp:effectExtent l="0" t="0" r="0" b="0"/>
                <wp:wrapSquare wrapText="right"/>
                <wp:docPr id="190" name="Frame1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rPr>
                              <w:t>◦</w:t>
                            </w:r>
                            <w:r>
                              <w:rPr/>
                              <w:t xml:space="preserve"> </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4.1pt;mso-wrap-distance-bottom:0pt;margin-top:4.1pt;mso-position-vertical:top;mso-position-vertical-relative:text;margin-left:40pt;mso-position-horizontal:left;mso-position-horizontal-relative:text">
                <v:textbox>
                  <w:txbxContent>
                    <w:p>
                      <w:pPr>
                        <w:pStyle w:val="TextBody"/>
                        <w:bidi w:val="0"/>
                        <w:spacing w:lineRule="atLeast" w:line="252" w:before="0" w:after="283"/>
                        <w:jc w:val="left"/>
                        <w:rPr/>
                      </w:pPr>
                      <w:r>
                        <w:rPr>
                          <w:color w:val="FF6A00"/>
                        </w:rPr>
                        <w:t>◦</w:t>
                      </w:r>
                      <w:r>
                        <w:rPr/>
                        <w:t xml:space="preserve"> </w:t>
                      </w:r>
                      <w:r>
                        <w:rPr>
                          <w:rFonts w:ascii="Times New Roman;Times;serif" w:hAnsi="Times New Roman;Times;serif"/>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19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51" descr=""/>
                          <pic:cNvPicPr>
                            <a:picLocks noChangeAspect="1" noChangeArrowheads="1"/>
                          </pic:cNvPicPr>
                        </pic:nvPicPr>
                        <pic:blipFill>
                          <a:blip r:embed="rId62"/>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21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rFonts w:ascii="Arial;Helvetica;sans-serif" w:hAnsi="Arial;Helvetica;sans-serif"/>
          <w:b w:val="false"/>
          <w:i w:val="false"/>
          <w:caps w:val="false"/>
          <w:smallCaps w:val="false"/>
          <w:color w:val="FF6A00"/>
          <w:spacing w:val="-2"/>
          <w:sz w:val="22"/>
        </w:rPr>
      </w:pPr>
      <w:r>
        <w:rPr>
          <w:rFonts w:ascii="Arial;Helvetica;sans-serif" w:hAnsi="Arial;Helvetica;sans-serif"/>
          <w:b w:val="false"/>
          <w:i w:val="false"/>
          <w:caps w:val="false"/>
          <w:smallCaps w:val="false"/>
          <w:color w:val="FF6A00"/>
          <w:spacing w:val="-2"/>
          <w:sz w:val="22"/>
        </w:rPr>
        <w:t xml:space="preserve">CORPORATE GOVERNANCE </w:t>
      </w:r>
    </w:p>
    <w:p>
      <w:pPr>
        <w:pStyle w:val="TextBody"/>
        <w:bidi w:val="0"/>
        <w:spacing w:lineRule="atLeast" w:line="252" w:before="480" w:after="283"/>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Be available, when appropriate, for consultation and direct communication with stockholders.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0" distB="0" distL="254000" distR="0" simplePos="0" locked="0" layoutInCell="1" allowOverlap="1" relativeHeight="263">
                <wp:simplePos x="0" y="0"/>
                <wp:positionH relativeFrom="column">
                  <wp:align>left</wp:align>
                </wp:positionH>
                <wp:positionV relativeFrom="line">
                  <wp:posOffset>635</wp:posOffset>
                </wp:positionV>
                <wp:extent cx="254000" cy="350520"/>
                <wp:effectExtent l="0" t="0" r="0" b="0"/>
                <wp:wrapSquare wrapText="right"/>
                <wp:docPr id="192" name="Frame1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52"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52" w:before="82"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Select, retain, and consult with outside counsel and other advisors as the Lead Director deems appropriate.</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2070" distB="0" distL="254000" distR="0" simplePos="0" locked="0" layoutInCell="1" allowOverlap="1" relativeHeight="264">
                <wp:simplePos x="0" y="0"/>
                <wp:positionH relativeFrom="column">
                  <wp:align>left</wp:align>
                </wp:positionH>
                <wp:positionV relativeFrom="line">
                  <wp:align>top</wp:align>
                </wp:positionV>
                <wp:extent cx="254000" cy="350520"/>
                <wp:effectExtent l="0" t="0" r="0" b="0"/>
                <wp:wrapSquare wrapText="right"/>
                <wp:docPr id="193" name="Frame1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1pt;mso-wrap-distance-bottom:0pt;margin-top:4.1pt;mso-position-vertical:top;mso-position-vertical-relative:text;margin-left:20pt;mso-position-horizontal:left;mso-position-horizontal-relative:text">
                <v:textbox>
                  <w:txbxContent>
                    <w:p>
                      <w:pPr>
                        <w:pStyle w:val="TextBody"/>
                        <w:bidi w:val="0"/>
                        <w:spacing w:lineRule="atLeast" w:line="252"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52" w:before="82"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In conjunction with both the Human Capital and Compensation Committee and the full Board of Directors: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2070" distB="0" distL="254000" distR="0" simplePos="0" locked="0" layoutInCell="1" allowOverlap="1" relativeHeight="265">
                <wp:simplePos x="0" y="0"/>
                <wp:positionH relativeFrom="column">
                  <wp:align>left</wp:align>
                </wp:positionH>
                <wp:positionV relativeFrom="line">
                  <wp:align>top</wp:align>
                </wp:positionV>
                <wp:extent cx="254000" cy="350520"/>
                <wp:effectExtent l="0" t="0" r="0" b="0"/>
                <wp:wrapSquare wrapText="right"/>
                <wp:docPr id="194" name="Frame1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1pt;mso-wrap-distance-bottom:0pt;margin-top:4.1pt;mso-position-vertical:top;mso-position-vertical-relative:text;margin-left:20pt;mso-position-horizontal:left;mso-position-horizontal-relative:text">
                <v:textbox>
                  <w:txbxContent>
                    <w:p>
                      <w:pPr>
                        <w:pStyle w:val="TextBody"/>
                        <w:bidi w:val="0"/>
                        <w:spacing w:lineRule="atLeast" w:line="252"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52" w:before="82" w:after="0"/>
        <w:ind w:left="2340" w:right="0" w:hanging="0"/>
        <w:jc w:val="left"/>
        <w:rPr>
          <w:rFonts w:ascii="Times New Roman;Times;serif" w:hAnsi="Times New Roman;Time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Annually review the performance of, and provide feedback to, the CEO.</w:t>
      </w:r>
      <w:r>
        <w:rPr>
          <w:rFonts w:ascii="Times New Roman;Times;serif" w:hAnsi="Times New Roman;Times;serif"/>
          <w:b w:val="false"/>
          <w:i w:val="false"/>
          <w:caps w:val="false"/>
          <w:smallCaps w:val="false"/>
          <w:color w:val="000000"/>
          <w:sz w:val="22"/>
        </w:rPr>
        <w:t xml:space="preserve"> </w:t>
      </w:r>
      <w:r>
        <mc:AlternateContent>
          <mc:Choice Requires="wps">
            <w:drawing>
              <wp:anchor behindDoc="0" distT="52070" distB="0" distL="508000" distR="0" simplePos="0" locked="0" layoutInCell="1" allowOverlap="1" relativeHeight="266">
                <wp:simplePos x="0" y="0"/>
                <wp:positionH relativeFrom="column">
                  <wp:align>left</wp:align>
                </wp:positionH>
                <wp:positionV relativeFrom="line">
                  <wp:align>top</wp:align>
                </wp:positionV>
                <wp:extent cx="254000" cy="350520"/>
                <wp:effectExtent l="0" t="0" r="0" b="0"/>
                <wp:wrapSquare wrapText="right"/>
                <wp:docPr id="195" name="Frame1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rPr>
                              <w:t>◦</w:t>
                            </w:r>
                            <w:r>
                              <w:rPr/>
                              <w:t xml:space="preserve"> </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4.1pt;mso-wrap-distance-bottom:0pt;margin-top:4.1pt;mso-position-vertical:top;mso-position-vertical-relative:text;margin-left:40pt;mso-position-horizontal:left;mso-position-horizontal-relative:text">
                <v:textbox>
                  <w:txbxContent>
                    <w:p>
                      <w:pPr>
                        <w:pStyle w:val="TextBody"/>
                        <w:bidi w:val="0"/>
                        <w:spacing w:lineRule="atLeast" w:line="252" w:before="0" w:after="283"/>
                        <w:jc w:val="left"/>
                        <w:rPr/>
                      </w:pPr>
                      <w:r>
                        <w:rPr>
                          <w:color w:val="FF6A00"/>
                        </w:rPr>
                        <w:t>◦</w:t>
                      </w:r>
                      <w:r>
                        <w:rPr/>
                        <w:t xml:space="preserve"> </w:t>
                      </w:r>
                      <w:r>
                        <w:rPr>
                          <w:rFonts w:ascii="Times New Roman;Times;serif" w:hAnsi="Times New Roman;Times;serif"/>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52" w:before="82" w:after="0"/>
        <w:ind w:left="2340" w:right="0" w:hanging="0"/>
        <w:jc w:val="left"/>
        <w:rPr>
          <w:rFonts w:ascii="Times New Roman;Times;serif" w:hAnsi="Times New Roman;Time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Annually meet with each Director to collect and review feedback.</w:t>
      </w:r>
      <w:r>
        <w:rPr>
          <w:rFonts w:ascii="Times New Roman;Times;serif" w:hAnsi="Times New Roman;Times;serif"/>
          <w:b w:val="false"/>
          <w:i w:val="false"/>
          <w:caps w:val="false"/>
          <w:smallCaps w:val="false"/>
          <w:color w:val="000000"/>
          <w:sz w:val="22"/>
        </w:rPr>
        <w:t xml:space="preserve"> </w:t>
      </w:r>
      <w:r>
        <mc:AlternateContent>
          <mc:Choice Requires="wps">
            <w:drawing>
              <wp:anchor behindDoc="0" distT="52070" distB="0" distL="508000" distR="0" simplePos="0" locked="0" layoutInCell="1" allowOverlap="1" relativeHeight="267">
                <wp:simplePos x="0" y="0"/>
                <wp:positionH relativeFrom="column">
                  <wp:align>left</wp:align>
                </wp:positionH>
                <wp:positionV relativeFrom="line">
                  <wp:align>top</wp:align>
                </wp:positionV>
                <wp:extent cx="254000" cy="350520"/>
                <wp:effectExtent l="0" t="0" r="0" b="0"/>
                <wp:wrapSquare wrapText="right"/>
                <wp:docPr id="196" name="Frame1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rPr>
                              <w:t>◦</w:t>
                            </w:r>
                            <w:r>
                              <w:rPr/>
                              <w:t xml:space="preserve"> </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4.1pt;mso-wrap-distance-bottom:0pt;margin-top:4.1pt;mso-position-vertical:top;mso-position-vertical-relative:text;margin-left:40pt;mso-position-horizontal:left;mso-position-horizontal-relative:text">
                <v:textbox>
                  <w:txbxContent>
                    <w:p>
                      <w:pPr>
                        <w:pStyle w:val="TextBody"/>
                        <w:bidi w:val="0"/>
                        <w:spacing w:lineRule="atLeast" w:line="252" w:before="0" w:after="283"/>
                        <w:jc w:val="left"/>
                        <w:rPr/>
                      </w:pPr>
                      <w:r>
                        <w:rPr>
                          <w:color w:val="FF6A00"/>
                        </w:rPr>
                        <w:t>◦</w:t>
                      </w:r>
                      <w:r>
                        <w:rPr/>
                        <w:t xml:space="preserve"> </w:t>
                      </w:r>
                      <w:r>
                        <w:rPr>
                          <w:rFonts w:ascii="Times New Roman;Times;serif" w:hAnsi="Times New Roman;Times;serif"/>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Periodically, our Board assesses these roles and the Board leadership structure to ensure the interests of the Company and its stockholders are best served.</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6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Our Board has determined that its current structure, with a combined Chairman and CEO role and an independent Lead Director, is in the best interests of the Company and its stockholders at this time based on a number of factors, including:</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2" w:before="88"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 combined Chairman and CEO structure provides the Company with decisive and effective leadership with clearer accountability to our stockholders and customers.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5880" distB="0" distL="254000" distR="0" simplePos="0" locked="0" layoutInCell="1" allowOverlap="1" relativeHeight="268">
                <wp:simplePos x="0" y="0"/>
                <wp:positionH relativeFrom="column">
                  <wp:align>left</wp:align>
                </wp:positionH>
                <wp:positionV relativeFrom="line">
                  <wp:align>top</wp:align>
                </wp:positionV>
                <wp:extent cx="254000" cy="350520"/>
                <wp:effectExtent l="0" t="0" r="0" b="0"/>
                <wp:wrapSquare wrapText="right"/>
                <wp:docPr id="197" name="Frame1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4pt;mso-wrap-distance-bottom:0pt;margin-top:4.4pt;mso-position-vertical:top;mso-position-vertical-relative:text;margin-left:20pt;mso-position-horizontal:left;mso-position-horizontal-relative:text">
                <v:textbox>
                  <w:txbxContent>
                    <w:p>
                      <w:pPr>
                        <w:pStyle w:val="TextBody"/>
                        <w:bidi w:val="0"/>
                        <w:spacing w:lineRule="atLeast" w:line="252"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52" w:before="82"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combined role is both counterbalanced and enhanced by the effective oversight and independence of our Board of Directors, and the independent leadership provided by our Lead Director and independent committee chairs.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2070" distB="0" distL="254000" distR="0" simplePos="0" locked="0" layoutInCell="1" allowOverlap="1" relativeHeight="269">
                <wp:simplePos x="0" y="0"/>
                <wp:positionH relativeFrom="column">
                  <wp:align>left</wp:align>
                </wp:positionH>
                <wp:positionV relativeFrom="line">
                  <wp:align>top</wp:align>
                </wp:positionV>
                <wp:extent cx="254000" cy="350520"/>
                <wp:effectExtent l="0" t="0" r="0" b="0"/>
                <wp:wrapSquare wrapText="right"/>
                <wp:docPr id="198" name="Frame1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1pt;mso-wrap-distance-bottom:0pt;margin-top:4.1pt;mso-position-vertical:top;mso-position-vertical-relative:text;margin-left:20pt;mso-position-horizontal:left;mso-position-horizontal-relative:text">
                <v:textbox>
                  <w:txbxContent>
                    <w:p>
                      <w:pPr>
                        <w:pStyle w:val="TextBody"/>
                        <w:bidi w:val="0"/>
                        <w:spacing w:lineRule="atLeast" w:line="252"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52" w:before="82"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Board believes that the appointment of a strong independent Lead Director and the use of regular executive sessions of the non-management directors, along with the Board’s strong committee system and all directors being independent except for Mr. Jagdfeld, allow it to maintain effective oversight of management and the Company.</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2070" distB="0" distL="254000" distR="0" simplePos="0" locked="0" layoutInCell="1" allowOverlap="1" relativeHeight="270">
                <wp:simplePos x="0" y="0"/>
                <wp:positionH relativeFrom="column">
                  <wp:align>left</wp:align>
                </wp:positionH>
                <wp:positionV relativeFrom="line">
                  <wp:align>top</wp:align>
                </wp:positionV>
                <wp:extent cx="254000" cy="350520"/>
                <wp:effectExtent l="0" t="0" r="0" b="0"/>
                <wp:wrapSquare wrapText="right"/>
                <wp:docPr id="199" name="Frame1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1pt;mso-wrap-distance-bottom:0pt;margin-top:4.1pt;mso-position-vertical:top;mso-position-vertical-relative:text;margin-left:20pt;mso-position-horizontal:left;mso-position-horizontal-relative:text">
                <v:textbox>
                  <w:txbxContent>
                    <w:p>
                      <w:pPr>
                        <w:pStyle w:val="TextBody"/>
                        <w:bidi w:val="0"/>
                        <w:spacing w:lineRule="atLeast" w:line="252"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Stockholders and other parties interested in communicating directly with Mr. Bennett Morgan as Lead Director may do so by writing to Mr. Bennett Morgan, Lead Director, c/o Generac Holdings Inc., S45 W29290 Highway. 59, Waukesha, Wisconsin 53189.</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400" w:before="240" w:after="283"/>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Attendance at Meetings</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6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It is our policy that each director is expected to dedicate sufficient time to the performance of his or her duties as a director, including by attending meetings of the stockholders, Board of Directors, and committees of which he or she is a member. All then-serving members of the Board of Directors attended the 2025 annual meeting of stockholders.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In 2025, the Board of Directors held six meetings (including regularly scheduled and special meetings) and took action by unanimous written consent from time to time. All incumbent directors attended at least 75% of (i) the total number of meetings of the Board of Directors (held during the period for which he or she has been a director); and (ii) the total number of meetings held by all committees on which he or she served (during the periods that he or she served).</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400" w:before="240" w:after="283"/>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Stockholder Communications with the Board of Directors</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Stockholders and other parties interested in communicating directly with the Board of Directors, whether individually or as a group, may do so by writing to the Board of Directors, c/o Generac Holdings Inc., S45 W29290 Highway 59, Waukesha, Wisconsin 53189. The Secretary will review all correspondence and regularly forward to the Board of Directors all such correspondence that, in the opinion of the Secretary, deals with the functions of the Board of Directors or committees thereof, or that the Secretary otherwise determines requires attention. Concerns relating to </w:t>
      </w:r>
    </w:p>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200"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52" descr=""/>
                          <pic:cNvPicPr>
                            <a:picLocks noChangeAspect="1" noChangeArrowheads="1"/>
                          </pic:cNvPicPr>
                        </pic:nvPicPr>
                        <pic:blipFill>
                          <a:blip r:embed="rId63"/>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22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rFonts w:ascii="Arial;Helvetica;sans-serif" w:hAnsi="Arial;Helvetica;sans-serif"/>
          <w:b w:val="false"/>
          <w:i w:val="false"/>
          <w:caps w:val="false"/>
          <w:smallCaps w:val="false"/>
          <w:color w:val="FF6A00"/>
          <w:spacing w:val="-2"/>
          <w:sz w:val="22"/>
        </w:rPr>
      </w:pPr>
      <w:r>
        <w:rPr>
          <w:rFonts w:ascii="Arial;Helvetica;sans-serif" w:hAnsi="Arial;Helvetica;sans-serif"/>
          <w:b w:val="false"/>
          <w:i w:val="false"/>
          <w:caps w:val="false"/>
          <w:smallCaps w:val="false"/>
          <w:color w:val="FF6A00"/>
          <w:spacing w:val="-2"/>
          <w:sz w:val="22"/>
        </w:rPr>
        <w:t xml:space="preserve">CORPORATE GOVERNANCE </w:t>
      </w:r>
    </w:p>
    <w:p>
      <w:pPr>
        <w:pStyle w:val="TextBody"/>
        <w:bidi w:val="0"/>
        <w:spacing w:lineRule="atLeast" w:line="250" w:before="480" w:after="283"/>
        <w:ind w:left="11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 xml:space="preserve">accounting, internal controls, or auditing matters will immediately be brought to the attention of the Chair of the Audit Committee. We have adopted a Whistleblower Policy, which establishes procedures for submitting these types of concerns, either personally or anonymously through a toll-free telephone “hotline” or web transmission operated by an independent party. Our Whistleblower Policy can be found on the Company’s website at </w:t>
      </w:r>
      <w:r>
        <w:rPr>
          <w:rFonts w:ascii="Arial;Helvetica;sans-serif" w:hAnsi="Arial;Helvetica;sans-serif"/>
          <w:b w:val="false"/>
          <w:i w:val="false"/>
          <w:caps w:val="false"/>
          <w:smallCaps w:val="false"/>
          <w:color w:val="FF6A00"/>
          <w:spacing w:val="-2"/>
          <w:sz w:val="22"/>
        </w:rPr>
        <w:t>www.generac.com</w:t>
      </w:r>
      <w:r>
        <w:rPr>
          <w:rFonts w:ascii="Arial;Helvetica;sans-serif" w:hAnsi="Arial;Helvetica;sans-serif"/>
          <w:b w:val="false"/>
          <w:i w:val="false"/>
          <w:caps w:val="false"/>
          <w:smallCaps w:val="false"/>
          <w:color w:val="000000"/>
          <w:spacing w:val="-2"/>
          <w:sz w:val="22"/>
        </w:rPr>
        <w:t>.</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Stockholders and other parties interested in communicating directly with Mr. Andrew Lampereur, as Chair of the Audit Committee, may do so by writing to Mr. Lampereur, Chair, Audit Committee, c/o Generac Holdings Inc., S45 W29290 Highway 59, Waukesha, Wisconsin 53189.</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400" w:before="240" w:after="283"/>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Code of Conduct</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 xml:space="preserve">We have adopted a Code of Conduct (the “Code”), that applies to all our directors, officers and employees, including our principal executive officer and principal financial accounting officer. In addition, we have adopted a Supplemental Code of Conduct and Ethics (the “Supplement”) that applies to all our directors and executive officers, including our principal executive officer and principal financial accounting officer. The Code and the Supplement are both posted on our website at </w:t>
      </w:r>
      <w:r>
        <w:rPr>
          <w:rFonts w:ascii="Arial;Helvetica;sans-serif" w:hAnsi="Arial;Helvetica;sans-serif"/>
          <w:b w:val="false"/>
          <w:i w:val="false"/>
          <w:caps w:val="false"/>
          <w:smallCaps w:val="false"/>
          <w:color w:val="FF6A00"/>
          <w:spacing w:val="-2"/>
          <w:sz w:val="22"/>
        </w:rPr>
        <w:t>www.generac.com</w:t>
      </w:r>
      <w:r>
        <w:rPr>
          <w:rFonts w:ascii="Arial;Helvetica;sans-serif" w:hAnsi="Arial;Helvetica;sans-serif"/>
          <w:b w:val="false"/>
          <w:i w:val="false"/>
          <w:caps w:val="false"/>
          <w:smallCaps w:val="false"/>
          <w:color w:val="000000"/>
          <w:spacing w:val="-2"/>
          <w:sz w:val="22"/>
        </w:rPr>
        <w:t xml:space="preserve">. Any amendments to, or waivers under, the Code or the Supplement which are required to be disclosed by the rules promulgated by the SEC will be disclosed on the Company’s website at </w:t>
      </w:r>
      <w:r>
        <w:rPr>
          <w:rFonts w:ascii="Arial;Helvetica;sans-serif" w:hAnsi="Arial;Helvetica;sans-serif"/>
          <w:b w:val="false"/>
          <w:i w:val="false"/>
          <w:caps w:val="false"/>
          <w:smallCaps w:val="false"/>
          <w:color w:val="FF6A00"/>
          <w:spacing w:val="-2"/>
          <w:sz w:val="22"/>
        </w:rPr>
        <w:t>www.generac.com</w:t>
      </w:r>
      <w:r>
        <w:rPr>
          <w:rFonts w:ascii="Arial;Helvetica;sans-serif" w:hAnsi="Arial;Helvetica;sans-serif"/>
          <w:b w:val="false"/>
          <w:i w:val="false"/>
          <w:caps w:val="false"/>
          <w:smallCaps w:val="false"/>
          <w:color w:val="000000"/>
          <w:spacing w:val="-2"/>
          <w:sz w:val="22"/>
        </w:rPr>
        <w:t>.</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400" w:before="240" w:after="283"/>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Corporate Governance Guidelines and Principles</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 xml:space="preserve">We have adopted Corporate Governance Guidelines and Principles. These guidelines outline the role of our Board of Directors, the composition and operating principles of our Board of Directors and its committees, and our Board of Directors’ working process. Our Corporate Governance Guidelines and Principles are posted on our website at </w:t>
      </w:r>
      <w:r>
        <w:rPr>
          <w:rFonts w:ascii="Arial;Helvetica;sans-serif" w:hAnsi="Arial;Helvetica;sans-serif"/>
          <w:b w:val="false"/>
          <w:i w:val="false"/>
          <w:caps w:val="false"/>
          <w:smallCaps w:val="false"/>
          <w:color w:val="FF6A00"/>
          <w:spacing w:val="-2"/>
          <w:sz w:val="22"/>
        </w:rPr>
        <w:t>www.generac.com</w:t>
      </w:r>
      <w:r>
        <w:rPr>
          <w:rFonts w:ascii="Arial;Helvetica;sans-serif" w:hAnsi="Arial;Helvetica;sans-serif"/>
          <w:b w:val="false"/>
          <w:i w:val="false"/>
          <w:caps w:val="false"/>
          <w:smallCaps w:val="false"/>
          <w:color w:val="000000"/>
          <w:spacing w:val="-2"/>
          <w:sz w:val="22"/>
        </w:rPr>
        <w:t>.</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400" w:before="240" w:after="283"/>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Insider Trading Policy</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We have an Insider Trading Policy governing the purchase, sale and/or other dispositions of its securities by our directors, officers, and employees that the company believes is reasonably designed to promote compliance with insider trading laws, rules and regulations, and NYSE listing standards. It is also the policy of the Company to comply with all applicable securities laws and listing standards when transacting in its own securities or the securities of others.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Under our Insider Trading Policy, officers, directors, and certain employees, including their family members, are prohibited from short selling Company stock or engaging in hedging transactions, including forward sale contracts, equity swaps, collars, or similar derivatives. These individuals are also prohibited from purchasing publicly traded options, engaging in short swing transactions, or directly or indirectly pledging Company securities, including holding such securities in margin accounts. This prohibition does not restrict general portfolio diversification or investments in broad based index funds.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400" w:before="240" w:after="283"/>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Our Practices Regarding Sustainability</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 xml:space="preserve">In April 2025, we published the latest edition of our Sustainability and Impact Report (“Sustainability Report”), which also may be found at </w:t>
      </w:r>
      <w:r>
        <w:rPr>
          <w:rFonts w:ascii="Arial;Helvetica;sans-serif" w:hAnsi="Arial;Helvetica;sans-serif"/>
          <w:b w:val="false"/>
          <w:i w:val="false"/>
          <w:caps w:val="false"/>
          <w:smallCaps w:val="false"/>
          <w:color w:val="FF6A00"/>
          <w:spacing w:val="-2"/>
          <w:sz w:val="22"/>
        </w:rPr>
        <w:t>www.generac.com</w:t>
      </w:r>
      <w:r>
        <w:rPr>
          <w:rFonts w:ascii="Arial;Helvetica;sans-serif" w:hAnsi="Arial;Helvetica;sans-serif"/>
          <w:b w:val="false"/>
          <w:i w:val="false"/>
          <w:caps w:val="false"/>
          <w:smallCaps w:val="false"/>
          <w:color w:val="000000"/>
          <w:spacing w:val="-2"/>
          <w:sz w:val="22"/>
        </w:rPr>
        <w:t>.</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60" w:before="200" w:after="283"/>
        <w:jc w:val="left"/>
        <w:rPr>
          <w:rFonts w:ascii="Arial;Helvetica;sans-serif" w:hAnsi="Arial;Helvetica;sans-serif"/>
          <w:b w:val="false"/>
          <w:i/>
          <w:caps w:val="false"/>
          <w:smallCaps w:val="false"/>
          <w:color w:val="FF6A00"/>
          <w:sz w:val="22"/>
        </w:rPr>
      </w:pPr>
      <w:r>
        <w:rPr>
          <w:rFonts w:ascii="Arial;Helvetica;sans-serif" w:hAnsi="Arial;Helvetica;sans-serif"/>
          <w:b w:val="false"/>
          <w:i/>
          <w:caps w:val="false"/>
          <w:smallCaps w:val="false"/>
          <w:color w:val="FF6A00"/>
          <w:sz w:val="22"/>
        </w:rPr>
        <w:t>Political Contributions</w:t>
      </w:r>
      <w:r>
        <w:rPr>
          <w:rFonts w:ascii="Arial;Helvetica;sans-serif" w:hAnsi="Arial;Helvetica;sans-serif"/>
          <w:b w:val="false"/>
          <w:i/>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It is Generac’s policy that Company funds or assets will not be used to make a political contribution to any political party or candidate, unless approval has been given by the Board of Directors or </w:t>
      </w:r>
    </w:p>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201"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53" descr=""/>
                          <pic:cNvPicPr>
                            <a:picLocks noChangeAspect="1" noChangeArrowheads="1"/>
                          </pic:cNvPicPr>
                        </pic:nvPicPr>
                        <pic:blipFill>
                          <a:blip r:embed="rId64"/>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23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rFonts w:ascii="Arial;Helvetica;sans-serif" w:hAnsi="Arial;Helvetica;sans-serif"/>
          <w:b w:val="false"/>
          <w:i w:val="false"/>
          <w:caps w:val="false"/>
          <w:smallCaps w:val="false"/>
          <w:color w:val="FF6A00"/>
          <w:spacing w:val="-2"/>
          <w:sz w:val="22"/>
        </w:rPr>
      </w:pPr>
      <w:r>
        <w:rPr>
          <w:rFonts w:ascii="Arial;Helvetica;sans-serif" w:hAnsi="Arial;Helvetica;sans-serif"/>
          <w:b w:val="false"/>
          <w:i w:val="false"/>
          <w:caps w:val="false"/>
          <w:smallCaps w:val="false"/>
          <w:color w:val="FF6A00"/>
          <w:spacing w:val="-2"/>
          <w:sz w:val="22"/>
        </w:rPr>
        <w:t xml:space="preserve">CORPORATE GOVERNANCE </w:t>
      </w:r>
    </w:p>
    <w:p>
      <w:pPr>
        <w:pStyle w:val="TextBody"/>
        <w:bidi w:val="0"/>
        <w:spacing w:lineRule="atLeast" w:line="250" w:before="480" w:after="120"/>
        <w:ind w:left="11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its authorized designee. Generac did not contribute to any political parties or candidates in 2025. In addition, Generac has not organized or established any political action committee.</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60" w:before="200" w:after="283"/>
        <w:jc w:val="left"/>
        <w:rPr>
          <w:rFonts w:ascii="Arial;Helvetica;sans-serif" w:hAnsi="Arial;Helvetica;sans-serif"/>
          <w:b w:val="false"/>
          <w:i/>
          <w:caps w:val="false"/>
          <w:smallCaps w:val="false"/>
          <w:color w:val="FF6A00"/>
          <w:sz w:val="22"/>
        </w:rPr>
      </w:pPr>
      <w:r>
        <w:rPr>
          <w:rFonts w:ascii="Arial;Helvetica;sans-serif" w:hAnsi="Arial;Helvetica;sans-serif"/>
          <w:b w:val="false"/>
          <w:i/>
          <w:caps w:val="false"/>
          <w:smallCaps w:val="false"/>
          <w:color w:val="FF6A00"/>
          <w:sz w:val="22"/>
        </w:rPr>
        <w:t>Website Information</w:t>
      </w:r>
      <w:r>
        <w:rPr>
          <w:rFonts w:ascii="Arial;Helvetica;sans-serif" w:hAnsi="Arial;Helvetica;sans-serif"/>
          <w:b w:val="false"/>
          <w:i/>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Website references and their hyperlinks throughout this document are provided for convenience only, and the content of the referenced websites, including but not limited to the content contained in our Sustainability Report, is not incorporated by reference into this proxy statement, nor does it constitute a part of this proxy statement.</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400" w:before="240" w:after="283"/>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Human Capital and Compensation Committee Interlocks and Insider Participation</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In 2025, the members of our Human Capital and Compensation Committee were Marcia Avedon (Chairperson), John Bowlin</w:t>
      </w:r>
      <w:r>
        <w:rPr>
          <w:rFonts w:ascii="Arial;Helvetica;sans-serif" w:hAnsi="Arial;Helvetica;sans-serif"/>
          <w:b w:val="false"/>
          <w:i w:val="false"/>
          <w:caps w:val="false"/>
          <w:smallCaps w:val="false"/>
          <w:color w:val="000000"/>
          <w:spacing w:val="-2"/>
          <w:sz w:val="17"/>
        </w:rPr>
        <w:t>1</w:t>
      </w:r>
      <w:r>
        <w:rPr>
          <w:rFonts w:ascii="Arial;Helvetica;sans-serif" w:hAnsi="Arial;Helvetica;sans-serif"/>
          <w:b w:val="false"/>
          <w:i w:val="false"/>
          <w:caps w:val="false"/>
          <w:smallCaps w:val="false"/>
          <w:color w:val="000000"/>
          <w:spacing w:val="-2"/>
          <w:sz w:val="22"/>
        </w:rPr>
        <w:t xml:space="preserve">, William Jenkins, Bennett Morgan, Nam Nguyen, and Dominick Zarcone. No member of the Human Capital and Compensation Committee was, during 2025 or previously, an officer or employee of Generac or its subsidiaries. In addition, during 2025, there were no Human Capital and Compensation Committee interlocks required to be disclosed. </w:t>
      </w:r>
    </w:p>
    <w:p>
      <w:pPr>
        <w:pStyle w:val="TextBody"/>
        <w:bidi w:val="0"/>
        <w:spacing w:before="0" w:after="283"/>
        <w:ind w:left="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60" w:before="180" w:after="0"/>
        <w:ind w:left="40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Mr. Bowlin served on the Human Capital and Compensation Committee until June 2025, at which time he did not stand for reelection and retired from the Board.</w:t>
      </w:r>
      <w:r>
        <w:rPr>
          <w:rFonts w:ascii="Arial;Helvetica;sans-serif" w:hAnsi="Arial;Helvetica;sans-serif"/>
          <w:b w:val="false"/>
          <w:i w:val="false"/>
          <w:caps w:val="false"/>
          <w:smallCaps w:val="false"/>
          <w:color w:val="000000"/>
          <w:sz w:val="22"/>
        </w:rPr>
        <w:t xml:space="preserve"> </w:t>
      </w:r>
      <w:r>
        <mc:AlternateContent>
          <mc:Choice Requires="wps">
            <w:drawing>
              <wp:anchor behindDoc="0" distT="127000" distB="0" distL="0" distR="0" simplePos="0" locked="0" layoutInCell="1" allowOverlap="1" relativeHeight="271">
                <wp:simplePos x="0" y="0"/>
                <wp:positionH relativeFrom="column">
                  <wp:align>left</wp:align>
                </wp:positionH>
                <wp:positionV relativeFrom="line">
                  <wp:align>top</wp:align>
                </wp:positionV>
                <wp:extent cx="254000" cy="350520"/>
                <wp:effectExtent l="0" t="0" r="0" b="0"/>
                <wp:wrapSquare wrapText="right"/>
                <wp:docPr id="202" name="Frame1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2"/>
                                <w:sz w:val="17"/>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before="0" w:after="283"/>
                        <w:jc w:val="left"/>
                        <w:rPr/>
                      </w:pPr>
                      <w:r>
                        <w:rPr>
                          <w:spacing w:val="-2"/>
                          <w:sz w:val="17"/>
                        </w:rPr>
                        <w:t>1</w:t>
                      </w:r>
                      <w:r>
                        <w:rPr/>
                        <w:t xml:space="preserve"> </w:t>
                        <w:br/>
                      </w:r>
                    </w:p>
                  </w:txbxContent>
                </v:textbox>
                <w10:wrap type="square" side="right"/>
              </v:rect>
            </w:pict>
          </mc:Fallback>
        </mc:AlternateContent>
      </w:r>
    </w:p>
    <w:p>
      <w:pPr>
        <w:pStyle w:val="TextBody"/>
        <w:bidi w:val="0"/>
        <w:spacing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203"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54" descr=""/>
                          <pic:cNvPicPr>
                            <a:picLocks noChangeAspect="1" noChangeArrowheads="1"/>
                          </pic:cNvPicPr>
                        </pic:nvPicPr>
                        <pic:blipFill>
                          <a:blip r:embed="rId65"/>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24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BOOO"/>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520" w:before="1100" w:after="283"/>
        <w:ind w:left="1140" w:right="0" w:hanging="0"/>
        <w:jc w:val="left"/>
        <w:rPr>
          <w:rFonts w:ascii="Arial;Helvetica;sans-serif" w:hAnsi="Arial;Helvetica;sans-serif"/>
          <w:b w:val="false"/>
          <w:i w:val="false"/>
          <w:caps w:val="false"/>
          <w:smallCaps w:val="false"/>
          <w:color w:val="000000"/>
          <w:sz w:val="48"/>
        </w:rPr>
      </w:pPr>
      <w:r>
        <w:rPr>
          <w:rFonts w:ascii="Arial;Helvetica;sans-serif" w:hAnsi="Arial;Helvetica;sans-serif"/>
          <w:b w:val="false"/>
          <w:i w:val="false"/>
          <w:caps w:val="false"/>
          <w:smallCaps w:val="false"/>
          <w:color w:val="000000"/>
          <w:spacing w:val="-5"/>
          <w:sz w:val="48"/>
        </w:rPr>
        <w:t>Beneficial Ownership of our Common Stock</w:t>
      </w:r>
      <w:r>
        <w:rPr>
          <w:rFonts w:ascii="Arial;Helvetica;sans-serif" w:hAnsi="Arial;Helvetica;sans-serif"/>
          <w:b w:val="false"/>
          <w:i w:val="false"/>
          <w:caps w:val="false"/>
          <w:smallCaps w:val="false"/>
          <w:color w:val="000000"/>
          <w:spacing w:val="10"/>
          <w:sz w:val="48"/>
        </w:rPr>
        <w:t xml:space="preserve"> </w:t>
      </w:r>
    </w:p>
    <w:p>
      <w:pPr>
        <w:pStyle w:val="TextBody"/>
        <w:bidi w:val="0"/>
        <w:spacing w:lineRule="atLeast" w:line="26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following table shows information regarding the beneficial ownership of our common stock as of April 16, 2026, by:</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2" w:before="96"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each person or group who is known to own beneficially more than five percent of our common stock;</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60960" distB="0" distL="254000" distR="0" simplePos="0" locked="0" layoutInCell="1" allowOverlap="1" relativeHeight="272">
                <wp:simplePos x="0" y="0"/>
                <wp:positionH relativeFrom="column">
                  <wp:align>left</wp:align>
                </wp:positionH>
                <wp:positionV relativeFrom="line">
                  <wp:align>top</wp:align>
                </wp:positionV>
                <wp:extent cx="254000" cy="350520"/>
                <wp:effectExtent l="0" t="0" r="0" b="0"/>
                <wp:wrapSquare wrapText="right"/>
                <wp:docPr id="204" name="Frame1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spacing w:val="-2"/>
                              </w:rPr>
                              <w:t>•</w:t>
                            </w:r>
                            <w:r>
                              <w:rPr/>
                              <w:t xml:space="preserve"> </w:t>
                            </w:r>
                            <w:r>
                              <w:rPr>
                                <w:sz w:val="22"/>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52" w:before="0" w:after="283"/>
                        <w:jc w:val="left"/>
                        <w:rPr/>
                      </w:pPr>
                      <w:r>
                        <w:rPr>
                          <w:color w:val="FF6A00"/>
                          <w:spacing w:val="-2"/>
                        </w:rPr>
                        <w:t>•</w:t>
                      </w:r>
                      <w:r>
                        <w:rPr/>
                        <w:t xml:space="preserve"> </w:t>
                      </w:r>
                      <w:r>
                        <w:rPr>
                          <w:sz w:val="22"/>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52" w:before="102"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each member of our Board of Directors, each nominee for election as a director, and each of our named executive officers; and</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64770" distB="0" distL="254000" distR="0" simplePos="0" locked="0" layoutInCell="1" allowOverlap="1" relativeHeight="273">
                <wp:simplePos x="0" y="0"/>
                <wp:positionH relativeFrom="column">
                  <wp:align>left</wp:align>
                </wp:positionH>
                <wp:positionV relativeFrom="line">
                  <wp:align>top</wp:align>
                </wp:positionV>
                <wp:extent cx="254000" cy="350520"/>
                <wp:effectExtent l="0" t="0" r="0" b="0"/>
                <wp:wrapSquare wrapText="right"/>
                <wp:docPr id="205" name="Frame1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spacing w:val="-2"/>
                              </w:rPr>
                              <w:t>•</w:t>
                            </w:r>
                            <w:r>
                              <w:rPr/>
                              <w:t xml:space="preserve"> </w:t>
                            </w:r>
                            <w:r>
                              <w:rPr>
                                <w:sz w:val="22"/>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52" w:before="0" w:after="283"/>
                        <w:jc w:val="left"/>
                        <w:rPr/>
                      </w:pPr>
                      <w:r>
                        <w:rPr>
                          <w:color w:val="FF6A00"/>
                          <w:spacing w:val="-2"/>
                        </w:rPr>
                        <w:t>•</w:t>
                      </w:r>
                      <w:r>
                        <w:rPr/>
                        <w:t xml:space="preserve"> </w:t>
                      </w:r>
                      <w:r>
                        <w:rPr>
                          <w:sz w:val="22"/>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52" w:before="102"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all members of our Board of Directors and our executive officers as a group.</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64770" distB="0" distL="254000" distR="0" simplePos="0" locked="0" layoutInCell="1" allowOverlap="1" relativeHeight="274">
                <wp:simplePos x="0" y="0"/>
                <wp:positionH relativeFrom="column">
                  <wp:align>left</wp:align>
                </wp:positionH>
                <wp:positionV relativeFrom="line">
                  <wp:align>top</wp:align>
                </wp:positionV>
                <wp:extent cx="254000" cy="350520"/>
                <wp:effectExtent l="0" t="0" r="0" b="0"/>
                <wp:wrapSquare wrapText="right"/>
                <wp:docPr id="206" name="Frame1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spacing w:val="-2"/>
                              </w:rPr>
                              <w:t>•</w:t>
                            </w:r>
                            <w:r>
                              <w:rPr/>
                              <w:t xml:space="preserve"> </w:t>
                            </w:r>
                            <w:r>
                              <w:rPr>
                                <w:sz w:val="22"/>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52" w:before="0" w:after="283"/>
                        <w:jc w:val="left"/>
                        <w:rPr/>
                      </w:pPr>
                      <w:r>
                        <w:rPr>
                          <w:color w:val="FF6A00"/>
                          <w:spacing w:val="-2"/>
                        </w:rPr>
                        <w:t>•</w:t>
                      </w:r>
                      <w:r>
                        <w:rPr/>
                        <w:t xml:space="preserve"> </w:t>
                      </w:r>
                      <w:r>
                        <w:rPr>
                          <w:sz w:val="22"/>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Beneficial ownership of shares is determined under rules of the SEC, and generally includes any shares over which a person exercises sole or shared voting or investment power. Except as noted by footnote, and subject to community property laws where applicable, we believe based on the information provided to us that the persons and entities named in the table below have sole voting and investment power with respect to all shares of our common stock shown as beneficially owned by them.</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6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Unless otherwise indicated, the address for each holder listed below is c/o Generac Holdings Inc., S45 W29290 Highway 59, Waukesha, Wisconsin 53189.</w:t>
      </w:r>
      <w:r>
        <w:rPr>
          <w:rFonts w:ascii="Arial;Helvetica;sans-serif" w:hAnsi="Arial;Helvetica;sans-serif"/>
          <w:b w:val="false"/>
          <w:i w:val="false"/>
          <w:caps w:val="false"/>
          <w:smallCaps w:val="false"/>
          <w:color w:val="000000"/>
          <w:spacing w:val="4"/>
          <w:sz w:val="22"/>
        </w:rPr>
        <w:t xml:space="preserve"> </w:t>
      </w:r>
    </w:p>
    <w:tbl>
      <w:tblPr>
        <w:tblW w:w="9065" w:type="dxa"/>
        <w:jc w:val="left"/>
        <w:tblInd w:w="1140" w:type="dxa"/>
        <w:tblLayout w:type="fixed"/>
        <w:tblCellMar>
          <w:top w:w="0" w:type="dxa"/>
          <w:left w:w="0" w:type="dxa"/>
          <w:bottom w:w="0" w:type="dxa"/>
          <w:right w:w="0" w:type="dxa"/>
        </w:tblCellMar>
      </w:tblPr>
      <w:tblGrid>
        <w:gridCol w:w="124"/>
        <w:gridCol w:w="5618"/>
        <w:gridCol w:w="109"/>
        <w:gridCol w:w="109"/>
        <w:gridCol w:w="109"/>
        <w:gridCol w:w="109"/>
        <w:gridCol w:w="1100"/>
        <w:gridCol w:w="109"/>
        <w:gridCol w:w="109"/>
        <w:gridCol w:w="109"/>
        <w:gridCol w:w="192"/>
        <w:gridCol w:w="192"/>
        <w:gridCol w:w="722"/>
        <w:gridCol w:w="196"/>
        <w:gridCol w:w="158"/>
      </w:tblGrid>
      <w:tr>
        <w:trPr/>
        <w:tc>
          <w:tcPr>
            <w:tcW w:w="124" w:type="dxa"/>
            <w:tcBorders/>
            <w:shd w:fill="FF6A00" w:val="clear"/>
            <w:vAlign w:val="center"/>
          </w:tcPr>
          <w:p>
            <w:pPr>
              <w:pStyle w:val="TableContents"/>
              <w:bidi w:val="0"/>
              <w:spacing w:before="0" w:after="283"/>
              <w:jc w:val="left"/>
              <w:rPr/>
            </w:pPr>
            <w:r>
              <w:rPr/>
              <w:t>​</w:t>
            </w:r>
          </w:p>
        </w:tc>
        <w:tc>
          <w:tcPr>
            <w:tcW w:w="5618" w:type="dxa"/>
            <w:tcBorders/>
            <w:shd w:fill="FF6A00" w:val="clear"/>
            <w:vAlign w:val="center"/>
          </w:tcPr>
          <w:p>
            <w:pPr>
              <w:pStyle w:val="TableContents"/>
              <w:bidi w:val="0"/>
              <w:spacing w:before="0" w:after="0"/>
              <w:jc w:val="left"/>
              <w:rPr>
                <w:spacing w:val="-2"/>
              </w:rPr>
            </w:pPr>
            <w:r>
              <w:rPr>
                <w:spacing w:val="-2"/>
              </w:rPr>
              <w:t xml:space="preserve">Name and address of beneficial owner </w:t>
            </w:r>
          </w:p>
        </w:tc>
        <w:tc>
          <w:tcPr>
            <w:tcW w:w="109"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427" w:type="dxa"/>
            <w:gridSpan w:val="4"/>
            <w:tcBorders/>
            <w:shd w:fill="FF6A00" w:val="clear"/>
            <w:vAlign w:val="center"/>
          </w:tcPr>
          <w:p>
            <w:pPr>
              <w:pStyle w:val="TableContents"/>
              <w:bidi w:val="0"/>
              <w:spacing w:before="0" w:after="0"/>
              <w:jc w:val="center"/>
              <w:rPr>
                <w:spacing w:val="-2"/>
              </w:rPr>
            </w:pPr>
            <w:r>
              <w:rPr>
                <w:spacing w:val="-2"/>
              </w:rPr>
              <w:t xml:space="preserve">Number of </w:t>
              <w:br/>
              <w:t xml:space="preserve">Shares </w:t>
            </w:r>
          </w:p>
        </w:tc>
        <w:tc>
          <w:tcPr>
            <w:tcW w:w="109"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302" w:type="dxa"/>
            <w:gridSpan w:val="4"/>
            <w:tcBorders/>
            <w:shd w:fill="FF6A00" w:val="clear"/>
            <w:vAlign w:val="center"/>
          </w:tcPr>
          <w:p>
            <w:pPr>
              <w:pStyle w:val="TableContents"/>
              <w:bidi w:val="0"/>
              <w:spacing w:before="0" w:after="0"/>
              <w:jc w:val="center"/>
              <w:rPr>
                <w:spacing w:val="-2"/>
              </w:rPr>
            </w:pPr>
            <w:r>
              <w:rPr>
                <w:spacing w:val="-2"/>
              </w:rPr>
              <w:t xml:space="preserve">Percentage of </w:t>
              <w:br/>
              <w:t xml:space="preserve">Shares </w:t>
            </w:r>
          </w:p>
        </w:tc>
        <w:tc>
          <w:tcPr>
            <w:tcW w:w="158" w:type="dxa"/>
            <w:tcBorders/>
            <w:shd w:fill="FF6A00"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618" w:type="dxa"/>
            <w:tcBorders/>
            <w:vAlign w:val="center"/>
          </w:tcPr>
          <w:p>
            <w:pPr>
              <w:pStyle w:val="TableContents"/>
              <w:bidi w:val="0"/>
              <w:spacing w:before="0" w:after="283"/>
              <w:jc w:val="left"/>
              <w:rPr/>
            </w:pPr>
            <w:r>
              <w:rPr>
                <w:spacing w:val="-2"/>
              </w:rPr>
              <w:t>Principal stockholders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00"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w:t>
            </w:r>
          </w:p>
        </w:tc>
        <w:tc>
          <w:tcPr>
            <w:tcW w:w="196"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shd w:fill="B2B2B2" w:val="clear"/>
            <w:vAlign w:val="center"/>
          </w:tcPr>
          <w:p>
            <w:pPr>
              <w:pStyle w:val="TableContents"/>
              <w:bidi w:val="0"/>
              <w:spacing w:before="0" w:after="283"/>
              <w:jc w:val="left"/>
              <w:rPr/>
            </w:pPr>
            <w:r>
              <w:rPr/>
              <w:t>​</w:t>
            </w:r>
          </w:p>
        </w:tc>
        <w:tc>
          <w:tcPr>
            <w:tcW w:w="5618" w:type="dxa"/>
            <w:tcBorders/>
            <w:shd w:fill="B2B2B2" w:val="clear"/>
            <w:vAlign w:val="center"/>
          </w:tcPr>
          <w:p>
            <w:pPr>
              <w:pStyle w:val="TableContents"/>
              <w:bidi w:val="0"/>
              <w:spacing w:before="0" w:after="283"/>
              <w:jc w:val="left"/>
              <w:rPr/>
            </w:pPr>
            <w:r>
              <w:rPr>
                <w:spacing w:val="-2"/>
              </w:rPr>
              <w:t>BlackRock, Inc.</w:t>
            </w:r>
            <w:r>
              <w:rPr>
                <w:spacing w:val="-2"/>
                <w:sz w:val="13"/>
              </w:rPr>
              <w:t>(1)</w:t>
            </w:r>
            <w:r>
              <w:rPr/>
              <w:t xml:space="preserve"> </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right"/>
              <w:rPr/>
            </w:pPr>
            <w:r>
              <w:rPr/>
              <w:t>​</w:t>
            </w:r>
          </w:p>
        </w:tc>
        <w:tc>
          <w:tcPr>
            <w:tcW w:w="1100" w:type="dxa"/>
            <w:tcBorders/>
            <w:shd w:fill="B2B2B2" w:val="clear"/>
            <w:vAlign w:val="center"/>
          </w:tcPr>
          <w:p>
            <w:pPr>
              <w:pStyle w:val="TableContents"/>
              <w:bidi w:val="0"/>
              <w:spacing w:before="0" w:after="283"/>
              <w:jc w:val="right"/>
              <w:rPr/>
            </w:pPr>
            <w:r>
              <w:rPr/>
              <w:t>3,652,509</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92" w:type="dxa"/>
            <w:tcBorders/>
            <w:shd w:fill="B2B2B2" w:val="clear"/>
            <w:vAlign w:val="center"/>
          </w:tcPr>
          <w:p>
            <w:pPr>
              <w:pStyle w:val="TableContents"/>
              <w:bidi w:val="0"/>
              <w:spacing w:before="0" w:after="283"/>
              <w:jc w:val="left"/>
              <w:rPr/>
            </w:pPr>
            <w:r>
              <w:rPr/>
              <w:t>​</w:t>
            </w:r>
          </w:p>
        </w:tc>
        <w:tc>
          <w:tcPr>
            <w:tcW w:w="192" w:type="dxa"/>
            <w:tcBorders/>
            <w:shd w:fill="B2B2B2" w:val="clear"/>
            <w:vAlign w:val="center"/>
          </w:tcPr>
          <w:p>
            <w:pPr>
              <w:pStyle w:val="TableContents"/>
              <w:bidi w:val="0"/>
              <w:spacing w:before="0" w:after="283"/>
              <w:jc w:val="right"/>
              <w:rPr/>
            </w:pPr>
            <w:r>
              <w:rPr/>
              <w:t>​</w:t>
            </w:r>
          </w:p>
        </w:tc>
        <w:tc>
          <w:tcPr>
            <w:tcW w:w="722" w:type="dxa"/>
            <w:tcBorders/>
            <w:shd w:fill="B2B2B2" w:val="clear"/>
            <w:vAlign w:val="center"/>
          </w:tcPr>
          <w:p>
            <w:pPr>
              <w:pStyle w:val="TableContents"/>
              <w:bidi w:val="0"/>
              <w:spacing w:before="0" w:after="283"/>
              <w:jc w:val="right"/>
              <w:rPr/>
            </w:pPr>
            <w:r>
              <w:rPr/>
              <w:t>6.2%</w:t>
            </w:r>
          </w:p>
        </w:tc>
        <w:tc>
          <w:tcPr>
            <w:tcW w:w="196" w:type="dxa"/>
            <w:tcBorders/>
            <w:shd w:fill="B2B2B2" w:val="clear"/>
            <w:vAlign w:val="center"/>
          </w:tcPr>
          <w:p>
            <w:pPr>
              <w:pStyle w:val="TableContents"/>
              <w:bidi w:val="0"/>
              <w:spacing w:before="0" w:after="283"/>
              <w:jc w:val="left"/>
              <w:rPr/>
            </w:pPr>
            <w:r>
              <w:rPr/>
              <w:t>​</w:t>
            </w:r>
          </w:p>
        </w:tc>
        <w:tc>
          <w:tcPr>
            <w:tcW w:w="158" w:type="dxa"/>
            <w:tcBorders/>
            <w:shd w:fill="B2B2B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618" w:type="dxa"/>
            <w:tcBorders/>
            <w:vAlign w:val="center"/>
          </w:tcPr>
          <w:p>
            <w:pPr>
              <w:pStyle w:val="TableContents"/>
              <w:bidi w:val="0"/>
              <w:spacing w:before="0" w:after="283"/>
              <w:jc w:val="left"/>
              <w:rPr/>
            </w:pPr>
            <w:r>
              <w:rPr>
                <w:spacing w:val="-2"/>
              </w:rPr>
              <w:t>Directors and Named Executive Officers</w:t>
            </w:r>
            <w:r>
              <w:rPr>
                <w:spacing w:val="-2"/>
                <w:sz w:val="13"/>
              </w:rPr>
              <w:t>(2)(3)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00"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w:t>
            </w:r>
          </w:p>
        </w:tc>
        <w:tc>
          <w:tcPr>
            <w:tcW w:w="196"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shd w:fill="B2B2B2" w:val="clear"/>
            <w:vAlign w:val="center"/>
          </w:tcPr>
          <w:p>
            <w:pPr>
              <w:pStyle w:val="TableContents"/>
              <w:bidi w:val="0"/>
              <w:spacing w:before="0" w:after="283"/>
              <w:jc w:val="left"/>
              <w:rPr/>
            </w:pPr>
            <w:r>
              <w:rPr/>
              <w:t>​</w:t>
            </w:r>
          </w:p>
        </w:tc>
        <w:tc>
          <w:tcPr>
            <w:tcW w:w="5618" w:type="dxa"/>
            <w:tcBorders/>
            <w:shd w:fill="B2B2B2" w:val="clear"/>
            <w:vAlign w:val="center"/>
          </w:tcPr>
          <w:p>
            <w:pPr>
              <w:pStyle w:val="TableContents"/>
              <w:bidi w:val="0"/>
              <w:spacing w:before="0" w:after="283"/>
              <w:jc w:val="left"/>
              <w:rPr>
                <w:spacing w:val="-2"/>
              </w:rPr>
            </w:pPr>
            <w:r>
              <w:rPr>
                <w:spacing w:val="-2"/>
              </w:rPr>
              <w:t xml:space="preserve">Aaron Jagdfeld </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right"/>
              <w:rPr/>
            </w:pPr>
            <w:r>
              <w:rPr/>
              <w:t>​</w:t>
            </w:r>
          </w:p>
        </w:tc>
        <w:tc>
          <w:tcPr>
            <w:tcW w:w="1100" w:type="dxa"/>
            <w:tcBorders/>
            <w:shd w:fill="B2B2B2" w:val="clear"/>
            <w:vAlign w:val="center"/>
          </w:tcPr>
          <w:p>
            <w:pPr>
              <w:pStyle w:val="TableContents"/>
              <w:bidi w:val="0"/>
              <w:spacing w:before="0" w:after="283"/>
              <w:jc w:val="right"/>
              <w:rPr/>
            </w:pPr>
            <w:r>
              <w:rPr/>
              <w:t>965,060</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92" w:type="dxa"/>
            <w:tcBorders/>
            <w:shd w:fill="B2B2B2" w:val="clear"/>
            <w:vAlign w:val="center"/>
          </w:tcPr>
          <w:p>
            <w:pPr>
              <w:pStyle w:val="TableContents"/>
              <w:bidi w:val="0"/>
              <w:spacing w:before="0" w:after="283"/>
              <w:jc w:val="left"/>
              <w:rPr/>
            </w:pPr>
            <w:r>
              <w:rPr/>
              <w:t>​</w:t>
            </w:r>
          </w:p>
        </w:tc>
        <w:tc>
          <w:tcPr>
            <w:tcW w:w="192" w:type="dxa"/>
            <w:tcBorders/>
            <w:shd w:fill="B2B2B2" w:val="clear"/>
            <w:vAlign w:val="center"/>
          </w:tcPr>
          <w:p>
            <w:pPr>
              <w:pStyle w:val="TableContents"/>
              <w:bidi w:val="0"/>
              <w:spacing w:before="0" w:after="283"/>
              <w:jc w:val="right"/>
              <w:rPr/>
            </w:pPr>
            <w:r>
              <w:rPr/>
              <w:t>​</w:t>
            </w:r>
          </w:p>
        </w:tc>
        <w:tc>
          <w:tcPr>
            <w:tcW w:w="722" w:type="dxa"/>
            <w:tcBorders/>
            <w:shd w:fill="B2B2B2" w:val="clear"/>
            <w:vAlign w:val="center"/>
          </w:tcPr>
          <w:p>
            <w:pPr>
              <w:pStyle w:val="TableContents"/>
              <w:bidi w:val="0"/>
              <w:spacing w:before="0" w:after="283"/>
              <w:jc w:val="right"/>
              <w:rPr/>
            </w:pPr>
            <w:r>
              <w:rPr/>
              <w:t>1.6%</w:t>
            </w:r>
          </w:p>
        </w:tc>
        <w:tc>
          <w:tcPr>
            <w:tcW w:w="196" w:type="dxa"/>
            <w:tcBorders/>
            <w:shd w:fill="B2B2B2" w:val="clear"/>
            <w:vAlign w:val="center"/>
          </w:tcPr>
          <w:p>
            <w:pPr>
              <w:pStyle w:val="TableContents"/>
              <w:bidi w:val="0"/>
              <w:spacing w:before="0" w:after="283"/>
              <w:jc w:val="left"/>
              <w:rPr/>
            </w:pPr>
            <w:r>
              <w:rPr/>
              <w:t>​</w:t>
            </w:r>
          </w:p>
        </w:tc>
        <w:tc>
          <w:tcPr>
            <w:tcW w:w="158" w:type="dxa"/>
            <w:tcBorders/>
            <w:shd w:fill="B2B2B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618" w:type="dxa"/>
            <w:tcBorders/>
            <w:vAlign w:val="center"/>
          </w:tcPr>
          <w:p>
            <w:pPr>
              <w:pStyle w:val="TableContents"/>
              <w:bidi w:val="0"/>
              <w:spacing w:before="0" w:after="283"/>
              <w:jc w:val="left"/>
              <w:rPr>
                <w:spacing w:val="-2"/>
              </w:rPr>
            </w:pPr>
            <w:r>
              <w:rPr>
                <w:spacing w:val="-2"/>
              </w:rPr>
              <w:t xml:space="preserve">York Ragen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00" w:type="dxa"/>
            <w:tcBorders/>
            <w:vAlign w:val="center"/>
          </w:tcPr>
          <w:p>
            <w:pPr>
              <w:pStyle w:val="TableContents"/>
              <w:bidi w:val="0"/>
              <w:spacing w:before="0" w:after="283"/>
              <w:jc w:val="right"/>
              <w:rPr/>
            </w:pPr>
            <w:r>
              <w:rPr/>
              <w:t>209,458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0.4%</w:t>
            </w:r>
          </w:p>
        </w:tc>
        <w:tc>
          <w:tcPr>
            <w:tcW w:w="196"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shd w:fill="B2B2B2" w:val="clear"/>
            <w:vAlign w:val="center"/>
          </w:tcPr>
          <w:p>
            <w:pPr>
              <w:pStyle w:val="TableContents"/>
              <w:bidi w:val="0"/>
              <w:spacing w:before="0" w:after="283"/>
              <w:jc w:val="left"/>
              <w:rPr/>
            </w:pPr>
            <w:r>
              <w:rPr/>
              <w:t>​</w:t>
            </w:r>
          </w:p>
        </w:tc>
        <w:tc>
          <w:tcPr>
            <w:tcW w:w="5618" w:type="dxa"/>
            <w:tcBorders/>
            <w:shd w:fill="B2B2B2" w:val="clear"/>
            <w:vAlign w:val="center"/>
          </w:tcPr>
          <w:p>
            <w:pPr>
              <w:pStyle w:val="TableContents"/>
              <w:bidi w:val="0"/>
              <w:spacing w:before="0" w:after="283"/>
              <w:jc w:val="left"/>
              <w:rPr>
                <w:spacing w:val="-2"/>
              </w:rPr>
            </w:pPr>
            <w:r>
              <w:rPr>
                <w:spacing w:val="-2"/>
              </w:rPr>
              <w:t xml:space="preserve">Norman Taffe </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right"/>
              <w:rPr/>
            </w:pPr>
            <w:r>
              <w:rPr/>
              <w:t>​</w:t>
            </w:r>
          </w:p>
        </w:tc>
        <w:tc>
          <w:tcPr>
            <w:tcW w:w="1100" w:type="dxa"/>
            <w:tcBorders/>
            <w:shd w:fill="B2B2B2" w:val="clear"/>
            <w:vAlign w:val="center"/>
          </w:tcPr>
          <w:p>
            <w:pPr>
              <w:pStyle w:val="TableContents"/>
              <w:bidi w:val="0"/>
              <w:spacing w:before="0" w:after="283"/>
              <w:jc w:val="right"/>
              <w:rPr/>
            </w:pPr>
            <w:r>
              <w:rPr/>
              <w:t>21,182</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92" w:type="dxa"/>
            <w:tcBorders/>
            <w:shd w:fill="B2B2B2" w:val="clear"/>
            <w:vAlign w:val="center"/>
          </w:tcPr>
          <w:p>
            <w:pPr>
              <w:pStyle w:val="TableContents"/>
              <w:bidi w:val="0"/>
              <w:spacing w:before="0" w:after="283"/>
              <w:jc w:val="left"/>
              <w:rPr/>
            </w:pPr>
            <w:r>
              <w:rPr/>
              <w:t>​</w:t>
            </w:r>
          </w:p>
        </w:tc>
        <w:tc>
          <w:tcPr>
            <w:tcW w:w="192" w:type="dxa"/>
            <w:tcBorders/>
            <w:shd w:fill="B2B2B2" w:val="clear"/>
            <w:vAlign w:val="center"/>
          </w:tcPr>
          <w:p>
            <w:pPr>
              <w:pStyle w:val="TableContents"/>
              <w:bidi w:val="0"/>
              <w:spacing w:before="0" w:after="283"/>
              <w:jc w:val="right"/>
              <w:rPr/>
            </w:pPr>
            <w:r>
              <w:rPr/>
              <w:t>​</w:t>
            </w:r>
          </w:p>
        </w:tc>
        <w:tc>
          <w:tcPr>
            <w:tcW w:w="722" w:type="dxa"/>
            <w:tcBorders/>
            <w:shd w:fill="B2B2B2" w:val="clear"/>
            <w:vAlign w:val="center"/>
          </w:tcPr>
          <w:p>
            <w:pPr>
              <w:pStyle w:val="TableContents"/>
              <w:bidi w:val="0"/>
              <w:spacing w:before="0" w:after="283"/>
              <w:jc w:val="right"/>
              <w:rPr/>
            </w:pPr>
            <w:r>
              <w:rPr/>
              <w:t>*</w:t>
            </w:r>
          </w:p>
        </w:tc>
        <w:tc>
          <w:tcPr>
            <w:tcW w:w="196" w:type="dxa"/>
            <w:tcBorders/>
            <w:shd w:fill="B2B2B2" w:val="clear"/>
            <w:vAlign w:val="center"/>
          </w:tcPr>
          <w:p>
            <w:pPr>
              <w:pStyle w:val="TableContents"/>
              <w:bidi w:val="0"/>
              <w:spacing w:before="0" w:after="283"/>
              <w:jc w:val="left"/>
              <w:rPr/>
            </w:pPr>
            <w:r>
              <w:rPr/>
              <w:t>​</w:t>
            </w:r>
          </w:p>
        </w:tc>
        <w:tc>
          <w:tcPr>
            <w:tcW w:w="158" w:type="dxa"/>
            <w:tcBorders/>
            <w:shd w:fill="B2B2B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618" w:type="dxa"/>
            <w:tcBorders/>
            <w:vAlign w:val="center"/>
          </w:tcPr>
          <w:p>
            <w:pPr>
              <w:pStyle w:val="TableContents"/>
              <w:bidi w:val="0"/>
              <w:spacing w:before="0" w:after="283"/>
              <w:jc w:val="left"/>
              <w:rPr>
                <w:spacing w:val="-2"/>
              </w:rPr>
            </w:pPr>
            <w:r>
              <w:rPr>
                <w:spacing w:val="-2"/>
              </w:rPr>
              <w:t xml:space="preserve">Raj Kanuru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00" w:type="dxa"/>
            <w:tcBorders/>
            <w:vAlign w:val="center"/>
          </w:tcPr>
          <w:p>
            <w:pPr>
              <w:pStyle w:val="TableContents"/>
              <w:bidi w:val="0"/>
              <w:spacing w:before="0" w:after="283"/>
              <w:jc w:val="right"/>
              <w:rPr/>
            </w:pPr>
            <w:r>
              <w:rPr/>
              <w:t>20,613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w:t>
            </w:r>
          </w:p>
        </w:tc>
        <w:tc>
          <w:tcPr>
            <w:tcW w:w="196"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shd w:fill="B2B2B2" w:val="clear"/>
            <w:vAlign w:val="center"/>
          </w:tcPr>
          <w:p>
            <w:pPr>
              <w:pStyle w:val="TableContents"/>
              <w:bidi w:val="0"/>
              <w:spacing w:before="0" w:after="283"/>
              <w:jc w:val="left"/>
              <w:rPr/>
            </w:pPr>
            <w:r>
              <w:rPr/>
              <w:t>​</w:t>
            </w:r>
          </w:p>
        </w:tc>
        <w:tc>
          <w:tcPr>
            <w:tcW w:w="5618" w:type="dxa"/>
            <w:tcBorders/>
            <w:shd w:fill="B2B2B2" w:val="clear"/>
            <w:vAlign w:val="center"/>
          </w:tcPr>
          <w:p>
            <w:pPr>
              <w:pStyle w:val="TableContents"/>
              <w:bidi w:val="0"/>
              <w:spacing w:before="0" w:after="283"/>
              <w:jc w:val="left"/>
              <w:rPr>
                <w:spacing w:val="-2"/>
              </w:rPr>
            </w:pPr>
            <w:r>
              <w:rPr>
                <w:spacing w:val="-2"/>
              </w:rPr>
              <w:t xml:space="preserve">Erik Wilde </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right"/>
              <w:rPr/>
            </w:pPr>
            <w:r>
              <w:rPr/>
              <w:t>​</w:t>
            </w:r>
          </w:p>
        </w:tc>
        <w:tc>
          <w:tcPr>
            <w:tcW w:w="1100" w:type="dxa"/>
            <w:tcBorders/>
            <w:shd w:fill="B2B2B2" w:val="clear"/>
            <w:vAlign w:val="center"/>
          </w:tcPr>
          <w:p>
            <w:pPr>
              <w:pStyle w:val="TableContents"/>
              <w:bidi w:val="0"/>
              <w:spacing w:before="0" w:after="283"/>
              <w:jc w:val="right"/>
              <w:rPr/>
            </w:pPr>
            <w:r>
              <w:rPr/>
              <w:t>38,278</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92" w:type="dxa"/>
            <w:tcBorders/>
            <w:shd w:fill="B2B2B2" w:val="clear"/>
            <w:vAlign w:val="center"/>
          </w:tcPr>
          <w:p>
            <w:pPr>
              <w:pStyle w:val="TableContents"/>
              <w:bidi w:val="0"/>
              <w:spacing w:before="0" w:after="283"/>
              <w:jc w:val="left"/>
              <w:rPr/>
            </w:pPr>
            <w:r>
              <w:rPr/>
              <w:t>​</w:t>
            </w:r>
          </w:p>
        </w:tc>
        <w:tc>
          <w:tcPr>
            <w:tcW w:w="192" w:type="dxa"/>
            <w:tcBorders/>
            <w:shd w:fill="B2B2B2" w:val="clear"/>
            <w:vAlign w:val="center"/>
          </w:tcPr>
          <w:p>
            <w:pPr>
              <w:pStyle w:val="TableContents"/>
              <w:bidi w:val="0"/>
              <w:spacing w:before="0" w:after="283"/>
              <w:jc w:val="right"/>
              <w:rPr/>
            </w:pPr>
            <w:r>
              <w:rPr/>
              <w:t>​</w:t>
            </w:r>
          </w:p>
        </w:tc>
        <w:tc>
          <w:tcPr>
            <w:tcW w:w="722" w:type="dxa"/>
            <w:tcBorders/>
            <w:shd w:fill="B2B2B2" w:val="clear"/>
            <w:vAlign w:val="center"/>
          </w:tcPr>
          <w:p>
            <w:pPr>
              <w:pStyle w:val="TableContents"/>
              <w:bidi w:val="0"/>
              <w:spacing w:before="0" w:after="283"/>
              <w:jc w:val="right"/>
              <w:rPr/>
            </w:pPr>
            <w:r>
              <w:rPr/>
              <w:t>*</w:t>
            </w:r>
          </w:p>
        </w:tc>
        <w:tc>
          <w:tcPr>
            <w:tcW w:w="196" w:type="dxa"/>
            <w:tcBorders/>
            <w:shd w:fill="B2B2B2" w:val="clear"/>
            <w:vAlign w:val="center"/>
          </w:tcPr>
          <w:p>
            <w:pPr>
              <w:pStyle w:val="TableContents"/>
              <w:bidi w:val="0"/>
              <w:spacing w:before="0" w:after="283"/>
              <w:jc w:val="left"/>
              <w:rPr/>
            </w:pPr>
            <w:r>
              <w:rPr/>
              <w:t>​</w:t>
            </w:r>
          </w:p>
        </w:tc>
        <w:tc>
          <w:tcPr>
            <w:tcW w:w="158" w:type="dxa"/>
            <w:tcBorders/>
            <w:shd w:fill="B2B2B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618" w:type="dxa"/>
            <w:tcBorders/>
            <w:vAlign w:val="center"/>
          </w:tcPr>
          <w:p>
            <w:pPr>
              <w:pStyle w:val="TableContents"/>
              <w:bidi w:val="0"/>
              <w:spacing w:before="0" w:after="283"/>
              <w:jc w:val="left"/>
              <w:rPr>
                <w:spacing w:val="-2"/>
              </w:rPr>
            </w:pPr>
            <w:r>
              <w:rPr>
                <w:spacing w:val="-2"/>
              </w:rPr>
              <w:t xml:space="preserve">Marcia Avedon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00" w:type="dxa"/>
            <w:tcBorders/>
            <w:vAlign w:val="center"/>
          </w:tcPr>
          <w:p>
            <w:pPr>
              <w:pStyle w:val="TableContents"/>
              <w:bidi w:val="0"/>
              <w:spacing w:before="0" w:after="283"/>
              <w:jc w:val="right"/>
              <w:rPr/>
            </w:pPr>
            <w:r>
              <w:rPr/>
              <w:t>8,665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w:t>
            </w:r>
          </w:p>
        </w:tc>
        <w:tc>
          <w:tcPr>
            <w:tcW w:w="196"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shd w:fill="B2B2B2" w:val="clear"/>
            <w:vAlign w:val="center"/>
          </w:tcPr>
          <w:p>
            <w:pPr>
              <w:pStyle w:val="TableContents"/>
              <w:bidi w:val="0"/>
              <w:spacing w:before="0" w:after="283"/>
              <w:jc w:val="left"/>
              <w:rPr/>
            </w:pPr>
            <w:r>
              <w:rPr/>
              <w:t>​</w:t>
            </w:r>
          </w:p>
        </w:tc>
        <w:tc>
          <w:tcPr>
            <w:tcW w:w="5618" w:type="dxa"/>
            <w:tcBorders/>
            <w:shd w:fill="B2B2B2" w:val="clear"/>
            <w:vAlign w:val="center"/>
          </w:tcPr>
          <w:p>
            <w:pPr>
              <w:pStyle w:val="TableContents"/>
              <w:bidi w:val="0"/>
              <w:spacing w:before="0" w:after="283"/>
              <w:jc w:val="left"/>
              <w:rPr>
                <w:spacing w:val="-2"/>
              </w:rPr>
            </w:pPr>
            <w:r>
              <w:rPr>
                <w:spacing w:val="-2"/>
              </w:rPr>
              <w:t xml:space="preserve">Kathryn Bohl </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right"/>
              <w:rPr/>
            </w:pPr>
            <w:r>
              <w:rPr/>
              <w:t>​</w:t>
            </w:r>
          </w:p>
        </w:tc>
        <w:tc>
          <w:tcPr>
            <w:tcW w:w="1100" w:type="dxa"/>
            <w:tcBorders/>
            <w:shd w:fill="B2B2B2" w:val="clear"/>
            <w:vAlign w:val="center"/>
          </w:tcPr>
          <w:p>
            <w:pPr>
              <w:pStyle w:val="TableContents"/>
              <w:bidi w:val="0"/>
              <w:spacing w:before="0" w:after="283"/>
              <w:jc w:val="right"/>
              <w:rPr/>
            </w:pPr>
            <w:r>
              <w:rPr/>
              <w:t>13,319</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92" w:type="dxa"/>
            <w:tcBorders/>
            <w:shd w:fill="B2B2B2" w:val="clear"/>
            <w:vAlign w:val="center"/>
          </w:tcPr>
          <w:p>
            <w:pPr>
              <w:pStyle w:val="TableContents"/>
              <w:bidi w:val="0"/>
              <w:spacing w:before="0" w:after="283"/>
              <w:jc w:val="left"/>
              <w:rPr/>
            </w:pPr>
            <w:r>
              <w:rPr/>
              <w:t>​</w:t>
            </w:r>
          </w:p>
        </w:tc>
        <w:tc>
          <w:tcPr>
            <w:tcW w:w="192" w:type="dxa"/>
            <w:tcBorders/>
            <w:shd w:fill="B2B2B2" w:val="clear"/>
            <w:vAlign w:val="center"/>
          </w:tcPr>
          <w:p>
            <w:pPr>
              <w:pStyle w:val="TableContents"/>
              <w:bidi w:val="0"/>
              <w:spacing w:before="0" w:after="283"/>
              <w:jc w:val="right"/>
              <w:rPr/>
            </w:pPr>
            <w:r>
              <w:rPr/>
              <w:t>​</w:t>
            </w:r>
          </w:p>
        </w:tc>
        <w:tc>
          <w:tcPr>
            <w:tcW w:w="722" w:type="dxa"/>
            <w:tcBorders/>
            <w:shd w:fill="B2B2B2" w:val="clear"/>
            <w:vAlign w:val="center"/>
          </w:tcPr>
          <w:p>
            <w:pPr>
              <w:pStyle w:val="TableContents"/>
              <w:bidi w:val="0"/>
              <w:spacing w:before="0" w:after="283"/>
              <w:jc w:val="right"/>
              <w:rPr/>
            </w:pPr>
            <w:r>
              <w:rPr/>
              <w:t>*</w:t>
            </w:r>
          </w:p>
        </w:tc>
        <w:tc>
          <w:tcPr>
            <w:tcW w:w="196" w:type="dxa"/>
            <w:tcBorders/>
            <w:shd w:fill="B2B2B2" w:val="clear"/>
            <w:vAlign w:val="center"/>
          </w:tcPr>
          <w:p>
            <w:pPr>
              <w:pStyle w:val="TableContents"/>
              <w:bidi w:val="0"/>
              <w:spacing w:before="0" w:after="283"/>
              <w:jc w:val="left"/>
              <w:rPr/>
            </w:pPr>
            <w:r>
              <w:rPr/>
              <w:t>​</w:t>
            </w:r>
          </w:p>
        </w:tc>
        <w:tc>
          <w:tcPr>
            <w:tcW w:w="158" w:type="dxa"/>
            <w:tcBorders/>
            <w:shd w:fill="B2B2B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618" w:type="dxa"/>
            <w:tcBorders/>
            <w:vAlign w:val="center"/>
          </w:tcPr>
          <w:p>
            <w:pPr>
              <w:pStyle w:val="TableContents"/>
              <w:bidi w:val="0"/>
              <w:spacing w:before="0" w:after="283"/>
              <w:jc w:val="left"/>
              <w:rPr>
                <w:spacing w:val="-2"/>
              </w:rPr>
            </w:pPr>
            <w:r>
              <w:rPr>
                <w:spacing w:val="-2"/>
              </w:rPr>
              <w:t xml:space="preserve">Robert Dixon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00" w:type="dxa"/>
            <w:tcBorders/>
            <w:vAlign w:val="center"/>
          </w:tcPr>
          <w:p>
            <w:pPr>
              <w:pStyle w:val="TableContents"/>
              <w:bidi w:val="0"/>
              <w:spacing w:before="0" w:after="283"/>
              <w:jc w:val="right"/>
              <w:rPr/>
            </w:pPr>
            <w:r>
              <w:rPr/>
              <w:t>11,903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w:t>
            </w:r>
          </w:p>
        </w:tc>
        <w:tc>
          <w:tcPr>
            <w:tcW w:w="196"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shd w:fill="B2B2B2" w:val="clear"/>
            <w:vAlign w:val="center"/>
          </w:tcPr>
          <w:p>
            <w:pPr>
              <w:pStyle w:val="TableContents"/>
              <w:bidi w:val="0"/>
              <w:spacing w:before="0" w:after="283"/>
              <w:jc w:val="left"/>
              <w:rPr/>
            </w:pPr>
            <w:r>
              <w:rPr/>
              <w:t>​</w:t>
            </w:r>
          </w:p>
        </w:tc>
        <w:tc>
          <w:tcPr>
            <w:tcW w:w="5618" w:type="dxa"/>
            <w:tcBorders/>
            <w:shd w:fill="B2B2B2" w:val="clear"/>
            <w:vAlign w:val="center"/>
          </w:tcPr>
          <w:p>
            <w:pPr>
              <w:pStyle w:val="TableContents"/>
              <w:bidi w:val="0"/>
              <w:spacing w:before="0" w:after="283"/>
              <w:jc w:val="left"/>
              <w:rPr>
                <w:spacing w:val="-2"/>
              </w:rPr>
            </w:pPr>
            <w:r>
              <w:rPr>
                <w:spacing w:val="-2"/>
              </w:rPr>
              <w:t xml:space="preserve">William Jenkins </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right"/>
              <w:rPr/>
            </w:pPr>
            <w:r>
              <w:rPr/>
              <w:t>​</w:t>
            </w:r>
          </w:p>
        </w:tc>
        <w:tc>
          <w:tcPr>
            <w:tcW w:w="1100" w:type="dxa"/>
            <w:tcBorders/>
            <w:shd w:fill="B2B2B2" w:val="clear"/>
            <w:vAlign w:val="center"/>
          </w:tcPr>
          <w:p>
            <w:pPr>
              <w:pStyle w:val="TableContents"/>
              <w:bidi w:val="0"/>
              <w:spacing w:before="0" w:after="283"/>
              <w:jc w:val="right"/>
              <w:rPr/>
            </w:pPr>
            <w:r>
              <w:rPr/>
              <w:t>10,627</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92" w:type="dxa"/>
            <w:tcBorders/>
            <w:shd w:fill="B2B2B2" w:val="clear"/>
            <w:vAlign w:val="center"/>
          </w:tcPr>
          <w:p>
            <w:pPr>
              <w:pStyle w:val="TableContents"/>
              <w:bidi w:val="0"/>
              <w:spacing w:before="0" w:after="283"/>
              <w:jc w:val="left"/>
              <w:rPr/>
            </w:pPr>
            <w:r>
              <w:rPr/>
              <w:t>​</w:t>
            </w:r>
          </w:p>
        </w:tc>
        <w:tc>
          <w:tcPr>
            <w:tcW w:w="192" w:type="dxa"/>
            <w:tcBorders/>
            <w:shd w:fill="B2B2B2" w:val="clear"/>
            <w:vAlign w:val="center"/>
          </w:tcPr>
          <w:p>
            <w:pPr>
              <w:pStyle w:val="TableContents"/>
              <w:bidi w:val="0"/>
              <w:spacing w:before="0" w:after="283"/>
              <w:jc w:val="right"/>
              <w:rPr/>
            </w:pPr>
            <w:r>
              <w:rPr/>
              <w:t>​</w:t>
            </w:r>
          </w:p>
        </w:tc>
        <w:tc>
          <w:tcPr>
            <w:tcW w:w="722" w:type="dxa"/>
            <w:tcBorders/>
            <w:shd w:fill="B2B2B2" w:val="clear"/>
            <w:vAlign w:val="center"/>
          </w:tcPr>
          <w:p>
            <w:pPr>
              <w:pStyle w:val="TableContents"/>
              <w:bidi w:val="0"/>
              <w:spacing w:before="0" w:after="283"/>
              <w:jc w:val="right"/>
              <w:rPr/>
            </w:pPr>
            <w:r>
              <w:rPr/>
              <w:t>*</w:t>
            </w:r>
          </w:p>
        </w:tc>
        <w:tc>
          <w:tcPr>
            <w:tcW w:w="196" w:type="dxa"/>
            <w:tcBorders/>
            <w:shd w:fill="B2B2B2" w:val="clear"/>
            <w:vAlign w:val="center"/>
          </w:tcPr>
          <w:p>
            <w:pPr>
              <w:pStyle w:val="TableContents"/>
              <w:bidi w:val="0"/>
              <w:spacing w:before="0" w:after="283"/>
              <w:jc w:val="left"/>
              <w:rPr/>
            </w:pPr>
            <w:r>
              <w:rPr/>
              <w:t>​</w:t>
            </w:r>
          </w:p>
        </w:tc>
        <w:tc>
          <w:tcPr>
            <w:tcW w:w="158" w:type="dxa"/>
            <w:tcBorders/>
            <w:shd w:fill="B2B2B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618" w:type="dxa"/>
            <w:tcBorders/>
            <w:vAlign w:val="center"/>
          </w:tcPr>
          <w:p>
            <w:pPr>
              <w:pStyle w:val="TableContents"/>
              <w:bidi w:val="0"/>
              <w:spacing w:before="0" w:after="283"/>
              <w:jc w:val="left"/>
              <w:rPr>
                <w:spacing w:val="-2"/>
              </w:rPr>
            </w:pPr>
            <w:r>
              <w:rPr>
                <w:spacing w:val="-2"/>
              </w:rPr>
              <w:t xml:space="preserve">Andrew Lampereur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00" w:type="dxa"/>
            <w:tcBorders/>
            <w:vAlign w:val="center"/>
          </w:tcPr>
          <w:p>
            <w:pPr>
              <w:pStyle w:val="TableContents"/>
              <w:bidi w:val="0"/>
              <w:spacing w:before="0" w:after="283"/>
              <w:jc w:val="right"/>
              <w:rPr/>
            </w:pPr>
            <w:r>
              <w:rPr/>
              <w:t>27,974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w:t>
            </w:r>
          </w:p>
        </w:tc>
        <w:tc>
          <w:tcPr>
            <w:tcW w:w="196"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shd w:fill="B2B2B2" w:val="clear"/>
            <w:vAlign w:val="center"/>
          </w:tcPr>
          <w:p>
            <w:pPr>
              <w:pStyle w:val="TableContents"/>
              <w:bidi w:val="0"/>
              <w:spacing w:before="0" w:after="283"/>
              <w:jc w:val="left"/>
              <w:rPr/>
            </w:pPr>
            <w:r>
              <w:rPr/>
              <w:t>​</w:t>
            </w:r>
          </w:p>
        </w:tc>
        <w:tc>
          <w:tcPr>
            <w:tcW w:w="5618" w:type="dxa"/>
            <w:tcBorders/>
            <w:shd w:fill="B2B2B2" w:val="clear"/>
            <w:vAlign w:val="center"/>
          </w:tcPr>
          <w:p>
            <w:pPr>
              <w:pStyle w:val="TableContents"/>
              <w:bidi w:val="0"/>
              <w:spacing w:before="0" w:after="283"/>
              <w:jc w:val="left"/>
              <w:rPr>
                <w:spacing w:val="-2"/>
              </w:rPr>
            </w:pPr>
            <w:r>
              <w:rPr>
                <w:spacing w:val="-2"/>
              </w:rPr>
              <w:t xml:space="preserve">Bennett Morgan </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right"/>
              <w:rPr/>
            </w:pPr>
            <w:r>
              <w:rPr/>
              <w:t>​</w:t>
            </w:r>
          </w:p>
        </w:tc>
        <w:tc>
          <w:tcPr>
            <w:tcW w:w="1100" w:type="dxa"/>
            <w:tcBorders/>
            <w:shd w:fill="B2B2B2" w:val="clear"/>
            <w:vAlign w:val="center"/>
          </w:tcPr>
          <w:p>
            <w:pPr>
              <w:pStyle w:val="TableContents"/>
              <w:bidi w:val="0"/>
              <w:spacing w:before="0" w:after="283"/>
              <w:jc w:val="right"/>
              <w:rPr/>
            </w:pPr>
            <w:r>
              <w:rPr/>
              <w:t>31,616</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92" w:type="dxa"/>
            <w:tcBorders/>
            <w:shd w:fill="B2B2B2" w:val="clear"/>
            <w:vAlign w:val="center"/>
          </w:tcPr>
          <w:p>
            <w:pPr>
              <w:pStyle w:val="TableContents"/>
              <w:bidi w:val="0"/>
              <w:spacing w:before="0" w:after="283"/>
              <w:jc w:val="left"/>
              <w:rPr/>
            </w:pPr>
            <w:r>
              <w:rPr/>
              <w:t>​</w:t>
            </w:r>
          </w:p>
        </w:tc>
        <w:tc>
          <w:tcPr>
            <w:tcW w:w="192" w:type="dxa"/>
            <w:tcBorders/>
            <w:shd w:fill="B2B2B2" w:val="clear"/>
            <w:vAlign w:val="center"/>
          </w:tcPr>
          <w:p>
            <w:pPr>
              <w:pStyle w:val="TableContents"/>
              <w:bidi w:val="0"/>
              <w:spacing w:before="0" w:after="283"/>
              <w:jc w:val="right"/>
              <w:rPr/>
            </w:pPr>
            <w:r>
              <w:rPr/>
              <w:t>​</w:t>
            </w:r>
          </w:p>
        </w:tc>
        <w:tc>
          <w:tcPr>
            <w:tcW w:w="722" w:type="dxa"/>
            <w:tcBorders/>
            <w:shd w:fill="B2B2B2" w:val="clear"/>
            <w:vAlign w:val="center"/>
          </w:tcPr>
          <w:p>
            <w:pPr>
              <w:pStyle w:val="TableContents"/>
              <w:bidi w:val="0"/>
              <w:spacing w:before="0" w:after="283"/>
              <w:jc w:val="right"/>
              <w:rPr/>
            </w:pPr>
            <w:r>
              <w:rPr/>
              <w:t>*</w:t>
            </w:r>
          </w:p>
        </w:tc>
        <w:tc>
          <w:tcPr>
            <w:tcW w:w="196" w:type="dxa"/>
            <w:tcBorders/>
            <w:shd w:fill="B2B2B2" w:val="clear"/>
            <w:vAlign w:val="center"/>
          </w:tcPr>
          <w:p>
            <w:pPr>
              <w:pStyle w:val="TableContents"/>
              <w:bidi w:val="0"/>
              <w:spacing w:before="0" w:after="283"/>
              <w:jc w:val="left"/>
              <w:rPr/>
            </w:pPr>
            <w:r>
              <w:rPr/>
              <w:t>​</w:t>
            </w:r>
          </w:p>
        </w:tc>
        <w:tc>
          <w:tcPr>
            <w:tcW w:w="158" w:type="dxa"/>
            <w:tcBorders/>
            <w:shd w:fill="B2B2B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618" w:type="dxa"/>
            <w:tcBorders/>
            <w:vAlign w:val="center"/>
          </w:tcPr>
          <w:p>
            <w:pPr>
              <w:pStyle w:val="TableContents"/>
              <w:bidi w:val="0"/>
              <w:spacing w:before="0" w:after="283"/>
              <w:jc w:val="left"/>
              <w:rPr>
                <w:spacing w:val="-2"/>
              </w:rPr>
            </w:pPr>
            <w:r>
              <w:rPr>
                <w:spacing w:val="-2"/>
              </w:rPr>
              <w:t xml:space="preserve">Nam Nguyen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00" w:type="dxa"/>
            <w:tcBorders/>
            <w:vAlign w:val="center"/>
          </w:tcPr>
          <w:p>
            <w:pPr>
              <w:pStyle w:val="TableContents"/>
              <w:bidi w:val="0"/>
              <w:spacing w:before="0" w:after="283"/>
              <w:jc w:val="right"/>
              <w:rPr/>
            </w:pPr>
            <w:r>
              <w:rPr/>
              <w:t>5,159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w:t>
            </w:r>
          </w:p>
        </w:tc>
        <w:tc>
          <w:tcPr>
            <w:tcW w:w="196"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shd w:fill="B2B2B2" w:val="clear"/>
            <w:vAlign w:val="center"/>
          </w:tcPr>
          <w:p>
            <w:pPr>
              <w:pStyle w:val="TableContents"/>
              <w:bidi w:val="0"/>
              <w:spacing w:before="0" w:after="283"/>
              <w:jc w:val="left"/>
              <w:rPr/>
            </w:pPr>
            <w:r>
              <w:rPr/>
              <w:t>​</w:t>
            </w:r>
          </w:p>
        </w:tc>
        <w:tc>
          <w:tcPr>
            <w:tcW w:w="5618" w:type="dxa"/>
            <w:tcBorders/>
            <w:shd w:fill="B2B2B2" w:val="clear"/>
            <w:vAlign w:val="center"/>
          </w:tcPr>
          <w:p>
            <w:pPr>
              <w:pStyle w:val="TableContents"/>
              <w:bidi w:val="0"/>
              <w:spacing w:before="0" w:after="283"/>
              <w:jc w:val="left"/>
              <w:rPr>
                <w:spacing w:val="-2"/>
              </w:rPr>
            </w:pPr>
            <w:r>
              <w:rPr>
                <w:spacing w:val="-2"/>
              </w:rPr>
              <w:t xml:space="preserve">David Ramon </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right"/>
              <w:rPr/>
            </w:pPr>
            <w:r>
              <w:rPr/>
              <w:t>​</w:t>
            </w:r>
          </w:p>
        </w:tc>
        <w:tc>
          <w:tcPr>
            <w:tcW w:w="1100" w:type="dxa"/>
            <w:tcBorders/>
            <w:shd w:fill="B2B2B2" w:val="clear"/>
            <w:vAlign w:val="center"/>
          </w:tcPr>
          <w:p>
            <w:pPr>
              <w:pStyle w:val="TableContents"/>
              <w:bidi w:val="0"/>
              <w:spacing w:before="0" w:after="283"/>
              <w:jc w:val="right"/>
              <w:rPr/>
            </w:pPr>
            <w:r>
              <w:rPr/>
              <w:t xml:space="preserve">37,474 </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92" w:type="dxa"/>
            <w:tcBorders/>
            <w:shd w:fill="B2B2B2" w:val="clear"/>
            <w:vAlign w:val="center"/>
          </w:tcPr>
          <w:p>
            <w:pPr>
              <w:pStyle w:val="TableContents"/>
              <w:bidi w:val="0"/>
              <w:spacing w:before="0" w:after="283"/>
              <w:jc w:val="left"/>
              <w:rPr/>
            </w:pPr>
            <w:r>
              <w:rPr/>
              <w:t>​</w:t>
            </w:r>
          </w:p>
        </w:tc>
        <w:tc>
          <w:tcPr>
            <w:tcW w:w="192" w:type="dxa"/>
            <w:tcBorders/>
            <w:shd w:fill="B2B2B2" w:val="clear"/>
            <w:vAlign w:val="center"/>
          </w:tcPr>
          <w:p>
            <w:pPr>
              <w:pStyle w:val="TableContents"/>
              <w:bidi w:val="0"/>
              <w:spacing w:before="0" w:after="283"/>
              <w:jc w:val="right"/>
              <w:rPr/>
            </w:pPr>
            <w:r>
              <w:rPr/>
              <w:t>​</w:t>
            </w:r>
          </w:p>
        </w:tc>
        <w:tc>
          <w:tcPr>
            <w:tcW w:w="722" w:type="dxa"/>
            <w:tcBorders/>
            <w:shd w:fill="B2B2B2" w:val="clear"/>
            <w:vAlign w:val="center"/>
          </w:tcPr>
          <w:p>
            <w:pPr>
              <w:pStyle w:val="TableContents"/>
              <w:bidi w:val="0"/>
              <w:spacing w:before="0" w:after="283"/>
              <w:jc w:val="right"/>
              <w:rPr/>
            </w:pPr>
            <w:r>
              <w:rPr/>
              <w:t>*</w:t>
            </w:r>
          </w:p>
        </w:tc>
        <w:tc>
          <w:tcPr>
            <w:tcW w:w="196" w:type="dxa"/>
            <w:tcBorders/>
            <w:shd w:fill="B2B2B2" w:val="clear"/>
            <w:vAlign w:val="center"/>
          </w:tcPr>
          <w:p>
            <w:pPr>
              <w:pStyle w:val="TableContents"/>
              <w:bidi w:val="0"/>
              <w:spacing w:before="0" w:after="283"/>
              <w:jc w:val="left"/>
              <w:rPr/>
            </w:pPr>
            <w:r>
              <w:rPr/>
              <w:t>​</w:t>
            </w:r>
          </w:p>
        </w:tc>
        <w:tc>
          <w:tcPr>
            <w:tcW w:w="158" w:type="dxa"/>
            <w:tcBorders/>
            <w:shd w:fill="B2B2B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618" w:type="dxa"/>
            <w:tcBorders/>
            <w:vAlign w:val="center"/>
          </w:tcPr>
          <w:p>
            <w:pPr>
              <w:pStyle w:val="TableContents"/>
              <w:bidi w:val="0"/>
              <w:spacing w:before="0" w:after="283"/>
              <w:jc w:val="left"/>
              <w:rPr>
                <w:spacing w:val="-2"/>
              </w:rPr>
            </w:pPr>
            <w:r>
              <w:rPr>
                <w:spacing w:val="-2"/>
              </w:rPr>
              <w:t xml:space="preserve">Dominick Zarcone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00" w:type="dxa"/>
            <w:tcBorders/>
            <w:vAlign w:val="center"/>
          </w:tcPr>
          <w:p>
            <w:pPr>
              <w:pStyle w:val="TableContents"/>
              <w:bidi w:val="0"/>
              <w:spacing w:before="0" w:after="283"/>
              <w:jc w:val="right"/>
              <w:rPr/>
            </w:pPr>
            <w:r>
              <w:rPr/>
              <w:t>18,792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w:t>
            </w:r>
          </w:p>
        </w:tc>
        <w:tc>
          <w:tcPr>
            <w:tcW w:w="196"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r>
      <w:tr>
        <w:trPr/>
        <w:tc>
          <w:tcPr>
            <w:tcW w:w="124"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5618" w:type="dxa"/>
            <w:tcBorders>
              <w:bottom w:val="single" w:sz="2" w:space="0" w:color="000000"/>
            </w:tcBorders>
            <w:shd w:fill="B2B2B2" w:val="clear"/>
            <w:tcMar>
              <w:bottom w:w="37" w:type="dxa"/>
            </w:tcMar>
            <w:vAlign w:val="center"/>
          </w:tcPr>
          <w:p>
            <w:pPr>
              <w:pStyle w:val="TableContents"/>
              <w:bidi w:val="0"/>
              <w:spacing w:before="0" w:after="0"/>
              <w:ind w:left="200" w:right="0" w:hanging="200"/>
              <w:jc w:val="left"/>
              <w:rPr/>
            </w:pPr>
            <w:r>
              <w:rPr>
                <w:b/>
                <w:spacing w:val="-2"/>
              </w:rPr>
              <w:t>All members of the Board of Directors and executive officers as a group (14 persons)</w:t>
            </w:r>
            <w:r>
              <w:rPr>
                <w:bCs/>
                <w:spacing w:val="-2"/>
                <w:szCs w:val="13"/>
              </w:rPr>
              <w:t>﻿</w:t>
            </w:r>
            <w:r>
              <w:rPr>
                <w:b/>
                <w:spacing w:val="-2"/>
                <w:sz w:val="13"/>
              </w:rPr>
              <w:t>(4)</w:t>
            </w:r>
            <w:r>
              <w:rPr>
                <w:b/>
              </w:rPr>
              <w:t xml:space="preserve"> </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37" w:type="dxa"/>
            </w:tcMar>
            <w:vAlign w:val="center"/>
          </w:tcPr>
          <w:p>
            <w:pPr>
              <w:pStyle w:val="TableContents"/>
              <w:bidi w:val="0"/>
              <w:spacing w:before="0" w:after="283"/>
              <w:jc w:val="right"/>
              <w:rPr/>
            </w:pPr>
            <w:r>
              <w:rPr/>
              <w:t>​</w:t>
            </w:r>
          </w:p>
        </w:tc>
        <w:tc>
          <w:tcPr>
            <w:tcW w:w="1100" w:type="dxa"/>
            <w:tcBorders>
              <w:bottom w:val="single" w:sz="2" w:space="0" w:color="000000"/>
            </w:tcBorders>
            <w:shd w:fill="B2B2B2" w:val="clear"/>
            <w:tcMar>
              <w:bottom w:w="37" w:type="dxa"/>
            </w:tcMar>
            <w:vAlign w:val="center"/>
          </w:tcPr>
          <w:p>
            <w:pPr>
              <w:pStyle w:val="TableContents"/>
              <w:bidi w:val="0"/>
              <w:spacing w:before="0" w:after="283"/>
              <w:jc w:val="right"/>
              <w:rPr/>
            </w:pPr>
            <w:r>
              <w:rPr/>
              <w:t xml:space="preserve">1,441,439 </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92"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92" w:type="dxa"/>
            <w:tcBorders>
              <w:bottom w:val="single" w:sz="2" w:space="0" w:color="000000"/>
            </w:tcBorders>
            <w:shd w:fill="B2B2B2" w:val="clear"/>
            <w:tcMar>
              <w:bottom w:w="37" w:type="dxa"/>
            </w:tcMar>
            <w:vAlign w:val="center"/>
          </w:tcPr>
          <w:p>
            <w:pPr>
              <w:pStyle w:val="TableContents"/>
              <w:bidi w:val="0"/>
              <w:spacing w:before="0" w:after="283"/>
              <w:jc w:val="right"/>
              <w:rPr/>
            </w:pPr>
            <w:r>
              <w:rPr/>
              <w:t>​</w:t>
            </w:r>
          </w:p>
        </w:tc>
        <w:tc>
          <w:tcPr>
            <w:tcW w:w="722" w:type="dxa"/>
            <w:tcBorders>
              <w:bottom w:val="single" w:sz="2" w:space="0" w:color="000000"/>
            </w:tcBorders>
            <w:shd w:fill="B2B2B2" w:val="clear"/>
            <w:tcMar>
              <w:bottom w:w="37" w:type="dxa"/>
            </w:tcMar>
            <w:vAlign w:val="center"/>
          </w:tcPr>
          <w:p>
            <w:pPr>
              <w:pStyle w:val="TableContents"/>
              <w:bidi w:val="0"/>
              <w:spacing w:before="0" w:after="283"/>
              <w:jc w:val="right"/>
              <w:rPr/>
            </w:pPr>
            <w:r>
              <w:rPr/>
              <w:t>2.4%</w:t>
            </w:r>
          </w:p>
        </w:tc>
        <w:tc>
          <w:tcPr>
            <w:tcW w:w="196"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58"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r>
    </w:tbl>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25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Less than 0.1%</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8750" distB="0" distL="0" distR="0" simplePos="0" locked="0" layoutInCell="1" allowOverlap="1" relativeHeight="275">
                <wp:simplePos x="0" y="0"/>
                <wp:positionH relativeFrom="column">
                  <wp:align>left</wp:align>
                </wp:positionH>
                <wp:positionV relativeFrom="line">
                  <wp:align>top</wp:align>
                </wp:positionV>
                <wp:extent cx="254000" cy="330200"/>
                <wp:effectExtent l="0" t="0" r="0" b="0"/>
                <wp:wrapSquare wrapText="right"/>
                <wp:docPr id="207" name="Frame143"/>
                <a:graphic xmlns:a="http://schemas.openxmlformats.org/drawingml/2006/main">
                  <a:graphicData uri="http://schemas.microsoft.com/office/word/2010/wordprocessingShape">
                    <wps:wsp>
                      <wps:cNvSpPr txBox="1"/>
                      <wps:spPr>
                        <a:xfrm>
                          <a:off x="0" y="0"/>
                          <a:ext cx="254000" cy="330200"/>
                        </a:xfrm>
                        <a:prstGeom prst="rect"/>
                        <a:solidFill>
                          <a:srgbClr val="FFFFFF"/>
                        </a:solidFill>
                      </wps:spPr>
                      <wps:txbx>
                        <w:txbxContent>
                          <w:p>
                            <w:pPr>
                              <w:pStyle w:val="TextBody"/>
                              <w:bidi w:val="0"/>
                              <w:spacing w:lineRule="atLeast" w:line="260" w:before="0" w:after="283"/>
                              <w:jc w:val="left"/>
                              <w:rPr>
                                <w:sz w:val="22"/>
                              </w:rPr>
                            </w:pPr>
                            <w:r>
                              <w:rPr>
                                <w:spacing w:val="-2"/>
                                <w:sz w:val="22"/>
                              </w:rPr>
                              <w:t>*</w:t>
                            </w:r>
                            <w:r>
                              <w:rPr>
                                <w:sz w:val="22"/>
                              </w:rPr>
                              <w:t xml:space="preserve"> </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12.5pt;mso-wrap-distance-bottom:0pt;margin-top:12.5pt;mso-position-vertical:top;mso-position-vertical-relative:text;margin-left:0pt;mso-position-horizontal:left;mso-position-horizontal-relative:text">
                <v:textbox>
                  <w:txbxContent>
                    <w:p>
                      <w:pPr>
                        <w:pStyle w:val="TextBody"/>
                        <w:bidi w:val="0"/>
                        <w:spacing w:lineRule="atLeast" w:line="260" w:before="0" w:after="283"/>
                        <w:jc w:val="left"/>
                        <w:rPr>
                          <w:sz w:val="22"/>
                        </w:rPr>
                      </w:pPr>
                      <w:r>
                        <w:rPr>
                          <w:spacing w:val="-2"/>
                          <w:sz w:val="22"/>
                        </w:rPr>
                        <w:t>*</w:t>
                      </w:r>
                      <w:r>
                        <w:rPr>
                          <w:sz w:val="22"/>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104" w:after="0"/>
        <w:ind w:left="1540" w:right="0" w:hanging="0"/>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Based on information obtained from Amendment No. 10 to Schedule 13G filed by Blackrock, Inc. on January 29, 2024. According to that report, Blackrock, Inc. possesses sole power to vote 3,395,268 of such shares and possesses sole power to dispose 3,652,509 of such shares. </w:t>
      </w:r>
      <w:r>
        <mc:AlternateContent>
          <mc:Choice Requires="wps">
            <w:drawing>
              <wp:anchor behindDoc="0" distT="66040" distB="0" distL="0" distR="0" simplePos="0" locked="0" layoutInCell="1" allowOverlap="1" relativeHeight="276">
                <wp:simplePos x="0" y="0"/>
                <wp:positionH relativeFrom="column">
                  <wp:align>left</wp:align>
                </wp:positionH>
                <wp:positionV relativeFrom="line">
                  <wp:align>top</wp:align>
                </wp:positionV>
                <wp:extent cx="254000" cy="330200"/>
                <wp:effectExtent l="0" t="0" r="0" b="0"/>
                <wp:wrapSquare wrapText="right"/>
                <wp:docPr id="208" name="Frame144"/>
                <a:graphic xmlns:a="http://schemas.openxmlformats.org/drawingml/2006/main">
                  <a:graphicData uri="http://schemas.microsoft.com/office/word/2010/wordprocessingShape">
                    <wps:wsp>
                      <wps:cNvSpPr txBox="1"/>
                      <wps:spPr>
                        <a:xfrm>
                          <a:off x="0" y="0"/>
                          <a:ext cx="254000" cy="330200"/>
                        </a:xfrm>
                        <a:prstGeom prst="rect"/>
                        <a:solidFill>
                          <a:srgbClr val="FFFFFF"/>
                        </a:solidFill>
                      </wps:spPr>
                      <wps:txbx>
                        <w:txbxContent>
                          <w:p>
                            <w:pPr>
                              <w:pStyle w:val="TextBody"/>
                              <w:bidi w:val="0"/>
                              <w:spacing w:lineRule="atLeast" w:line="260" w:before="0" w:after="283"/>
                              <w:jc w:val="left"/>
                              <w:rPr>
                                <w:sz w:val="22"/>
                              </w:rPr>
                            </w:pPr>
                            <w:r>
                              <w:rPr>
                                <w:spacing w:val="-2"/>
                                <w:sz w:val="22"/>
                              </w:rPr>
                              <w:t>(1)</w:t>
                            </w:r>
                            <w:r>
                              <w:rPr>
                                <w:sz w:val="22"/>
                              </w:rPr>
                              <w:t xml:space="preserve"> </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60" w:before="0" w:after="283"/>
                        <w:jc w:val="left"/>
                        <w:rPr>
                          <w:sz w:val="22"/>
                        </w:rPr>
                      </w:pPr>
                      <w:r>
                        <w:rPr>
                          <w:spacing w:val="-2"/>
                          <w:sz w:val="22"/>
                        </w:rPr>
                        <w:t>(1)</w:t>
                      </w:r>
                      <w:r>
                        <w:rPr>
                          <w:sz w:val="22"/>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209"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55" descr=""/>
                          <pic:cNvPicPr>
                            <a:picLocks noChangeAspect="1" noChangeArrowheads="1"/>
                          </pic:cNvPicPr>
                        </pic:nvPicPr>
                        <pic:blipFill>
                          <a:blip r:embed="rId66"/>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25</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rFonts w:ascii="Arial;Helvetica;sans-serif" w:hAnsi="Arial;Helvetica;sans-serif"/>
          <w:b w:val="false"/>
          <w:i w:val="false"/>
          <w:caps w:val="false"/>
          <w:smallCaps w:val="false"/>
          <w:color w:val="FF6A00"/>
          <w:spacing w:val="-2"/>
          <w:sz w:val="22"/>
        </w:rPr>
      </w:pPr>
      <w:r>
        <w:rPr>
          <w:rFonts w:ascii="Arial;Helvetica;sans-serif" w:hAnsi="Arial;Helvetica;sans-serif"/>
          <w:b w:val="false"/>
          <w:i w:val="false"/>
          <w:caps w:val="false"/>
          <w:smallCaps w:val="false"/>
          <w:color w:val="FF6A00"/>
          <w:spacing w:val="-2"/>
          <w:sz w:val="22"/>
        </w:rPr>
        <w:t xml:space="preserve">BENEFICIAL OWNERSHIP OF OUR COMMON STOCK </w:t>
      </w:r>
    </w:p>
    <w:p>
      <w:pPr>
        <w:pStyle w:val="TextBody"/>
        <w:bidi w:val="0"/>
        <w:spacing w:lineRule="atLeast" w:line="260" w:before="480" w:after="283"/>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In addition, according to that report, Blackrock, Inc.’s business address is 50 Hudson Yards, New York, New York 10001.</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60" w:before="8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With respect to Messrs. Jagdfeld, Ragen, Taffe, Kanuru and Wilde, the number of shares beneficially owned includes 390,532, 70,530, 4,774, 7,762, and 22,713 shares respectively, which may be acquired pursuant to options issued under the equity compensation plan because such options are exercisable within 60 days. The respective number of shares for the individuals mentioned above were in each case also added to the denominator for purposes of calculating the percentage ownership of that individual.</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0" distR="0" simplePos="0" locked="0" layoutInCell="1" allowOverlap="1" relativeHeight="277">
                <wp:simplePos x="0" y="0"/>
                <wp:positionH relativeFrom="column">
                  <wp:align>left</wp:align>
                </wp:positionH>
                <wp:positionV relativeFrom="line">
                  <wp:align>top</wp:align>
                </wp:positionV>
                <wp:extent cx="254000" cy="350520"/>
                <wp:effectExtent l="0" t="0" r="0" b="0"/>
                <wp:wrapSquare wrapText="right"/>
                <wp:docPr id="210" name="Frame1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6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6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8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With respect to Mses. Avedon and Bohl and Messrs. Dixon, Jenkins, Lampereur, Morgan, Ramon and Zarcone, the number of shares beneficially owned includes 2,520, 13,319, 11,903, 1,417, 21,306, 14,458, 7,946 and 15,959 Deferred Stock Units, respectively, all of which were issued pursuant to the Company’s Deferred Stock Unit Plan for Non-Employee Directors, effective April 1, 2017.</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0" distR="0" simplePos="0" locked="0" layoutInCell="1" allowOverlap="1" relativeHeight="278">
                <wp:simplePos x="0" y="0"/>
                <wp:positionH relativeFrom="column">
                  <wp:align>left</wp:align>
                </wp:positionH>
                <wp:positionV relativeFrom="line">
                  <wp:align>top</wp:align>
                </wp:positionV>
                <wp:extent cx="254000" cy="350520"/>
                <wp:effectExtent l="0" t="0" r="0" b="0"/>
                <wp:wrapSquare wrapText="right"/>
                <wp:docPr id="211" name="Frame1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6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60" w:before="0" w:after="283"/>
                        <w:jc w:val="left"/>
                        <w:rPr/>
                      </w:pPr>
                      <w:r>
                        <w:rPr>
                          <w:spacing w:val="-2"/>
                        </w:rPr>
                        <w:t>(3)</w:t>
                      </w:r>
                      <w:r>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8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With respect to the Company’s other executive officers, the number of shares beneficially owned includes 10,200 shares, which may be acquired pursuant to options issued under the equity compensation plans because such options are exercisable within 60 days. The respective number of shares for the individuals mentioned above were in each case also added to the denominator for purposes of calculating the percentage ownership of that individual.</w:t>
      </w:r>
      <w:r>
        <w:rPr>
          <w:rFonts w:ascii="Arial;Helvetica;sans-serif" w:hAnsi="Arial;Helvetica;sans-serif"/>
          <w:b w:val="false"/>
          <w:i w:val="false"/>
          <w:caps w:val="false"/>
          <w:smallCaps w:val="false"/>
          <w:color w:val="000000"/>
          <w:sz w:val="22"/>
        </w:rPr>
        <w:t xml:space="preserve"> </w:t>
      </w:r>
      <w:r>
        <mc:AlternateContent>
          <mc:Choice Requires="wps">
            <w:drawing>
              <wp:anchor behindDoc="0" distT="50800" distB="0" distL="0" distR="0" simplePos="0" locked="0" layoutInCell="1" allowOverlap="1" relativeHeight="279">
                <wp:simplePos x="0" y="0"/>
                <wp:positionH relativeFrom="column">
                  <wp:align>left</wp:align>
                </wp:positionH>
                <wp:positionV relativeFrom="line">
                  <wp:align>top</wp:align>
                </wp:positionV>
                <wp:extent cx="254000" cy="350520"/>
                <wp:effectExtent l="0" t="0" r="0" b="0"/>
                <wp:wrapSquare wrapText="right"/>
                <wp:docPr id="212" name="Frame1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60" w:before="0" w:after="283"/>
                              <w:jc w:val="left"/>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60" w:before="0" w:after="283"/>
                        <w:jc w:val="left"/>
                        <w:rPr/>
                      </w:pPr>
                      <w:r>
                        <w:rPr>
                          <w:spacing w:val="-2"/>
                        </w:rPr>
                        <w:t>(4)</w:t>
                      </w:r>
                      <w:r>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213"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56" descr=""/>
                          <pic:cNvPicPr>
                            <a:picLocks noChangeAspect="1" noChangeArrowheads="1"/>
                          </pic:cNvPicPr>
                        </pic:nvPicPr>
                        <pic:blipFill>
                          <a:blip r:embed="rId67"/>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26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EXCO"/>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520" w:before="740" w:after="283"/>
        <w:ind w:left="1140" w:right="0" w:hanging="0"/>
        <w:jc w:val="left"/>
        <w:rPr>
          <w:rFonts w:ascii="Arial;Helvetica;sans-serif" w:hAnsi="Arial;Helvetica;sans-serif"/>
          <w:b w:val="false"/>
          <w:i w:val="false"/>
          <w:caps w:val="false"/>
          <w:smallCaps w:val="false"/>
          <w:color w:val="000000"/>
          <w:sz w:val="48"/>
        </w:rPr>
      </w:pPr>
      <w:r>
        <w:rPr>
          <w:rFonts w:ascii="Arial;Helvetica;sans-serif" w:hAnsi="Arial;Helvetica;sans-serif"/>
          <w:b w:val="false"/>
          <w:i w:val="false"/>
          <w:caps w:val="false"/>
          <w:smallCaps w:val="false"/>
          <w:color w:val="000000"/>
          <w:spacing w:val="-5"/>
          <w:sz w:val="48"/>
        </w:rPr>
        <w:t>Executive Compensation</w:t>
      </w:r>
      <w:r>
        <w:rPr>
          <w:rFonts w:ascii="Arial;Helvetica;sans-serif" w:hAnsi="Arial;Helvetica;sans-serif"/>
          <w:b w:val="false"/>
          <w:i w:val="false"/>
          <w:caps w:val="false"/>
          <w:smallCaps w:val="false"/>
          <w:color w:val="000000"/>
          <w:spacing w:val="10"/>
          <w:sz w:val="48"/>
        </w:rPr>
        <w:t xml:space="preserve"> </w:t>
      </w:r>
    </w:p>
    <w:p>
      <w:pPr>
        <w:pStyle w:val="TextBody"/>
        <w:bidi w:val="0"/>
        <w:spacing w:lineRule="atLeast" w:line="400" w:before="40" w:after="283"/>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To Our Valued Stockholders:</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April 29, 2026</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As members of the Human Capital and Compensation Committee (“Committee”), we are responsible for ensuring that our executive compensation program aligns the interests of our leadership team with Generac stockholders through our pay-for-performance philosophy.</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executive compensation program has been designed to support Generac’s business and talent needs by driving execution of our strategy while attracting, retaining, and rewarding leaders to deliver strong results to enhance long-term stockholder value. Our commitment to strong pay-for-performance alignment is demonstrated by our Named Executive Officers, having on average at least 75% of their target total compensation opportunity as at-risk or variable, subject to achievement of specific financial goals or changes in value based on the Company’s stock price.</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At Generac, our executive incentive compensation program objectives reflect:</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2" w:before="86"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Our commitment to driving long-term stockholder value through executing our strategy of profitable multi-year growth and efficient capital management</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4610" distB="0" distL="254000" distR="0" simplePos="0" locked="0" layoutInCell="1" allowOverlap="1" relativeHeight="280">
                <wp:simplePos x="0" y="0"/>
                <wp:positionH relativeFrom="column">
                  <wp:align>left</wp:align>
                </wp:positionH>
                <wp:positionV relativeFrom="line">
                  <wp:align>top</wp:align>
                </wp:positionV>
                <wp:extent cx="254000" cy="350520"/>
                <wp:effectExtent l="0" t="0" r="0" b="0"/>
                <wp:wrapSquare wrapText="right"/>
                <wp:docPr id="214" name="Frame1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3pt;mso-wrap-distance-bottom:0pt;margin-top:4.3pt;mso-position-vertical:top;mso-position-vertical-relative:text;margin-left:20pt;mso-position-horizontal:left;mso-position-horizontal-relative:text">
                <v:textbox>
                  <w:txbxContent>
                    <w:p>
                      <w:pPr>
                        <w:pStyle w:val="TextBody"/>
                        <w:bidi w:val="0"/>
                        <w:spacing w:lineRule="atLeast" w:line="252"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52" w:before="80"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Our focus on accountability and motivation with financial targets that are linked to our strategic plan for our primary financial measures — Adjusted EBITDA, Primary Working Capital (“PWC”), Revenue Growth and Free Cash Flow</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254000" distR="0" simplePos="0" locked="0" layoutInCell="1" allowOverlap="1" relativeHeight="281">
                <wp:simplePos x="0" y="0"/>
                <wp:positionH relativeFrom="column">
                  <wp:align>left</wp:align>
                </wp:positionH>
                <wp:positionV relativeFrom="line">
                  <wp:align>top</wp:align>
                </wp:positionV>
                <wp:extent cx="254000" cy="350520"/>
                <wp:effectExtent l="0" t="0" r="0" b="0"/>
                <wp:wrapSquare wrapText="right"/>
                <wp:docPr id="215" name="Frame1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52"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52" w:before="80"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Our alignment of executives and stockholders with sustained financial performance, with meaningful stock ownership</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254000" distR="0" simplePos="0" locked="0" layoutInCell="1" allowOverlap="1" relativeHeight="282">
                <wp:simplePos x="0" y="0"/>
                <wp:positionH relativeFrom="column">
                  <wp:align>left</wp:align>
                </wp:positionH>
                <wp:positionV relativeFrom="line">
                  <wp:align>top</wp:align>
                </wp:positionV>
                <wp:extent cx="254000" cy="350520"/>
                <wp:effectExtent l="0" t="0" r="0" b="0"/>
                <wp:wrapSquare wrapText="right"/>
                <wp:docPr id="216" name="Frame1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52"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52" w:before="80"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Our efforts to remain competitive with market compensation and incentive upside opportunities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254000" distR="0" simplePos="0" locked="0" layoutInCell="1" allowOverlap="1" relativeHeight="283">
                <wp:simplePos x="0" y="0"/>
                <wp:positionH relativeFrom="column">
                  <wp:align>left</wp:align>
                </wp:positionH>
                <wp:positionV relativeFrom="line">
                  <wp:align>top</wp:align>
                </wp:positionV>
                <wp:extent cx="254000" cy="350520"/>
                <wp:effectExtent l="0" t="0" r="0" b="0"/>
                <wp:wrapSquare wrapText="right"/>
                <wp:docPr id="217" name="Frame1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52"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Board believes our Powering a Smarter World enterprise strategy continues to present significant long-term growth opportunities. Capturing these opportunities requires the ongoing execution of multi-year strategic initiatives and continued investment in innovation and technical talent.</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While 2025 reflected a more challenging operating environment following a strong prior year, the Committee believes the results appropriately reflect both absolute performance and long-term value creation, reinforcing alignment between executive pay and Generac’s short- and long-term financial objectives.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Sincerely, </w:t>
      </w:r>
    </w:p>
    <w:p>
      <w:pPr>
        <w:pStyle w:val="TextBody"/>
        <w:bidi w:val="0"/>
        <w:spacing w:lineRule="atLeast" w:line="250" w:before="120" w:after="283"/>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THE HUMAN CAPITAL &amp; COMPENSATION COMMITTEE </w:t>
      </w:r>
    </w:p>
    <w:p>
      <w:pPr>
        <w:pStyle w:val="TextBody"/>
        <w:bidi w:val="0"/>
        <w:spacing w:lineRule="atLeast" w:line="250" w:before="120" w:after="283"/>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Marcia Avedon, Chair </w:t>
        <w:br/>
        <w:t xml:space="preserve">William Jenkins </w:t>
        <w:br/>
        <w:t xml:space="preserve">Nam Nguyen </w:t>
        <w:br/>
        <w:t xml:space="preserve">Bennett Morgan </w:t>
        <w:br/>
        <w:t xml:space="preserve">Dominick Zarcone </w:t>
      </w:r>
    </w:p>
    <w:p>
      <w:pPr>
        <w:pStyle w:val="TextBody"/>
        <w:bidi w:val="0"/>
        <w:spacing w:lineRule="atLeast" w:line="240" w:before="78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218"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57" descr=""/>
                          <pic:cNvPicPr>
                            <a:picLocks noChangeAspect="1" noChangeArrowheads="1"/>
                          </pic:cNvPicPr>
                        </pic:nvPicPr>
                        <pic:blipFill>
                          <a:blip r:embed="rId68"/>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27</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rFonts w:ascii="Arial;Helvetica;sans-serif" w:hAnsi="Arial;Helvetica;sans-serif"/>
          <w:b w:val="false"/>
          <w:i w:val="false"/>
          <w:caps w:val="false"/>
          <w:smallCaps w:val="false"/>
          <w:color w:val="FF6A00"/>
          <w:sz w:val="22"/>
        </w:rPr>
      </w:pPr>
      <w:r>
        <w:rPr>
          <w:rFonts w:ascii="Arial;Helvetica;sans-serif" w:hAnsi="Arial;Helvetica;sans-serif"/>
          <w:b w:val="false"/>
          <w:i w:val="false"/>
          <w:caps/>
          <w:color w:val="FF6A00"/>
          <w:spacing w:val="-2"/>
          <w:sz w:val="22"/>
        </w:rPr>
        <w:t>Executive Compensation</w:t>
      </w:r>
      <w:r>
        <w:rPr>
          <w:rFonts w:ascii="Arial;Helvetica;sans-serif" w:hAnsi="Arial;Helvetica;sans-serif"/>
          <w:b w:val="false"/>
          <w:i w:val="false"/>
          <w:caps w:val="false"/>
          <w:smallCaps w:val="false"/>
          <w:color w:val="FF6A00"/>
          <w:spacing w:val="-2"/>
          <w:sz w:val="22"/>
        </w:rPr>
        <w:t xml:space="preserve"> </w:t>
      </w:r>
    </w:p>
    <w:p>
      <w:pPr>
        <w:pStyle w:val="TextBody"/>
        <w:bidi w:val="0"/>
        <w:spacing w:lineRule="atLeast" w:line="400" w:before="480" w:after="283"/>
        <w:ind w:left="1140" w:right="0" w:hanging="0"/>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Compensation Discussion and Analysis</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50" w:before="10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This Compensation Discussion and Analysis (“CD&amp;A”) describes our executive compensation program. It provides an overview of the 2025 compensation for the following named executive officers (“NEOs”), executive compensation practices and policies, and how the Human Capital and Compensation Committee (defined as the “Committee” for purposes of this CD&amp;A) made its decisions.</w:t>
      </w:r>
      <w:r>
        <w:rPr>
          <w:rFonts w:ascii="Arial;Helvetica;sans-serif" w:hAnsi="Arial;Helvetica;sans-serif"/>
          <w:b w:val="false"/>
          <w:i w:val="false"/>
          <w:caps w:val="false"/>
          <w:smallCaps w:val="false"/>
          <w:color w:val="000000"/>
          <w:spacing w:val="4"/>
          <w:sz w:val="22"/>
        </w:rPr>
        <w:t xml:space="preserve"> </w:t>
      </w:r>
    </w:p>
    <w:tbl>
      <w:tblPr>
        <w:tblW w:w="8418" w:type="dxa"/>
        <w:jc w:val="left"/>
        <w:tblInd w:w="1140" w:type="dxa"/>
        <w:tblLayout w:type="fixed"/>
        <w:tblCellMar>
          <w:top w:w="0" w:type="dxa"/>
          <w:left w:w="0" w:type="dxa"/>
          <w:bottom w:w="28" w:type="dxa"/>
          <w:right w:w="0" w:type="dxa"/>
        </w:tblCellMar>
      </w:tblPr>
      <w:tblGrid>
        <w:gridCol w:w="124"/>
        <w:gridCol w:w="2560"/>
        <w:gridCol w:w="109"/>
        <w:gridCol w:w="109"/>
        <w:gridCol w:w="5362"/>
        <w:gridCol w:w="154"/>
      </w:tblGrid>
      <w:tr>
        <w:trPr/>
        <w:tc>
          <w:tcPr>
            <w:tcW w:w="124" w:type="dxa"/>
            <w:tcBorders>
              <w:bottom w:val="single" w:sz="2" w:space="0" w:color="000000"/>
            </w:tcBorders>
            <w:vAlign w:val="center"/>
          </w:tcPr>
          <w:p>
            <w:pPr>
              <w:pStyle w:val="TableContents"/>
              <w:bidi w:val="0"/>
              <w:spacing w:before="0" w:after="283"/>
              <w:jc w:val="left"/>
              <w:rPr/>
            </w:pPr>
            <w:r>
              <w:rPr/>
              <w:t>​</w:t>
            </w:r>
          </w:p>
        </w:tc>
        <w:tc>
          <w:tcPr>
            <w:tcW w:w="2560" w:type="dxa"/>
            <w:tcBorders>
              <w:bottom w:val="single" w:sz="2" w:space="0" w:color="000000"/>
            </w:tcBorders>
            <w:tcMar>
              <w:bottom w:w="50" w:type="dxa"/>
            </w:tcMar>
            <w:vAlign w:val="center"/>
          </w:tcPr>
          <w:p>
            <w:pPr>
              <w:pStyle w:val="TableContents"/>
              <w:bidi w:val="0"/>
              <w:spacing w:before="0" w:after="0"/>
              <w:jc w:val="left"/>
              <w:rPr>
                <w:spacing w:val="-2"/>
              </w:rPr>
            </w:pPr>
            <w:r>
              <w:rPr>
                <w:spacing w:val="-2"/>
              </w:rPr>
              <w:t xml:space="preserve">Named Executive Officer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5362" w:type="dxa"/>
            <w:tcBorders>
              <w:bottom w:val="single" w:sz="2" w:space="0" w:color="000000"/>
            </w:tcBorders>
            <w:tcMar>
              <w:bottom w:w="50" w:type="dxa"/>
            </w:tcMar>
            <w:vAlign w:val="center"/>
          </w:tcPr>
          <w:p>
            <w:pPr>
              <w:pStyle w:val="TableContents"/>
              <w:bidi w:val="0"/>
              <w:spacing w:before="0" w:after="0"/>
              <w:jc w:val="left"/>
              <w:rPr>
                <w:spacing w:val="-2"/>
              </w:rPr>
            </w:pPr>
            <w:r>
              <w:rPr>
                <w:spacing w:val="-2"/>
              </w:rPr>
              <w:t xml:space="preserve">Title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tcBorders/>
            <w:shd w:fill="B2B2B2" w:val="clear"/>
            <w:tcMar>
              <w:bottom w:w="0" w:type="dxa"/>
            </w:tcMar>
            <w:vAlign w:val="center"/>
          </w:tcPr>
          <w:p>
            <w:pPr>
              <w:pStyle w:val="TableContents"/>
              <w:bidi w:val="0"/>
              <w:spacing w:before="0" w:after="283"/>
              <w:jc w:val="left"/>
              <w:rPr/>
            </w:pPr>
            <w:r>
              <w:rPr/>
              <w:t>​</w:t>
            </w:r>
          </w:p>
        </w:tc>
        <w:tc>
          <w:tcPr>
            <w:tcW w:w="2560" w:type="dxa"/>
            <w:tcBorders/>
            <w:shd w:fill="B2B2B2" w:val="clear"/>
            <w:tcMar>
              <w:bottom w:w="0" w:type="dxa"/>
            </w:tcMar>
            <w:vAlign w:val="center"/>
          </w:tcPr>
          <w:p>
            <w:pPr>
              <w:pStyle w:val="TableContents"/>
              <w:bidi w:val="0"/>
              <w:spacing w:before="0" w:after="283"/>
              <w:jc w:val="left"/>
              <w:rPr>
                <w:spacing w:val="-2"/>
              </w:rPr>
            </w:pPr>
            <w:r>
              <w:rPr>
                <w:spacing w:val="-2"/>
              </w:rPr>
              <w:t xml:space="preserve">Aaron Jagdfeld </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5362" w:type="dxa"/>
            <w:tcBorders/>
            <w:shd w:fill="B2B2B2" w:val="clear"/>
            <w:tcMar>
              <w:bottom w:w="0" w:type="dxa"/>
            </w:tcMar>
            <w:vAlign w:val="center"/>
          </w:tcPr>
          <w:p>
            <w:pPr>
              <w:pStyle w:val="TableContents"/>
              <w:bidi w:val="0"/>
              <w:spacing w:before="0" w:after="283"/>
              <w:jc w:val="left"/>
              <w:rPr>
                <w:spacing w:val="-2"/>
              </w:rPr>
            </w:pPr>
            <w:r>
              <w:rPr>
                <w:spacing w:val="-2"/>
              </w:rPr>
              <w:t xml:space="preserve">President, Chief Executive Officer &amp; Chairman </w:t>
            </w:r>
          </w:p>
        </w:tc>
        <w:tc>
          <w:tcPr>
            <w:tcW w:w="154" w:type="dxa"/>
            <w:tcBorders/>
            <w:shd w:fill="B2B2B2"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60" w:type="dxa"/>
            <w:tcBorders/>
            <w:tcMar>
              <w:bottom w:w="0" w:type="dxa"/>
            </w:tcMar>
            <w:vAlign w:val="center"/>
          </w:tcPr>
          <w:p>
            <w:pPr>
              <w:pStyle w:val="TableContents"/>
              <w:bidi w:val="0"/>
              <w:spacing w:before="0" w:after="283"/>
              <w:jc w:val="left"/>
              <w:rPr>
                <w:spacing w:val="-2"/>
              </w:rPr>
            </w:pPr>
            <w:r>
              <w:rPr>
                <w:spacing w:val="-2"/>
              </w:rPr>
              <w:t xml:space="preserve">York Ragen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62" w:type="dxa"/>
            <w:tcBorders/>
            <w:tcMar>
              <w:bottom w:w="0" w:type="dxa"/>
            </w:tcMar>
            <w:vAlign w:val="center"/>
          </w:tcPr>
          <w:p>
            <w:pPr>
              <w:pStyle w:val="TableContents"/>
              <w:bidi w:val="0"/>
              <w:spacing w:before="0" w:after="283"/>
              <w:jc w:val="left"/>
              <w:rPr>
                <w:spacing w:val="-2"/>
              </w:rPr>
            </w:pPr>
            <w:r>
              <w:rPr>
                <w:spacing w:val="-2"/>
              </w:rPr>
              <w:t xml:space="preserve">Chief Financial Officer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B2B2B2" w:val="clear"/>
            <w:tcMar>
              <w:bottom w:w="0" w:type="dxa"/>
            </w:tcMar>
            <w:vAlign w:val="center"/>
          </w:tcPr>
          <w:p>
            <w:pPr>
              <w:pStyle w:val="TableContents"/>
              <w:bidi w:val="0"/>
              <w:spacing w:before="0" w:after="283"/>
              <w:jc w:val="left"/>
              <w:rPr/>
            </w:pPr>
            <w:r>
              <w:rPr/>
              <w:t>​</w:t>
            </w:r>
          </w:p>
        </w:tc>
        <w:tc>
          <w:tcPr>
            <w:tcW w:w="2560" w:type="dxa"/>
            <w:tcBorders/>
            <w:shd w:fill="B2B2B2" w:val="clear"/>
            <w:tcMar>
              <w:bottom w:w="0" w:type="dxa"/>
            </w:tcMar>
            <w:vAlign w:val="center"/>
          </w:tcPr>
          <w:p>
            <w:pPr>
              <w:pStyle w:val="TableContents"/>
              <w:bidi w:val="0"/>
              <w:spacing w:before="0" w:after="283"/>
              <w:jc w:val="left"/>
              <w:rPr/>
            </w:pPr>
            <w:r>
              <w:rPr>
                <w:spacing w:val="-2"/>
              </w:rPr>
              <w:t>Norman Taffe</w:t>
            </w:r>
            <w:r>
              <w:rPr>
                <w:spacing w:val="-2"/>
                <w:sz w:val="14"/>
              </w:rPr>
              <w:t>(1)</w:t>
            </w:r>
            <w:r>
              <w:rPr/>
              <w:t xml:space="preserve"> </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5362" w:type="dxa"/>
            <w:tcBorders/>
            <w:shd w:fill="B2B2B2" w:val="clear"/>
            <w:tcMar>
              <w:bottom w:w="0" w:type="dxa"/>
            </w:tcMar>
            <w:vAlign w:val="center"/>
          </w:tcPr>
          <w:p>
            <w:pPr>
              <w:pStyle w:val="TableContents"/>
              <w:bidi w:val="0"/>
              <w:spacing w:before="0" w:after="283"/>
              <w:jc w:val="left"/>
              <w:rPr>
                <w:spacing w:val="-2"/>
              </w:rPr>
            </w:pPr>
            <w:r>
              <w:rPr>
                <w:spacing w:val="-2"/>
              </w:rPr>
              <w:t xml:space="preserve">President, Generac Home </w:t>
            </w:r>
          </w:p>
        </w:tc>
        <w:tc>
          <w:tcPr>
            <w:tcW w:w="154" w:type="dxa"/>
            <w:tcBorders/>
            <w:shd w:fill="B2B2B2"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60" w:type="dxa"/>
            <w:tcBorders/>
            <w:tcMar>
              <w:bottom w:w="0" w:type="dxa"/>
            </w:tcMar>
            <w:vAlign w:val="center"/>
          </w:tcPr>
          <w:p>
            <w:pPr>
              <w:pStyle w:val="TableContents"/>
              <w:bidi w:val="0"/>
              <w:spacing w:before="0" w:after="283"/>
              <w:jc w:val="left"/>
              <w:rPr>
                <w:spacing w:val="-2"/>
              </w:rPr>
            </w:pPr>
            <w:r>
              <w:rPr>
                <w:spacing w:val="-2"/>
              </w:rPr>
              <w:t xml:space="preserve">Erik Wilde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62" w:type="dxa"/>
            <w:tcBorders/>
            <w:tcMar>
              <w:bottom w:w="0" w:type="dxa"/>
            </w:tcMar>
            <w:vAlign w:val="center"/>
          </w:tcPr>
          <w:p>
            <w:pPr>
              <w:pStyle w:val="TableContents"/>
              <w:bidi w:val="0"/>
              <w:spacing w:before="0" w:after="283"/>
              <w:jc w:val="left"/>
              <w:rPr/>
            </w:pPr>
            <w:r>
              <w:rPr>
                <w:spacing w:val="-2"/>
              </w:rPr>
              <w:t>President, Domestic Commercial and Industrial</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B2B2B2" w:val="clear"/>
            <w:tcMar>
              <w:bottom w:w="0" w:type="dxa"/>
            </w:tcMar>
            <w:vAlign w:val="center"/>
          </w:tcPr>
          <w:p>
            <w:pPr>
              <w:pStyle w:val="TableContents"/>
              <w:bidi w:val="0"/>
              <w:spacing w:before="0" w:after="283"/>
              <w:jc w:val="left"/>
              <w:rPr/>
            </w:pPr>
            <w:r>
              <w:rPr/>
              <w:t>​</w:t>
            </w:r>
          </w:p>
        </w:tc>
        <w:tc>
          <w:tcPr>
            <w:tcW w:w="2560" w:type="dxa"/>
            <w:tcBorders/>
            <w:shd w:fill="B2B2B2" w:val="clear"/>
            <w:tcMar>
              <w:bottom w:w="0" w:type="dxa"/>
            </w:tcMar>
            <w:vAlign w:val="center"/>
          </w:tcPr>
          <w:p>
            <w:pPr>
              <w:pStyle w:val="TableContents"/>
              <w:bidi w:val="0"/>
              <w:spacing w:before="0" w:after="283"/>
              <w:jc w:val="left"/>
              <w:rPr>
                <w:spacing w:val="-2"/>
              </w:rPr>
            </w:pPr>
            <w:r>
              <w:rPr>
                <w:spacing w:val="-2"/>
              </w:rPr>
              <w:t xml:space="preserve">Raj Kanuru </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5362" w:type="dxa"/>
            <w:tcBorders/>
            <w:shd w:fill="B2B2B2" w:val="clear"/>
            <w:tcMar>
              <w:bottom w:w="0" w:type="dxa"/>
            </w:tcMar>
            <w:vAlign w:val="center"/>
          </w:tcPr>
          <w:p>
            <w:pPr>
              <w:pStyle w:val="TableContents"/>
              <w:bidi w:val="0"/>
              <w:spacing w:before="0" w:after="283"/>
              <w:jc w:val="left"/>
              <w:rPr/>
            </w:pPr>
            <w:r>
              <w:rPr>
                <w:spacing w:val="-2"/>
              </w:rPr>
              <w:t>Executive Vice President, General Counsel &amp; Secretary</w:t>
            </w:r>
            <w:r>
              <w:rPr/>
              <w:t xml:space="preserve"> </w:t>
            </w:r>
          </w:p>
        </w:tc>
        <w:tc>
          <w:tcPr>
            <w:tcW w:w="154" w:type="dxa"/>
            <w:tcBorders/>
            <w:shd w:fill="B2B2B2" w:val="clear"/>
            <w:tcMar>
              <w:bottom w:w="0" w:type="dxa"/>
            </w:tcMar>
            <w:vAlign w:val="center"/>
          </w:tcPr>
          <w:p>
            <w:pPr>
              <w:pStyle w:val="TableContents"/>
              <w:bidi w:val="0"/>
              <w:spacing w:before="0" w:after="283"/>
              <w:jc w:val="left"/>
              <w:rPr/>
            </w:pPr>
            <w:r>
              <w:rPr/>
              <w:t>​</w:t>
            </w:r>
          </w:p>
        </w:tc>
      </w:tr>
    </w:tbl>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14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Mr. Taffe became President, Generac Home effective February 27, 2026. For fiscal 2025, Mr. Taffe served as President, Energy Technology</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88900" distB="0" distL="0" distR="0" simplePos="0" locked="0" layoutInCell="1" allowOverlap="1" relativeHeight="284">
                <wp:simplePos x="0" y="0"/>
                <wp:positionH relativeFrom="column">
                  <wp:align>left</wp:align>
                </wp:positionH>
                <wp:positionV relativeFrom="line">
                  <wp:align>top</wp:align>
                </wp:positionV>
                <wp:extent cx="254000" cy="350520"/>
                <wp:effectExtent l="0" t="0" r="0" b="0"/>
                <wp:wrapSquare wrapText="right"/>
                <wp:docPr id="219" name="Frame1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6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60"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tbl>
      <w:tblPr>
        <w:tblW w:w="8109" w:type="dxa"/>
        <w:jc w:val="left"/>
        <w:tblInd w:w="1140" w:type="dxa"/>
        <w:tblLayout w:type="fixed"/>
        <w:tblCellMar>
          <w:top w:w="0" w:type="dxa"/>
          <w:left w:w="0" w:type="dxa"/>
          <w:bottom w:w="0" w:type="dxa"/>
          <w:right w:w="0" w:type="dxa"/>
        </w:tblCellMar>
      </w:tblPr>
      <w:tblGrid>
        <w:gridCol w:w="124"/>
        <w:gridCol w:w="1226"/>
        <w:gridCol w:w="109"/>
        <w:gridCol w:w="109"/>
        <w:gridCol w:w="6387"/>
        <w:gridCol w:w="154"/>
      </w:tblGrid>
      <w:tr>
        <w:trPr/>
        <w:tc>
          <w:tcPr>
            <w:tcW w:w="124" w:type="dxa"/>
            <w:tcBorders/>
            <w:vAlign w:val="center"/>
          </w:tcPr>
          <w:p>
            <w:pPr>
              <w:pStyle w:val="TableContents"/>
              <w:bidi w:val="0"/>
              <w:spacing w:before="0" w:after="283"/>
              <w:jc w:val="left"/>
              <w:rPr/>
            </w:pPr>
            <w:r>
              <w:rPr/>
              <w:t>​</w:t>
            </w:r>
          </w:p>
        </w:tc>
        <w:tc>
          <w:tcPr>
            <w:tcW w:w="122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685800" cy="619125"/>
                  <wp:effectExtent l="0" t="0" r="0" b="0"/>
                  <wp:docPr id="220"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58" descr=""/>
                          <pic:cNvPicPr>
                            <a:picLocks noChangeAspect="1" noChangeArrowheads="1"/>
                          </pic:cNvPicPr>
                        </pic:nvPicPr>
                        <pic:blipFill>
                          <a:blip r:embed="rId69"/>
                          <a:stretch>
                            <a:fillRect/>
                          </a:stretch>
                        </pic:blipFill>
                        <pic:spPr bwMode="auto">
                          <a:xfrm>
                            <a:off x="0" y="0"/>
                            <a:ext cx="685800" cy="6191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387" w:type="dxa"/>
            <w:tcBorders/>
            <w:tcMar>
              <w:top w:w="28" w:type="dxa"/>
              <w:left w:w="28" w:type="dxa"/>
              <w:bottom w:w="28" w:type="dxa"/>
              <w:right w:w="28" w:type="dxa"/>
            </w:tcMar>
            <w:vAlign w:val="center"/>
          </w:tcPr>
          <w:p>
            <w:pPr>
              <w:pStyle w:val="TableContents"/>
              <w:bidi w:val="0"/>
              <w:spacing w:lineRule="atLeast" w:line="400" w:before="0" w:after="0"/>
              <w:jc w:val="left"/>
              <w:rPr>
                <w:b/>
                <w:sz w:val="36"/>
              </w:rPr>
            </w:pPr>
            <w:r>
              <w:rPr>
                <w:b/>
                <w:spacing w:val="-4"/>
                <w:sz w:val="36"/>
              </w:rPr>
              <w:t>2025 Business Highlights &amp; Performance</w:t>
            </w:r>
            <w:r>
              <w:rPr>
                <w:b/>
                <w:sz w:val="36"/>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20" w:before="56" w:after="283"/>
        <w:ind w:left="1140" w:right="0" w:hanging="0"/>
        <w:jc w:val="left"/>
        <w:rPr>
          <w:rFonts w:ascii="Arial;Helvetica;sans-serif" w:hAnsi="Arial;Helvetica;sans-serif"/>
          <w:b/>
          <w:i w:val="false"/>
          <w:caps w:val="false"/>
          <w:smallCaps w:val="false"/>
          <w:color w:val="FF6A00"/>
          <w:sz w:val="28"/>
        </w:rPr>
      </w:pPr>
      <w:r>
        <w:rPr>
          <w:rFonts w:ascii="Arial;Helvetica;sans-serif" w:hAnsi="Arial;Helvetica;sans-serif"/>
          <w:b/>
          <w:i w:val="false"/>
          <w:caps w:val="false"/>
          <w:smallCaps w:val="false"/>
          <w:color w:val="FF6A00"/>
          <w:spacing w:val="-3"/>
          <w:sz w:val="28"/>
        </w:rPr>
        <w:t>We had solid financial performance in 2025:</w:t>
      </w:r>
      <w:r>
        <w:rPr>
          <w:rFonts w:ascii="Arial;Helvetica;sans-serif" w:hAnsi="Arial;Helvetica;sans-serif"/>
          <w:b/>
          <w:i w:val="false"/>
          <w:caps w:val="false"/>
          <w:smallCaps w:val="false"/>
          <w:color w:val="000000"/>
          <w:spacing w:val="6"/>
          <w:sz w:val="28"/>
        </w:rPr>
        <w:t xml:space="preserve"> </w:t>
      </w:r>
    </w:p>
    <w:p>
      <w:pPr>
        <w:pStyle w:val="TextBody"/>
        <w:bidi w:val="0"/>
        <w:spacing w:before="140" w:after="283"/>
        <w:jc w:val="center"/>
        <w:rPr>
          <w:caps w:val="false"/>
          <w:smallCaps w:val="false"/>
          <w:color w:val="000000"/>
        </w:rPr>
      </w:pPr>
      <w:r>
        <w:rPr>
          <w:caps w:val="false"/>
          <w:smallCaps w:val="false"/>
          <w:color w:val="000000"/>
        </w:rPr>
        <w:drawing>
          <wp:inline distT="0" distB="0" distL="0" distR="0">
            <wp:extent cx="4533900" cy="1933575"/>
            <wp:effectExtent l="0" t="0" r="0" b="0"/>
            <wp:docPr id="221"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59" descr=""/>
                    <pic:cNvPicPr>
                      <a:picLocks noChangeAspect="1" noChangeArrowheads="1"/>
                    </pic:cNvPicPr>
                  </pic:nvPicPr>
                  <pic:blipFill>
                    <a:blip r:embed="rId70"/>
                    <a:stretch>
                      <a:fillRect/>
                    </a:stretch>
                  </pic:blipFill>
                  <pic:spPr bwMode="auto">
                    <a:xfrm>
                      <a:off x="0" y="0"/>
                      <a:ext cx="4533900" cy="1933575"/>
                    </a:xfrm>
                    <a:prstGeom prst="rect">
                      <a:avLst/>
                    </a:prstGeom>
                  </pic:spPr>
                </pic:pic>
              </a:graphicData>
            </a:graphic>
          </wp:inline>
        </w:drawing>
      </w:r>
      <w:r>
        <w:rPr>
          <w:caps w:val="false"/>
          <w:smallCaps w:val="false"/>
          <w:color w:val="000000"/>
        </w:rPr>
        <w:t xml:space="preserve"> </w:t>
      </w:r>
    </w:p>
    <w:p>
      <w:pPr>
        <w:pStyle w:val="TextBody"/>
        <w:bidi w:val="0"/>
        <w:spacing w:lineRule="atLeast" w:line="190" w:before="210"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 A full discussion of our use of non-U.S. generally accepted accounting principles measures to provide a baseline for evaluating and comparing our operating results, and a reconciliation of Adjusted EBITDA to net income can be found in Item 7 of the Company’s Annual Report on Form 10-K for the fiscal year ended December 31, 2025.</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50" w:before="100" w:after="283"/>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Following a year of significant power outage activity in 2024, Generac was able to hold a new and higher baseline of demand. 2025 net sales declined only 2% from the prior year despite a challenging operating environment that included a decade-low for second half total power outage hours and higher than expected input costs resulting from tariffs and elevated commodity prices, which negatively impacted demand. However, our diversified portfolio of backup power products and energy technology solutions allowed us to nearly fully offset lower home standby and portable shipments with significant growth in sales of residential energy technology solutions and initial revenue from products sold to global data-center customers. Adjusted EBITDA declined to $716 million during the year as net favorable price/cost realization was more than offset by operating deleverage on the lower sales volumes and unfavorable sales mix impact. Cash flow from operations declined from the record levels seen in 2024 due to lower </w:t>
      </w:r>
    </w:p>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222"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60" descr=""/>
                          <pic:cNvPicPr>
                            <a:picLocks noChangeAspect="1" noChangeArrowheads="1"/>
                          </pic:cNvPicPr>
                        </pic:nvPicPr>
                        <pic:blipFill>
                          <a:blip r:embed="rId71"/>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28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rFonts w:ascii="Arial;Helvetica;sans-serif" w:hAnsi="Arial;Helvetica;sans-serif"/>
          <w:b w:val="false"/>
          <w:i w:val="false"/>
          <w:caps w:val="false"/>
          <w:smallCaps w:val="false"/>
          <w:color w:val="FF6A00"/>
          <w:sz w:val="22"/>
        </w:rPr>
      </w:pPr>
      <w:r>
        <w:rPr>
          <w:rFonts w:ascii="Arial;Helvetica;sans-serif" w:hAnsi="Arial;Helvetica;sans-serif"/>
          <w:b w:val="false"/>
          <w:i w:val="false"/>
          <w:caps/>
          <w:color w:val="FF6A00"/>
          <w:spacing w:val="-2"/>
          <w:sz w:val="22"/>
        </w:rPr>
        <w:t>Executive Compensation</w:t>
      </w:r>
      <w:r>
        <w:rPr>
          <w:rFonts w:ascii="Arial;Helvetica;sans-serif" w:hAnsi="Arial;Helvetica;sans-serif"/>
          <w:b w:val="false"/>
          <w:i w:val="false"/>
          <w:caps w:val="false"/>
          <w:smallCaps w:val="false"/>
          <w:color w:val="FF6A00"/>
          <w:spacing w:val="-2"/>
          <w:sz w:val="22"/>
        </w:rPr>
        <w:t xml:space="preserve"> </w:t>
      </w:r>
    </w:p>
    <w:p>
      <w:pPr>
        <w:pStyle w:val="TextBody"/>
        <w:bidi w:val="0"/>
        <w:spacing w:lineRule="atLeast" w:line="250" w:before="480" w:after="283"/>
        <w:ind w:left="11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operating earnings and working capital as a use of cash as inventory built into year-end following a significantly weaker than expected second half outage environment.</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Importantly, 2025 was a year of innovation for Generac as we introduced several new products across our portfolio. In April, we launched our new large megawatt generators, significantly expanding our addressable market by allowing us to participate in the massive growth potential presented by the data center market. Our next generation home standby generators began shipping in the second half of the year, including the market’s first 28kW air-cooled unit and other important feature upgrades. Within residential energy technology, we introduced multiple new solutions including PWRcell 2, our second-generation energy storage system, and PWRmicro, the first Generac-branded microinverter that allows us to serve the solar-only market, as well as enhanced home energy management capabilities for ecobee smart thermostats, helping to strengthen and differentiate our home energy ecosystem. These new products are all thoughtfully designed to help our end customers solve for the energy challenges presented by the mega-trends of lower power quality and higher power prices.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Additionally, we continued to deploy capital in accordance with our disciplined and balanced capital allocation framework, which we believe serves to further enhance shareholder value:</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2" w:before="86"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Capital expenditures of $170 million as we prioritized production capacity expansion efforts, primarily in our C&amp;I product category.</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4610" distB="0" distL="254000" distR="0" simplePos="0" locked="0" layoutInCell="1" allowOverlap="1" relativeHeight="285">
                <wp:simplePos x="0" y="0"/>
                <wp:positionH relativeFrom="column">
                  <wp:align>left</wp:align>
                </wp:positionH>
                <wp:positionV relativeFrom="line">
                  <wp:align>top</wp:align>
                </wp:positionV>
                <wp:extent cx="254000" cy="350520"/>
                <wp:effectExtent l="0" t="0" r="0" b="0"/>
                <wp:wrapSquare wrapText="right"/>
                <wp:docPr id="223" name="Frame1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3pt;mso-wrap-distance-bottom:0pt;margin-top:4.3pt;mso-position-vertical:top;mso-position-vertical-relative:text;margin-left:20pt;mso-position-horizontal:left;mso-position-horizontal-relative:text">
                <v:textbox>
                  <w:txbxContent>
                    <w:p>
                      <w:pPr>
                        <w:pStyle w:val="TextBody"/>
                        <w:bidi w:val="0"/>
                        <w:spacing w:lineRule="atLeast" w:line="252"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52" w:before="80"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Repayment of approximately $48 million of debt to maintain a healthy balance sheet, resulting in a gross debt to Adjusted EBITDA leverage ratio of 1.9 times at year-end, within our target leverage range of 1 to 2.</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254000" distR="0" simplePos="0" locked="0" layoutInCell="1" allowOverlap="1" relativeHeight="286">
                <wp:simplePos x="0" y="0"/>
                <wp:positionH relativeFrom="column">
                  <wp:align>left</wp:align>
                </wp:positionH>
                <wp:positionV relativeFrom="line">
                  <wp:align>top</wp:align>
                </wp:positionV>
                <wp:extent cx="254000" cy="350520"/>
                <wp:effectExtent l="0" t="0" r="0" b="0"/>
                <wp:wrapSquare wrapText="right"/>
                <wp:docPr id="224" name="Frame1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52"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52" w:before="80"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Repurchase of approximately 1.1 million shares of our common stock for $148 million, or $133 per share, continuing our track record of opportunistically returning value to shareholders.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254000" distR="0" simplePos="0" locked="0" layoutInCell="1" allowOverlap="1" relativeHeight="287">
                <wp:simplePos x="0" y="0"/>
                <wp:positionH relativeFrom="column">
                  <wp:align>left</wp:align>
                </wp:positionH>
                <wp:positionV relativeFrom="line">
                  <wp:align>top</wp:align>
                </wp:positionV>
                <wp:extent cx="254000" cy="350520"/>
                <wp:effectExtent l="0" t="0" r="0" b="0"/>
                <wp:wrapSquare wrapText="right"/>
                <wp:docPr id="225" name="Frame1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52"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We believe the strategic execution during 2025 has helped Generac to be uniquely positioned in helping home and business owners solve for the energy-related challenges that come from the mega-trends of lower power quality and higher power prices.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Looking ahead to 2026, we are focused on executing against two primary strategic priorities. First, within Generac Home, we intend to accelerate growth and realize operational synergies and efficiencies through organizational realignment that is expected to facilitate continued innovation in home energy technologies, deeper integration across its home energy ecosystem, and ongoing enhancements to dealer productivity, lead generation, and installation capabilities. Second, we are prioritizing global growth in our Commercial &amp; Industrial segment, with a particular focus on expanding our role as a provider of backup power solutions to data center customers. This includes continued investment in manufacturing capacity, operational capabilities, and customer relationships to support increasing demand for large-megawatt solutions while also driving growth in the product lines and end markets in which we have has traditionally participated. </w:t>
      </w:r>
    </w:p>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226"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61" descr=""/>
                          <pic:cNvPicPr>
                            <a:picLocks noChangeAspect="1" noChangeArrowheads="1"/>
                          </pic:cNvPicPr>
                        </pic:nvPicPr>
                        <pic:blipFill>
                          <a:blip r:embed="rId72"/>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29</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rFonts w:ascii="Arial;Helvetica;sans-serif" w:hAnsi="Arial;Helvetica;sans-serif"/>
          <w:b w:val="false"/>
          <w:i w:val="false"/>
          <w:caps w:val="false"/>
          <w:smallCaps w:val="false"/>
          <w:color w:val="FF6A00"/>
          <w:sz w:val="22"/>
        </w:rPr>
      </w:pPr>
      <w:r>
        <w:rPr>
          <w:rFonts w:ascii="Arial;Helvetica;sans-serif" w:hAnsi="Arial;Helvetica;sans-serif"/>
          <w:b w:val="false"/>
          <w:i w:val="false"/>
          <w:caps/>
          <w:color w:val="FF6A00"/>
          <w:spacing w:val="-2"/>
          <w:sz w:val="22"/>
        </w:rPr>
        <w:t>Executive Compensation</w:t>
      </w:r>
      <w:r>
        <w:rPr>
          <w:rFonts w:ascii="Arial;Helvetica;sans-serif" w:hAnsi="Arial;Helvetica;sans-serif"/>
          <w:b w:val="false"/>
          <w:i w:val="false"/>
          <w:caps w:val="false"/>
          <w:smallCaps w:val="false"/>
          <w:color w:val="FF6A00"/>
          <w:spacing w:val="-2"/>
          <w:sz w:val="22"/>
        </w:rPr>
        <w:t xml:space="preserve"> </w:t>
      </w:r>
    </w:p>
    <w:tbl>
      <w:tblPr>
        <w:tblW w:w="2254" w:type="dxa"/>
        <w:jc w:val="left"/>
        <w:tblInd w:w="1140" w:type="dxa"/>
        <w:tblLayout w:type="fixed"/>
        <w:tblCellMar>
          <w:top w:w="0" w:type="dxa"/>
          <w:left w:w="0" w:type="dxa"/>
          <w:bottom w:w="0" w:type="dxa"/>
          <w:right w:w="0" w:type="dxa"/>
        </w:tblCellMar>
      </w:tblPr>
      <w:tblGrid>
        <w:gridCol w:w="124"/>
        <w:gridCol w:w="109"/>
        <w:gridCol w:w="1758"/>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FF6A00"/>
            </w:tcBorders>
            <w:tcMar>
              <w:bottom w:w="28" w:type="dxa"/>
            </w:tcMar>
            <w:vAlign w:val="center"/>
          </w:tcPr>
          <w:p>
            <w:pPr>
              <w:pStyle w:val="TableContents"/>
              <w:bidi w:val="0"/>
              <w:spacing w:before="0" w:after="283"/>
              <w:jc w:val="left"/>
              <w:rPr/>
            </w:pPr>
            <w:r>
              <w:rPr/>
              <w:t>​</w:t>
            </w:r>
          </w:p>
        </w:tc>
        <w:tc>
          <w:tcPr>
            <w:tcW w:w="1758" w:type="dxa"/>
            <w:tcBorders>
              <w:bottom w:val="single" w:sz="6" w:space="0" w:color="FF6A00"/>
            </w:tcBorders>
            <w:tcMar>
              <w:bottom w:w="240" w:type="dxa"/>
            </w:tcMar>
            <w:vAlign w:val="center"/>
          </w:tcPr>
          <w:p>
            <w:pPr>
              <w:pStyle w:val="TableContents"/>
              <w:bidi w:val="0"/>
              <w:spacing w:before="0" w:after="0"/>
              <w:jc w:val="center"/>
              <w:rPr/>
            </w:pPr>
            <w:r>
              <w:rPr>
                <w:spacing w:val="-2"/>
              </w:rPr>
              <w:t>Financial Results</w:t>
            </w:r>
            <w:r>
              <w:rPr/>
              <w:t xml:space="preserve"> </w:t>
            </w:r>
          </w:p>
        </w:tc>
        <w:tc>
          <w:tcPr>
            <w:tcW w:w="109" w:type="dxa"/>
            <w:tcBorders>
              <w:bottom w:val="single" w:sz="6" w:space="0" w:color="FF6A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410" w:after="283"/>
        <w:ind w:left="1140" w:right="0" w:hanging="0"/>
        <w:jc w:val="center"/>
        <w:rPr>
          <w:caps w:val="false"/>
          <w:smallCaps w:val="false"/>
          <w:color w:val="000000"/>
        </w:rPr>
      </w:pPr>
      <w:r>
        <w:rPr>
          <w:caps w:val="false"/>
          <w:smallCaps w:val="false"/>
          <w:color w:val="000000"/>
        </w:rPr>
        <w:drawing>
          <wp:inline distT="0" distB="0" distL="0" distR="0">
            <wp:extent cx="4124325" cy="1438275"/>
            <wp:effectExtent l="0" t="0" r="0" b="0"/>
            <wp:docPr id="227"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62" descr=""/>
                    <pic:cNvPicPr>
                      <a:picLocks noChangeAspect="1" noChangeArrowheads="1"/>
                    </pic:cNvPicPr>
                  </pic:nvPicPr>
                  <pic:blipFill>
                    <a:blip r:embed="rId73"/>
                    <a:stretch>
                      <a:fillRect/>
                    </a:stretch>
                  </pic:blipFill>
                  <pic:spPr bwMode="auto">
                    <a:xfrm>
                      <a:off x="0" y="0"/>
                      <a:ext cx="4124325" cy="1438275"/>
                    </a:xfrm>
                    <a:prstGeom prst="rect">
                      <a:avLst/>
                    </a:prstGeom>
                  </pic:spPr>
                </pic:pic>
              </a:graphicData>
            </a:graphic>
          </wp:inline>
        </w:drawing>
      </w:r>
      <w:r>
        <w:rPr>
          <w:caps w:val="false"/>
          <w:smallCaps w:val="false"/>
          <w:color w:val="000000"/>
        </w:rPr>
        <w:t xml:space="preserve"> </w:t>
      </w:r>
    </w:p>
    <w:p>
      <w:pPr>
        <w:pStyle w:val="TextBody"/>
        <w:bidi w:val="0"/>
        <w:spacing w:before="238" w:after="283"/>
        <w:jc w:val="center"/>
        <w:rPr>
          <w:caps w:val="false"/>
          <w:smallCaps w:val="false"/>
          <w:color w:val="000000"/>
        </w:rPr>
      </w:pPr>
      <w:r>
        <w:rPr>
          <w:caps w:val="false"/>
          <w:smallCaps w:val="false"/>
          <w:color w:val="000000"/>
        </w:rPr>
        <w:drawing>
          <wp:inline distT="0" distB="0" distL="0" distR="0">
            <wp:extent cx="4114800" cy="3152775"/>
            <wp:effectExtent l="0" t="0" r="0" b="0"/>
            <wp:docPr id="228"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63" descr=""/>
                    <pic:cNvPicPr>
                      <a:picLocks noChangeAspect="1" noChangeArrowheads="1"/>
                    </pic:cNvPicPr>
                  </pic:nvPicPr>
                  <pic:blipFill>
                    <a:blip r:embed="rId74"/>
                    <a:stretch>
                      <a:fillRect/>
                    </a:stretch>
                  </pic:blipFill>
                  <pic:spPr bwMode="auto">
                    <a:xfrm>
                      <a:off x="0" y="0"/>
                      <a:ext cx="4114800" cy="3152775"/>
                    </a:xfrm>
                    <a:prstGeom prst="rect">
                      <a:avLst/>
                    </a:prstGeom>
                  </pic:spPr>
                </pic:pic>
              </a:graphicData>
            </a:graphic>
          </wp:inline>
        </w:drawing>
      </w:r>
      <w:r>
        <w:rPr>
          <w:caps w:val="false"/>
          <w:smallCaps w:val="false"/>
          <w:color w:val="000000"/>
        </w:rPr>
        <w:t xml:space="preserve"> </w:t>
      </w:r>
    </w:p>
    <w:p>
      <w:pPr>
        <w:pStyle w:val="TextBody"/>
        <w:bidi w:val="0"/>
        <w:spacing w:lineRule="atLeast" w:line="200" w:before="218" w:after="283"/>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2"/>
          <w:sz w:val="16"/>
        </w:rPr>
        <w:t>* A full discussion of our use of non-U.S. generally accepted accounting principles measures to provide a baseline for evaluating and comparing our operating results, and a reconciliation of Adjusted EBITDA to net income can be found in Item 7 of the Company’s Annual Report on Form 10-K for the fiscal year ended December 31, 2025.</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00" w:before="60" w:after="283"/>
        <w:jc w:val="left"/>
        <w:rPr>
          <w:rFonts w:ascii="Arial;Helvetica;sans-serif" w:hAnsi="Arial;Helvetica;sans-serif"/>
          <w:b w:val="false"/>
          <w:i w:val="false"/>
          <w:caps w:val="false"/>
          <w:smallCaps w:val="false"/>
          <w:color w:val="000000"/>
          <w:spacing w:val="-2"/>
          <w:sz w:val="16"/>
        </w:rPr>
      </w:pPr>
      <w:r>
        <w:rPr>
          <w:rFonts w:ascii="Arial;Helvetica;sans-serif" w:hAnsi="Arial;Helvetica;sans-serif"/>
          <w:b w:val="false"/>
          <w:i w:val="false"/>
          <w:caps w:val="false"/>
          <w:smallCaps w:val="false"/>
          <w:color w:val="000000"/>
          <w:spacing w:val="-2"/>
          <w:sz w:val="16"/>
        </w:rPr>
        <w:t xml:space="preserve">(1)   Total Shareholder Return reflects the compound annual price appreciation of Generac shares expressed as a percentage. </w:t>
      </w:r>
    </w:p>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229"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64" descr=""/>
                          <pic:cNvPicPr>
                            <a:picLocks noChangeAspect="1" noChangeArrowheads="1"/>
                          </pic:cNvPicPr>
                        </pic:nvPicPr>
                        <pic:blipFill>
                          <a:blip r:embed="rId75"/>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30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rFonts w:ascii="Arial;Helvetica;sans-serif" w:hAnsi="Arial;Helvetica;sans-serif"/>
          <w:b w:val="false"/>
          <w:i w:val="false"/>
          <w:caps w:val="false"/>
          <w:smallCaps w:val="false"/>
          <w:color w:val="FF6A00"/>
          <w:sz w:val="22"/>
        </w:rPr>
      </w:pPr>
      <w:r>
        <w:rPr>
          <w:rFonts w:ascii="Arial;Helvetica;sans-serif" w:hAnsi="Arial;Helvetica;sans-serif"/>
          <w:b w:val="false"/>
          <w:i w:val="false"/>
          <w:caps/>
          <w:color w:val="FF6A00"/>
          <w:spacing w:val="-2"/>
          <w:sz w:val="22"/>
        </w:rPr>
        <w:t>Executive Compensation</w:t>
      </w:r>
      <w:r>
        <w:rPr>
          <w:rFonts w:ascii="Arial;Helvetica;sans-serif" w:hAnsi="Arial;Helvetica;sans-serif"/>
          <w:b w:val="false"/>
          <w:i w:val="false"/>
          <w:caps w:val="false"/>
          <w:smallCaps w:val="false"/>
          <w:color w:val="FF6A00"/>
          <w:spacing w:val="-2"/>
          <w:sz w:val="22"/>
        </w:rPr>
        <w:t xml:space="preserve"> </w:t>
      </w:r>
    </w:p>
    <w:p>
      <w:pPr>
        <w:pStyle w:val="TextBody"/>
        <w:bidi w:val="0"/>
        <w:spacing w:lineRule="atLeast" w:line="250" w:before="480" w:after="283"/>
        <w:ind w:left="1140" w:right="0" w:hanging="0"/>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2"/>
          <w:sz w:val="22"/>
        </w:rPr>
        <w:t>Generac’s Executive Compensation Practices</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following best practices ensure alignment between stockholders and executives while maintaining strong corporate governance.</w:t>
      </w:r>
      <w:r>
        <w:rPr>
          <w:rFonts w:ascii="Arial;Helvetica;sans-serif" w:hAnsi="Arial;Helvetica;sans-serif"/>
          <w:b w:val="false"/>
          <w:i w:val="false"/>
          <w:caps w:val="false"/>
          <w:smallCaps w:val="false"/>
          <w:color w:val="000000"/>
          <w:spacing w:val="4"/>
          <w:sz w:val="22"/>
        </w:rPr>
        <w:t xml:space="preserve"> </w:t>
      </w:r>
    </w:p>
    <w:tbl>
      <w:tblPr>
        <w:tblW w:w="9065" w:type="dxa"/>
        <w:jc w:val="left"/>
        <w:tblInd w:w="1140" w:type="dxa"/>
        <w:tblLayout w:type="fixed"/>
        <w:tblCellMar>
          <w:top w:w="0" w:type="dxa"/>
          <w:left w:w="0" w:type="dxa"/>
          <w:bottom w:w="0" w:type="dxa"/>
          <w:right w:w="0" w:type="dxa"/>
        </w:tblCellMar>
      </w:tblPr>
      <w:tblGrid>
        <w:gridCol w:w="124"/>
        <w:gridCol w:w="272"/>
        <w:gridCol w:w="109"/>
        <w:gridCol w:w="109"/>
        <w:gridCol w:w="1847"/>
        <w:gridCol w:w="109"/>
        <w:gridCol w:w="109"/>
        <w:gridCol w:w="6230"/>
        <w:gridCol w:w="156"/>
      </w:tblGrid>
      <w:tr>
        <w:trPr/>
        <w:tc>
          <w:tcPr>
            <w:tcW w:w="124" w:type="dxa"/>
            <w:tcBorders/>
            <w:vAlign w:val="center"/>
          </w:tcPr>
          <w:p>
            <w:pPr>
              <w:pStyle w:val="TableContents"/>
              <w:bidi w:val="0"/>
              <w:spacing w:before="0" w:after="283"/>
              <w:jc w:val="left"/>
              <w:rPr/>
            </w:pPr>
            <w:r>
              <w:rPr/>
              <w:t>​</w:t>
            </w:r>
          </w:p>
        </w:tc>
        <w:tc>
          <w:tcPr>
            <w:tcW w:w="8785" w:type="dxa"/>
            <w:gridSpan w:val="7"/>
            <w:tcBorders/>
            <w:vAlign w:val="center"/>
          </w:tcPr>
          <w:p>
            <w:pPr>
              <w:pStyle w:val="TableContents"/>
              <w:bidi w:val="0"/>
              <w:spacing w:before="0" w:after="0"/>
              <w:jc w:val="center"/>
              <w:rPr>
                <w:spacing w:val="-2"/>
              </w:rPr>
            </w:pPr>
            <w:r>
              <w:rPr>
                <w:spacing w:val="-2"/>
              </w:rPr>
              <w:t xml:space="preserve">WHAT WE DO: </w:t>
              <w:br/>
              <w:t xml:space="preserve">    </w:t>
            </w:r>
          </w:p>
        </w:tc>
        <w:tc>
          <w:tcPr>
            <w:tcW w:w="156" w:type="dxa"/>
            <w:tcBorders/>
            <w:vAlign w:val="center"/>
          </w:tcPr>
          <w:p>
            <w:pPr>
              <w:pStyle w:val="TableContents"/>
              <w:bidi w:val="0"/>
              <w:spacing w:before="0" w:after="283"/>
              <w:jc w:val="left"/>
              <w:rPr/>
            </w:pPr>
            <w:r>
              <w:rPr/>
              <w:t>​</w:t>
            </w:r>
          </w:p>
        </w:tc>
      </w:tr>
      <w:tr>
        <w:trPr/>
        <w:tc>
          <w:tcPr>
            <w:tcW w:w="124" w:type="dxa"/>
            <w:tcBorders/>
            <w:shd w:fill="B2B2B2" w:val="clear"/>
            <w:vAlign w:val="center"/>
          </w:tcPr>
          <w:p>
            <w:pPr>
              <w:pStyle w:val="TableContents"/>
              <w:bidi w:val="0"/>
              <w:spacing w:before="0" w:after="283"/>
              <w:jc w:val="left"/>
              <w:rPr/>
            </w:pPr>
            <w:r>
              <w:rPr/>
              <w:t>​</w:t>
            </w:r>
          </w:p>
        </w:tc>
        <w:tc>
          <w:tcPr>
            <w:tcW w:w="272" w:type="dxa"/>
            <w:tcBorders/>
            <w:shd w:fill="B2B2B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14300" cy="200025"/>
                  <wp:effectExtent l="0" t="0" r="0" b="0"/>
                  <wp:docPr id="230"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65" descr=""/>
                          <pic:cNvPicPr>
                            <a:picLocks noChangeAspect="1" noChangeArrowheads="1"/>
                          </pic:cNvPicPr>
                        </pic:nvPicPr>
                        <pic:blipFill>
                          <a:blip r:embed="rId76"/>
                          <a:stretch>
                            <a:fillRect/>
                          </a:stretch>
                        </pic:blipFill>
                        <pic:spPr bwMode="auto">
                          <a:xfrm>
                            <a:off x="0" y="0"/>
                            <a:ext cx="114300" cy="200025"/>
                          </a:xfrm>
                          <a:prstGeom prst="rect">
                            <a:avLst/>
                          </a:prstGeom>
                        </pic:spPr>
                      </pic:pic>
                    </a:graphicData>
                  </a:graphic>
                </wp:inline>
              </w:drawing>
            </w:r>
            <w:r>
              <w:rPr/>
              <w:t xml:space="preserve"> </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847" w:type="dxa"/>
            <w:tcBorders/>
            <w:shd w:fill="B2B2B2" w:val="clear"/>
            <w:tcMar>
              <w:top w:w="28" w:type="dxa"/>
              <w:left w:w="28" w:type="dxa"/>
              <w:bottom w:w="28" w:type="dxa"/>
              <w:right w:w="28" w:type="dxa"/>
            </w:tcMar>
            <w:vAlign w:val="center"/>
          </w:tcPr>
          <w:p>
            <w:pPr>
              <w:pStyle w:val="TableContents"/>
              <w:bidi w:val="0"/>
              <w:spacing w:lineRule="atLeast" w:line="236" w:before="0" w:after="0"/>
              <w:jc w:val="left"/>
              <w:rPr>
                <w:b/>
                <w:spacing w:val="-2"/>
              </w:rPr>
            </w:pPr>
            <w:r>
              <w:rPr>
                <w:b/>
                <w:spacing w:val="-2"/>
              </w:rPr>
              <w:t xml:space="preserve">Pay for Performance </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6230" w:type="dxa"/>
            <w:tcBorders/>
            <w:shd w:fill="B2B2B2" w:val="clear"/>
            <w:vAlign w:val="center"/>
          </w:tcPr>
          <w:p>
            <w:pPr>
              <w:pStyle w:val="TableContents"/>
              <w:bidi w:val="0"/>
              <w:spacing w:lineRule="atLeast" w:line="236" w:before="0" w:after="0"/>
              <w:jc w:val="left"/>
              <w:rPr>
                <w:spacing w:val="-2"/>
              </w:rPr>
            </w:pPr>
            <w:r>
              <w:rPr>
                <w:spacing w:val="-2"/>
              </w:rPr>
              <w:t xml:space="preserve">On average 75% or more of NEO pay is at-risk or variable based on the achievement of specific annual and long-term strategic and financial goals. Further, the entire LTIP award value is directly aligned to the Company’s stock price. </w:t>
            </w:r>
          </w:p>
        </w:tc>
        <w:tc>
          <w:tcPr>
            <w:tcW w:w="156" w:type="dxa"/>
            <w:tcBorders/>
            <w:shd w:fill="B2B2B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2"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14300" cy="200025"/>
                  <wp:effectExtent l="0" t="0" r="0" b="0"/>
                  <wp:docPr id="231"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66" descr=""/>
                          <pic:cNvPicPr>
                            <a:picLocks noChangeAspect="1" noChangeArrowheads="1"/>
                          </pic:cNvPicPr>
                        </pic:nvPicPr>
                        <pic:blipFill>
                          <a:blip r:embed="rId77"/>
                          <a:stretch>
                            <a:fillRect/>
                          </a:stretch>
                        </pic:blipFill>
                        <pic:spPr bwMode="auto">
                          <a:xfrm>
                            <a:off x="0" y="0"/>
                            <a:ext cx="114300" cy="2000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47" w:type="dxa"/>
            <w:tcBorders/>
            <w:vAlign w:val="center"/>
          </w:tcPr>
          <w:p>
            <w:pPr>
              <w:pStyle w:val="TableContents"/>
              <w:bidi w:val="0"/>
              <w:spacing w:lineRule="atLeast" w:line="236" w:before="0" w:after="0"/>
              <w:jc w:val="left"/>
              <w:rPr>
                <w:b/>
                <w:spacing w:val="-2"/>
              </w:rPr>
            </w:pPr>
            <w:r>
              <w:rPr>
                <w:b/>
                <w:spacing w:val="-2"/>
              </w:rPr>
              <w:t xml:space="preserve">Independent Compensation Consultant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30" w:type="dxa"/>
            <w:tcBorders/>
            <w:vAlign w:val="center"/>
          </w:tcPr>
          <w:p>
            <w:pPr>
              <w:pStyle w:val="TableContents"/>
              <w:bidi w:val="0"/>
              <w:spacing w:lineRule="atLeast" w:line="236" w:before="0" w:after="0"/>
              <w:jc w:val="left"/>
              <w:rPr>
                <w:spacing w:val="-2"/>
              </w:rPr>
            </w:pPr>
            <w:r>
              <w:rPr>
                <w:spacing w:val="-2"/>
              </w:rPr>
              <w:t xml:space="preserve">An independent consultant is retained by the Human Capital and Compensation Committee. </w:t>
            </w:r>
          </w:p>
        </w:tc>
        <w:tc>
          <w:tcPr>
            <w:tcW w:w="156" w:type="dxa"/>
            <w:tcBorders/>
            <w:vAlign w:val="center"/>
          </w:tcPr>
          <w:p>
            <w:pPr>
              <w:pStyle w:val="TableContents"/>
              <w:bidi w:val="0"/>
              <w:spacing w:before="0" w:after="283"/>
              <w:jc w:val="left"/>
              <w:rPr/>
            </w:pPr>
            <w:r>
              <w:rPr/>
              <w:t>​</w:t>
            </w:r>
          </w:p>
        </w:tc>
      </w:tr>
      <w:tr>
        <w:trPr/>
        <w:tc>
          <w:tcPr>
            <w:tcW w:w="124" w:type="dxa"/>
            <w:tcBorders/>
            <w:shd w:fill="B2B2B2" w:val="clear"/>
            <w:vAlign w:val="center"/>
          </w:tcPr>
          <w:p>
            <w:pPr>
              <w:pStyle w:val="TableContents"/>
              <w:bidi w:val="0"/>
              <w:spacing w:before="0" w:after="283"/>
              <w:jc w:val="left"/>
              <w:rPr/>
            </w:pPr>
            <w:r>
              <w:rPr/>
              <w:t>​</w:t>
            </w:r>
          </w:p>
        </w:tc>
        <w:tc>
          <w:tcPr>
            <w:tcW w:w="272" w:type="dxa"/>
            <w:tcBorders/>
            <w:shd w:fill="B2B2B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14300" cy="200025"/>
                  <wp:effectExtent l="0" t="0" r="0" b="0"/>
                  <wp:docPr id="232"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67" descr=""/>
                          <pic:cNvPicPr>
                            <a:picLocks noChangeAspect="1" noChangeArrowheads="1"/>
                          </pic:cNvPicPr>
                        </pic:nvPicPr>
                        <pic:blipFill>
                          <a:blip r:embed="rId78"/>
                          <a:stretch>
                            <a:fillRect/>
                          </a:stretch>
                        </pic:blipFill>
                        <pic:spPr bwMode="auto">
                          <a:xfrm>
                            <a:off x="0" y="0"/>
                            <a:ext cx="114300" cy="200025"/>
                          </a:xfrm>
                          <a:prstGeom prst="rect">
                            <a:avLst/>
                          </a:prstGeom>
                        </pic:spPr>
                      </pic:pic>
                    </a:graphicData>
                  </a:graphic>
                </wp:inline>
              </w:drawing>
            </w:r>
            <w:r>
              <w:rPr/>
              <w:t xml:space="preserve"> </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847" w:type="dxa"/>
            <w:tcBorders/>
            <w:shd w:fill="B2B2B2" w:val="clear"/>
            <w:vAlign w:val="center"/>
          </w:tcPr>
          <w:p>
            <w:pPr>
              <w:pStyle w:val="TableContents"/>
              <w:bidi w:val="0"/>
              <w:spacing w:lineRule="atLeast" w:line="236" w:before="0" w:after="0"/>
              <w:jc w:val="left"/>
              <w:rPr>
                <w:b/>
              </w:rPr>
            </w:pPr>
            <w:r>
              <w:rPr>
                <w:b/>
                <w:spacing w:val="-2"/>
              </w:rPr>
              <w:t>Stock Ownership Guidelines</w:t>
            </w:r>
            <w:r>
              <w:rPr>
                <w:b/>
              </w:rPr>
              <w:t xml:space="preserve"> </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6230" w:type="dxa"/>
            <w:tcBorders/>
            <w:shd w:fill="B2B2B2" w:val="clear"/>
            <w:vAlign w:val="center"/>
          </w:tcPr>
          <w:p>
            <w:pPr>
              <w:pStyle w:val="TableContents"/>
              <w:bidi w:val="0"/>
              <w:spacing w:lineRule="atLeast" w:line="236" w:before="0" w:after="0"/>
              <w:jc w:val="left"/>
              <w:rPr>
                <w:spacing w:val="-2"/>
              </w:rPr>
            </w:pPr>
            <w:r>
              <w:rPr>
                <w:spacing w:val="-2"/>
              </w:rPr>
              <w:t xml:space="preserve">Market-based stock ownership guidelines have been established for executive officers and directors. </w:t>
            </w:r>
          </w:p>
        </w:tc>
        <w:tc>
          <w:tcPr>
            <w:tcW w:w="156" w:type="dxa"/>
            <w:tcBorders/>
            <w:shd w:fill="B2B2B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2"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14300" cy="200025"/>
                  <wp:effectExtent l="0" t="0" r="0" b="0"/>
                  <wp:docPr id="233"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68" descr=""/>
                          <pic:cNvPicPr>
                            <a:picLocks noChangeAspect="1" noChangeArrowheads="1"/>
                          </pic:cNvPicPr>
                        </pic:nvPicPr>
                        <pic:blipFill>
                          <a:blip r:embed="rId79"/>
                          <a:stretch>
                            <a:fillRect/>
                          </a:stretch>
                        </pic:blipFill>
                        <pic:spPr bwMode="auto">
                          <a:xfrm>
                            <a:off x="0" y="0"/>
                            <a:ext cx="114300" cy="2000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47" w:type="dxa"/>
            <w:tcBorders/>
            <w:tcMar>
              <w:top w:w="28" w:type="dxa"/>
              <w:left w:w="28" w:type="dxa"/>
              <w:bottom w:w="28" w:type="dxa"/>
              <w:right w:w="28" w:type="dxa"/>
            </w:tcMar>
            <w:vAlign w:val="center"/>
          </w:tcPr>
          <w:p>
            <w:pPr>
              <w:pStyle w:val="TableContents"/>
              <w:bidi w:val="0"/>
              <w:spacing w:lineRule="atLeast" w:line="236" w:before="0" w:after="0"/>
              <w:jc w:val="left"/>
              <w:rPr>
                <w:b/>
              </w:rPr>
            </w:pPr>
            <w:r>
              <w:rPr>
                <w:b/>
                <w:spacing w:val="-2"/>
              </w:rPr>
              <w:t>Compensation Risk Assessment</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30" w:type="dxa"/>
            <w:tcBorders/>
            <w:vAlign w:val="center"/>
          </w:tcPr>
          <w:p>
            <w:pPr>
              <w:pStyle w:val="TableContents"/>
              <w:bidi w:val="0"/>
              <w:spacing w:lineRule="atLeast" w:line="236" w:before="0" w:after="0"/>
              <w:jc w:val="left"/>
              <w:rPr>
                <w:spacing w:val="-2"/>
              </w:rPr>
            </w:pPr>
            <w:r>
              <w:rPr>
                <w:spacing w:val="-2"/>
              </w:rPr>
              <w:t xml:space="preserve">A compensation risk assessment is performed on an annual basis. In June 2025, the Human Capital and Compensation Committee, based on an assessment completed by their independent consultant, concluded that our compensation programs do not incentivize excessive risk-taking that could harm the Company or its stakeholders. </w:t>
            </w:r>
          </w:p>
        </w:tc>
        <w:tc>
          <w:tcPr>
            <w:tcW w:w="156" w:type="dxa"/>
            <w:tcBorders/>
            <w:vAlign w:val="center"/>
          </w:tcPr>
          <w:p>
            <w:pPr>
              <w:pStyle w:val="TableContents"/>
              <w:bidi w:val="0"/>
              <w:spacing w:before="0" w:after="283"/>
              <w:jc w:val="left"/>
              <w:rPr/>
            </w:pPr>
            <w:r>
              <w:rPr/>
              <w:t>​</w:t>
            </w:r>
          </w:p>
        </w:tc>
      </w:tr>
      <w:tr>
        <w:trPr/>
        <w:tc>
          <w:tcPr>
            <w:tcW w:w="124" w:type="dxa"/>
            <w:tcBorders/>
            <w:shd w:fill="B2B2B2" w:val="clear"/>
            <w:vAlign w:val="center"/>
          </w:tcPr>
          <w:p>
            <w:pPr>
              <w:pStyle w:val="TableContents"/>
              <w:bidi w:val="0"/>
              <w:spacing w:before="0" w:after="283"/>
              <w:jc w:val="left"/>
              <w:rPr/>
            </w:pPr>
            <w:r>
              <w:rPr/>
              <w:t>​</w:t>
            </w:r>
          </w:p>
        </w:tc>
        <w:tc>
          <w:tcPr>
            <w:tcW w:w="272" w:type="dxa"/>
            <w:tcBorders/>
            <w:shd w:fill="B2B2B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14300" cy="200025"/>
                  <wp:effectExtent l="0" t="0" r="0" b="0"/>
                  <wp:docPr id="234"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69" descr=""/>
                          <pic:cNvPicPr>
                            <a:picLocks noChangeAspect="1" noChangeArrowheads="1"/>
                          </pic:cNvPicPr>
                        </pic:nvPicPr>
                        <pic:blipFill>
                          <a:blip r:embed="rId80"/>
                          <a:stretch>
                            <a:fillRect/>
                          </a:stretch>
                        </pic:blipFill>
                        <pic:spPr bwMode="auto">
                          <a:xfrm>
                            <a:off x="0" y="0"/>
                            <a:ext cx="114300" cy="200025"/>
                          </a:xfrm>
                          <a:prstGeom prst="rect">
                            <a:avLst/>
                          </a:prstGeom>
                        </pic:spPr>
                      </pic:pic>
                    </a:graphicData>
                  </a:graphic>
                </wp:inline>
              </w:drawing>
            </w:r>
            <w:r>
              <w:rPr/>
              <w:t xml:space="preserve"> </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847" w:type="dxa"/>
            <w:tcBorders/>
            <w:shd w:fill="B2B2B2" w:val="clear"/>
            <w:tcMar>
              <w:top w:w="28" w:type="dxa"/>
              <w:left w:w="28" w:type="dxa"/>
              <w:bottom w:w="28" w:type="dxa"/>
              <w:right w:w="28" w:type="dxa"/>
            </w:tcMar>
            <w:vAlign w:val="center"/>
          </w:tcPr>
          <w:p>
            <w:pPr>
              <w:pStyle w:val="TableContents"/>
              <w:bidi w:val="0"/>
              <w:spacing w:lineRule="atLeast" w:line="236" w:before="0" w:after="0"/>
              <w:jc w:val="left"/>
              <w:rPr>
                <w:b/>
                <w:spacing w:val="-2"/>
              </w:rPr>
            </w:pPr>
            <w:r>
              <w:rPr>
                <w:b/>
                <w:spacing w:val="-2"/>
              </w:rPr>
              <w:t xml:space="preserve">Clawback Policies </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6230" w:type="dxa"/>
            <w:tcBorders/>
            <w:shd w:fill="B2B2B2" w:val="clear"/>
            <w:vAlign w:val="center"/>
          </w:tcPr>
          <w:p>
            <w:pPr>
              <w:pStyle w:val="TableContents"/>
              <w:bidi w:val="0"/>
              <w:spacing w:lineRule="atLeast" w:line="236" w:before="0" w:after="0"/>
              <w:jc w:val="left"/>
              <w:rPr/>
            </w:pPr>
            <w:r>
              <w:rPr>
                <w:spacing w:val="-2"/>
              </w:rPr>
              <w:t>We have a clawback policy that requires all executive officers to return excess incentive-based compensation resulting from an applicable accounting restatement. There is a second clawback policy that requires the CEO, CFO, all other NEOs, as well as certain members of executive management, to reimburse or forfeit certain incentive compensation received in instances of gross negligence or misconduct that result in significant harm to the Company.</w:t>
            </w:r>
            <w:r>
              <w:rPr/>
              <w:t xml:space="preserve"> </w:t>
            </w:r>
          </w:p>
        </w:tc>
        <w:tc>
          <w:tcPr>
            <w:tcW w:w="156" w:type="dxa"/>
            <w:tcBorders/>
            <w:shd w:fill="B2B2B2" w:val="clear"/>
            <w:vAlign w:val="center"/>
          </w:tcPr>
          <w:p>
            <w:pPr>
              <w:pStyle w:val="TableContents"/>
              <w:bidi w:val="0"/>
              <w:spacing w:before="0" w:after="283"/>
              <w:jc w:val="left"/>
              <w:rPr/>
            </w:pPr>
            <w:r>
              <w:rPr/>
              <w:t>​</w:t>
            </w:r>
          </w:p>
        </w:tc>
      </w:tr>
    </w:tbl>
    <w:tbl>
      <w:tblPr>
        <w:tblW w:w="9065" w:type="dxa"/>
        <w:jc w:val="left"/>
        <w:tblInd w:w="1140" w:type="dxa"/>
        <w:tblLayout w:type="fixed"/>
        <w:tblCellMar>
          <w:top w:w="0" w:type="dxa"/>
          <w:left w:w="0" w:type="dxa"/>
          <w:bottom w:w="0" w:type="dxa"/>
          <w:right w:w="0" w:type="dxa"/>
        </w:tblCellMar>
      </w:tblPr>
      <w:tblGrid>
        <w:gridCol w:w="124"/>
        <w:gridCol w:w="299"/>
        <w:gridCol w:w="109"/>
        <w:gridCol w:w="109"/>
        <w:gridCol w:w="2579"/>
        <w:gridCol w:w="109"/>
        <w:gridCol w:w="109"/>
        <w:gridCol w:w="5472"/>
        <w:gridCol w:w="155"/>
      </w:tblGrid>
      <w:tr>
        <w:trPr/>
        <w:tc>
          <w:tcPr>
            <w:tcW w:w="124" w:type="dxa"/>
            <w:tcBorders/>
            <w:vAlign w:val="center"/>
          </w:tcPr>
          <w:p>
            <w:pPr>
              <w:pStyle w:val="TableContents"/>
              <w:bidi w:val="0"/>
              <w:spacing w:before="0" w:after="283"/>
              <w:jc w:val="left"/>
              <w:rPr/>
            </w:pPr>
            <w:r>
              <w:rPr/>
              <w:t>​</w:t>
            </w:r>
          </w:p>
        </w:tc>
        <w:tc>
          <w:tcPr>
            <w:tcW w:w="8786" w:type="dxa"/>
            <w:gridSpan w:val="7"/>
            <w:tcBorders/>
            <w:vAlign w:val="center"/>
          </w:tcPr>
          <w:p>
            <w:pPr>
              <w:pStyle w:val="TableContents"/>
              <w:bidi w:val="0"/>
              <w:spacing w:before="0" w:after="0"/>
              <w:jc w:val="center"/>
              <w:rPr>
                <w:spacing w:val="-2"/>
              </w:rPr>
            </w:pPr>
            <w:r>
              <w:rPr>
                <w:spacing w:val="-2"/>
              </w:rPr>
              <w:t xml:space="preserve">WHAT WE DO NOT DO: </w:t>
              <w:br/>
              <w:t xml:space="preserve">    </w:t>
            </w:r>
          </w:p>
        </w:tc>
        <w:tc>
          <w:tcPr>
            <w:tcW w:w="155" w:type="dxa"/>
            <w:tcBorders/>
            <w:vAlign w:val="center"/>
          </w:tcPr>
          <w:p>
            <w:pPr>
              <w:pStyle w:val="TableContents"/>
              <w:bidi w:val="0"/>
              <w:spacing w:before="0" w:after="283"/>
              <w:jc w:val="left"/>
              <w:rPr/>
            </w:pPr>
            <w:r>
              <w:rPr/>
              <w:t>​</w:t>
            </w:r>
          </w:p>
        </w:tc>
      </w:tr>
      <w:tr>
        <w:trPr/>
        <w:tc>
          <w:tcPr>
            <w:tcW w:w="124" w:type="dxa"/>
            <w:tcBorders/>
            <w:shd w:fill="B2B2B2" w:val="clear"/>
            <w:vAlign w:val="center"/>
          </w:tcPr>
          <w:p>
            <w:pPr>
              <w:pStyle w:val="TableContents"/>
              <w:bidi w:val="0"/>
              <w:spacing w:before="0" w:after="283"/>
              <w:jc w:val="left"/>
              <w:rPr/>
            </w:pPr>
            <w:r>
              <w:rPr/>
              <w:t>​</w:t>
            </w:r>
          </w:p>
        </w:tc>
        <w:tc>
          <w:tcPr>
            <w:tcW w:w="299" w:type="dxa"/>
            <w:tcBorders/>
            <w:shd w:fill="B2B2B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23825" cy="123825"/>
                  <wp:effectExtent l="0" t="0" r="0" b="0"/>
                  <wp:docPr id="235"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70" descr=""/>
                          <pic:cNvPicPr>
                            <a:picLocks noChangeAspect="1" noChangeArrowheads="1"/>
                          </pic:cNvPicPr>
                        </pic:nvPicPr>
                        <pic:blipFill>
                          <a:blip r:embed="rId81"/>
                          <a:stretch>
                            <a:fillRect/>
                          </a:stretch>
                        </pic:blipFill>
                        <pic:spPr bwMode="auto">
                          <a:xfrm>
                            <a:off x="0" y="0"/>
                            <a:ext cx="123825" cy="123825"/>
                          </a:xfrm>
                          <a:prstGeom prst="rect">
                            <a:avLst/>
                          </a:prstGeom>
                        </pic:spPr>
                      </pic:pic>
                    </a:graphicData>
                  </a:graphic>
                </wp:inline>
              </w:drawing>
            </w:r>
            <w:r>
              <w:rPr/>
              <w:t xml:space="preserve"> </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2579" w:type="dxa"/>
            <w:tcBorders/>
            <w:shd w:fill="B2B2B2" w:val="clear"/>
            <w:tcMar>
              <w:top w:w="28" w:type="dxa"/>
              <w:left w:w="28" w:type="dxa"/>
              <w:bottom w:w="28" w:type="dxa"/>
              <w:right w:w="28" w:type="dxa"/>
            </w:tcMar>
            <w:vAlign w:val="center"/>
          </w:tcPr>
          <w:p>
            <w:pPr>
              <w:pStyle w:val="TableContents"/>
              <w:bidi w:val="0"/>
              <w:spacing w:lineRule="atLeast" w:line="236" w:before="0" w:after="0"/>
              <w:jc w:val="left"/>
              <w:rPr>
                <w:b/>
              </w:rPr>
            </w:pPr>
            <w:r>
              <w:rPr>
                <w:b/>
                <w:spacing w:val="-2"/>
              </w:rPr>
              <w:t>Hedging of Company Stock</w:t>
            </w:r>
            <w:r>
              <w:rPr>
                <w:b/>
              </w:rPr>
              <w:t xml:space="preserve"> </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5472" w:type="dxa"/>
            <w:tcBorders/>
            <w:shd w:fill="B2B2B2" w:val="clear"/>
            <w:vAlign w:val="center"/>
          </w:tcPr>
          <w:p>
            <w:pPr>
              <w:pStyle w:val="TableContents"/>
              <w:bidi w:val="0"/>
              <w:spacing w:lineRule="atLeast" w:line="236" w:before="0" w:after="0"/>
              <w:jc w:val="left"/>
              <w:rPr>
                <w:spacing w:val="-2"/>
              </w:rPr>
            </w:pPr>
            <w:r>
              <w:rPr>
                <w:spacing w:val="-2"/>
              </w:rPr>
              <w:t xml:space="preserve">It is against Company policy to trade in puts or calls in Company securities, sell Company securities short, or otherwise hedge ownership of Company securities. </w:t>
            </w:r>
          </w:p>
        </w:tc>
        <w:tc>
          <w:tcPr>
            <w:tcW w:w="155" w:type="dxa"/>
            <w:tcBorders/>
            <w:shd w:fill="B2B2B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9"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23825" cy="123825"/>
                  <wp:effectExtent l="0" t="0" r="0" b="0"/>
                  <wp:docPr id="236"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71" descr=""/>
                          <pic:cNvPicPr>
                            <a:picLocks noChangeAspect="1" noChangeArrowheads="1"/>
                          </pic:cNvPicPr>
                        </pic:nvPicPr>
                        <pic:blipFill>
                          <a:blip r:embed="rId82"/>
                          <a:stretch>
                            <a:fillRect/>
                          </a:stretch>
                        </pic:blipFill>
                        <pic:spPr bwMode="auto">
                          <a:xfrm>
                            <a:off x="0" y="0"/>
                            <a:ext cx="123825" cy="1238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79" w:type="dxa"/>
            <w:tcBorders/>
            <w:vAlign w:val="center"/>
          </w:tcPr>
          <w:p>
            <w:pPr>
              <w:pStyle w:val="TableContents"/>
              <w:bidi w:val="0"/>
              <w:spacing w:lineRule="atLeast" w:line="236" w:before="0" w:after="0"/>
              <w:jc w:val="left"/>
              <w:rPr>
                <w:b/>
              </w:rPr>
            </w:pPr>
            <w:r>
              <w:rPr>
                <w:b/>
                <w:spacing w:val="-2"/>
              </w:rPr>
              <w:t>Pledging of Company Stock</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472" w:type="dxa"/>
            <w:tcBorders/>
            <w:vAlign w:val="center"/>
          </w:tcPr>
          <w:p>
            <w:pPr>
              <w:pStyle w:val="TableContents"/>
              <w:bidi w:val="0"/>
              <w:spacing w:lineRule="atLeast" w:line="236" w:before="0" w:after="0"/>
              <w:jc w:val="left"/>
              <w:rPr>
                <w:spacing w:val="-2"/>
              </w:rPr>
            </w:pPr>
            <w:r>
              <w:rPr>
                <w:spacing w:val="-2"/>
              </w:rPr>
              <w:t xml:space="preserve">Executive officers may not pledge Company securities or hold Company securities in margin accounts. </w:t>
            </w:r>
          </w:p>
        </w:tc>
        <w:tc>
          <w:tcPr>
            <w:tcW w:w="155" w:type="dxa"/>
            <w:tcBorders/>
            <w:vAlign w:val="center"/>
          </w:tcPr>
          <w:p>
            <w:pPr>
              <w:pStyle w:val="TableContents"/>
              <w:bidi w:val="0"/>
              <w:spacing w:before="0" w:after="283"/>
              <w:jc w:val="left"/>
              <w:rPr/>
            </w:pPr>
            <w:r>
              <w:rPr/>
              <w:t>​</w:t>
            </w:r>
          </w:p>
        </w:tc>
      </w:tr>
      <w:tr>
        <w:trPr/>
        <w:tc>
          <w:tcPr>
            <w:tcW w:w="124" w:type="dxa"/>
            <w:tcBorders/>
            <w:shd w:fill="B2B2B2" w:val="clear"/>
            <w:vAlign w:val="center"/>
          </w:tcPr>
          <w:p>
            <w:pPr>
              <w:pStyle w:val="TableContents"/>
              <w:bidi w:val="0"/>
              <w:spacing w:before="0" w:after="283"/>
              <w:jc w:val="left"/>
              <w:rPr/>
            </w:pPr>
            <w:r>
              <w:rPr/>
              <w:t>​</w:t>
            </w:r>
          </w:p>
        </w:tc>
        <w:tc>
          <w:tcPr>
            <w:tcW w:w="299" w:type="dxa"/>
            <w:tcBorders/>
            <w:shd w:fill="B2B2B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23825" cy="123825"/>
                  <wp:effectExtent l="0" t="0" r="0" b="0"/>
                  <wp:docPr id="237"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72" descr=""/>
                          <pic:cNvPicPr>
                            <a:picLocks noChangeAspect="1" noChangeArrowheads="1"/>
                          </pic:cNvPicPr>
                        </pic:nvPicPr>
                        <pic:blipFill>
                          <a:blip r:embed="rId83"/>
                          <a:stretch>
                            <a:fillRect/>
                          </a:stretch>
                        </pic:blipFill>
                        <pic:spPr bwMode="auto">
                          <a:xfrm>
                            <a:off x="0" y="0"/>
                            <a:ext cx="123825" cy="123825"/>
                          </a:xfrm>
                          <a:prstGeom prst="rect">
                            <a:avLst/>
                          </a:prstGeom>
                        </pic:spPr>
                      </pic:pic>
                    </a:graphicData>
                  </a:graphic>
                </wp:inline>
              </w:drawing>
            </w:r>
            <w:r>
              <w:rPr/>
              <w:t xml:space="preserve"> </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2579" w:type="dxa"/>
            <w:tcBorders/>
            <w:shd w:fill="B2B2B2" w:val="clear"/>
            <w:tcMar>
              <w:top w:w="28" w:type="dxa"/>
              <w:left w:w="28" w:type="dxa"/>
              <w:bottom w:w="28" w:type="dxa"/>
              <w:right w:w="28" w:type="dxa"/>
            </w:tcMar>
            <w:vAlign w:val="center"/>
          </w:tcPr>
          <w:p>
            <w:pPr>
              <w:pStyle w:val="TableContents"/>
              <w:bidi w:val="0"/>
              <w:spacing w:lineRule="atLeast" w:line="236" w:before="0" w:after="0"/>
              <w:jc w:val="left"/>
              <w:rPr>
                <w:b/>
                <w:spacing w:val="-2"/>
              </w:rPr>
            </w:pPr>
            <w:r>
              <w:rPr>
                <w:b/>
                <w:spacing w:val="-2"/>
              </w:rPr>
              <w:t xml:space="preserve">Tax Gross Ups </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5472" w:type="dxa"/>
            <w:tcBorders/>
            <w:shd w:fill="B2B2B2" w:val="clear"/>
            <w:vAlign w:val="center"/>
          </w:tcPr>
          <w:p>
            <w:pPr>
              <w:pStyle w:val="TableContents"/>
              <w:bidi w:val="0"/>
              <w:spacing w:lineRule="atLeast" w:line="236" w:before="0" w:after="0"/>
              <w:jc w:val="left"/>
              <w:rPr>
                <w:spacing w:val="-2"/>
              </w:rPr>
            </w:pPr>
            <w:r>
              <w:rPr>
                <w:spacing w:val="-2"/>
              </w:rPr>
              <w:t xml:space="preserve">Executive officers do not receive tax gross ups either directly or indirectly. </w:t>
            </w:r>
          </w:p>
        </w:tc>
        <w:tc>
          <w:tcPr>
            <w:tcW w:w="155" w:type="dxa"/>
            <w:tcBorders/>
            <w:shd w:fill="B2B2B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9" w:type="dxa"/>
            <w:tcBorders/>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23825" cy="123825"/>
                  <wp:effectExtent l="0" t="0" r="0" b="0"/>
                  <wp:docPr id="238"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73" descr=""/>
                          <pic:cNvPicPr>
                            <a:picLocks noChangeAspect="1" noChangeArrowheads="1"/>
                          </pic:cNvPicPr>
                        </pic:nvPicPr>
                        <pic:blipFill>
                          <a:blip r:embed="rId84"/>
                          <a:stretch>
                            <a:fillRect/>
                          </a:stretch>
                        </pic:blipFill>
                        <pic:spPr bwMode="auto">
                          <a:xfrm>
                            <a:off x="0" y="0"/>
                            <a:ext cx="123825" cy="1238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79" w:type="dxa"/>
            <w:tcBorders/>
            <w:vAlign w:val="center"/>
          </w:tcPr>
          <w:p>
            <w:pPr>
              <w:pStyle w:val="TableContents"/>
              <w:bidi w:val="0"/>
              <w:spacing w:lineRule="atLeast" w:line="236" w:before="0" w:after="0"/>
              <w:jc w:val="left"/>
              <w:rPr>
                <w:b/>
                <w:spacing w:val="-2"/>
              </w:rPr>
            </w:pPr>
            <w:r>
              <w:rPr>
                <w:b/>
                <w:spacing w:val="-2"/>
              </w:rPr>
              <w:t xml:space="preserve">Dividends on Unearned Equity Awards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472" w:type="dxa"/>
            <w:tcBorders/>
            <w:vAlign w:val="center"/>
          </w:tcPr>
          <w:p>
            <w:pPr>
              <w:pStyle w:val="TableContents"/>
              <w:bidi w:val="0"/>
              <w:spacing w:lineRule="atLeast" w:line="236" w:before="0" w:after="0"/>
              <w:jc w:val="left"/>
              <w:rPr>
                <w:spacing w:val="-2"/>
              </w:rPr>
            </w:pPr>
            <w:r>
              <w:rPr>
                <w:spacing w:val="-2"/>
              </w:rPr>
              <w:t xml:space="preserve">Executive officers do not receive dividends on unearned performance shares or restricted stock. </w:t>
            </w:r>
          </w:p>
        </w:tc>
        <w:tc>
          <w:tcPr>
            <w:tcW w:w="155" w:type="dxa"/>
            <w:tcBorders/>
            <w:vAlign w:val="center"/>
          </w:tcPr>
          <w:p>
            <w:pPr>
              <w:pStyle w:val="TableContents"/>
              <w:bidi w:val="0"/>
              <w:spacing w:before="0" w:after="283"/>
              <w:jc w:val="left"/>
              <w:rPr/>
            </w:pPr>
            <w:r>
              <w:rPr/>
              <w:t>​</w:t>
            </w:r>
          </w:p>
        </w:tc>
      </w:tr>
      <w:tr>
        <w:trPr/>
        <w:tc>
          <w:tcPr>
            <w:tcW w:w="124" w:type="dxa"/>
            <w:tcBorders/>
            <w:shd w:fill="B2B2B2" w:val="clear"/>
            <w:vAlign w:val="center"/>
          </w:tcPr>
          <w:p>
            <w:pPr>
              <w:pStyle w:val="TableContents"/>
              <w:bidi w:val="0"/>
              <w:spacing w:before="0" w:after="283"/>
              <w:jc w:val="left"/>
              <w:rPr/>
            </w:pPr>
            <w:r>
              <w:rPr/>
              <w:t>​</w:t>
            </w:r>
          </w:p>
        </w:tc>
        <w:tc>
          <w:tcPr>
            <w:tcW w:w="299" w:type="dxa"/>
            <w:tcBorders/>
            <w:shd w:fill="B2B2B2"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23825" cy="123825"/>
                  <wp:effectExtent l="0" t="0" r="0" b="0"/>
                  <wp:docPr id="239"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74" descr=""/>
                          <pic:cNvPicPr>
                            <a:picLocks noChangeAspect="1" noChangeArrowheads="1"/>
                          </pic:cNvPicPr>
                        </pic:nvPicPr>
                        <pic:blipFill>
                          <a:blip r:embed="rId85"/>
                          <a:stretch>
                            <a:fillRect/>
                          </a:stretch>
                        </pic:blipFill>
                        <pic:spPr bwMode="auto">
                          <a:xfrm>
                            <a:off x="0" y="0"/>
                            <a:ext cx="123825" cy="123825"/>
                          </a:xfrm>
                          <a:prstGeom prst="rect">
                            <a:avLst/>
                          </a:prstGeom>
                        </pic:spPr>
                      </pic:pic>
                    </a:graphicData>
                  </a:graphic>
                </wp:inline>
              </w:drawing>
            </w:r>
            <w:r>
              <w:rPr/>
              <w:t xml:space="preserve"> </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2579" w:type="dxa"/>
            <w:tcBorders/>
            <w:shd w:fill="B2B2B2" w:val="clear"/>
            <w:vAlign w:val="center"/>
          </w:tcPr>
          <w:p>
            <w:pPr>
              <w:pStyle w:val="TableContents"/>
              <w:bidi w:val="0"/>
              <w:spacing w:lineRule="atLeast" w:line="236" w:before="0" w:after="0"/>
              <w:jc w:val="left"/>
              <w:rPr/>
            </w:pPr>
            <w:r>
              <w:rPr>
                <w:spacing w:val="-2"/>
              </w:rPr>
              <w:t>“</w:t>
            </w:r>
            <w:r>
              <w:rPr>
                <w:b/>
                <w:spacing w:val="-2"/>
              </w:rPr>
              <w:t>Single Trigger” Change in Control Severance Provisions</w:t>
            </w:r>
            <w:r>
              <w:rPr>
                <w:b/>
              </w:rPr>
              <w:t xml:space="preserve"> </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5472" w:type="dxa"/>
            <w:tcBorders/>
            <w:shd w:fill="B2B2B2" w:val="clear"/>
            <w:tcMar>
              <w:top w:w="28" w:type="dxa"/>
              <w:left w:w="28" w:type="dxa"/>
              <w:bottom w:w="28" w:type="dxa"/>
              <w:right w:w="28" w:type="dxa"/>
            </w:tcMar>
            <w:vAlign w:val="center"/>
          </w:tcPr>
          <w:p>
            <w:pPr>
              <w:pStyle w:val="TableContents"/>
              <w:bidi w:val="0"/>
              <w:spacing w:lineRule="atLeast" w:line="236" w:before="0" w:after="0"/>
              <w:jc w:val="left"/>
              <w:rPr/>
            </w:pPr>
            <w:r>
              <w:rPr>
                <w:spacing w:val="-2"/>
              </w:rPr>
              <w:t>Executive officers do not have severance arrangements that trigger solely by virtue of a change in control.</w:t>
            </w:r>
            <w:r>
              <w:rPr/>
              <w:t xml:space="preserve"> </w:t>
            </w:r>
          </w:p>
        </w:tc>
        <w:tc>
          <w:tcPr>
            <w:tcW w:w="155" w:type="dxa"/>
            <w:tcBorders/>
            <w:shd w:fill="B2B2B2" w:val="clear"/>
            <w:vAlign w:val="center"/>
          </w:tcPr>
          <w:p>
            <w:pPr>
              <w:pStyle w:val="TableContents"/>
              <w:bidi w:val="0"/>
              <w:spacing w:before="0" w:after="283"/>
              <w:jc w:val="left"/>
              <w:rPr/>
            </w:pPr>
            <w:r>
              <w:rPr/>
              <w:t>​</w:t>
            </w:r>
          </w:p>
        </w:tc>
      </w:tr>
    </w:tbl>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240"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75" descr=""/>
                          <pic:cNvPicPr>
                            <a:picLocks noChangeAspect="1" noChangeArrowheads="1"/>
                          </pic:cNvPicPr>
                        </pic:nvPicPr>
                        <pic:blipFill>
                          <a:blip r:embed="rId86"/>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31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rFonts w:ascii="Arial;Helvetica;sans-serif" w:hAnsi="Arial;Helvetica;sans-serif"/>
          <w:b w:val="false"/>
          <w:i w:val="false"/>
          <w:caps w:val="false"/>
          <w:smallCaps w:val="false"/>
          <w:color w:val="FF6A00"/>
          <w:sz w:val="22"/>
        </w:rPr>
      </w:pPr>
      <w:r>
        <w:rPr>
          <w:rFonts w:ascii="Arial;Helvetica;sans-serif" w:hAnsi="Arial;Helvetica;sans-serif"/>
          <w:b w:val="false"/>
          <w:i w:val="false"/>
          <w:caps/>
          <w:color w:val="FF6A00"/>
          <w:spacing w:val="-2"/>
          <w:sz w:val="22"/>
        </w:rPr>
        <w:t>Executive Compensation</w:t>
      </w:r>
      <w:r>
        <w:rPr>
          <w:rFonts w:ascii="Arial;Helvetica;sans-serif" w:hAnsi="Arial;Helvetica;sans-serif"/>
          <w:b w:val="false"/>
          <w:i w:val="false"/>
          <w:caps w:val="false"/>
          <w:smallCaps w:val="false"/>
          <w:color w:val="FF6A00"/>
          <w:spacing w:val="-2"/>
          <w:sz w:val="22"/>
        </w:rPr>
        <w:t xml:space="preserve"> </w:t>
      </w:r>
    </w:p>
    <w:p>
      <w:pPr>
        <w:pStyle w:val="TextBody"/>
        <w:bidi w:val="0"/>
        <w:spacing w:lineRule="atLeast" w:line="400" w:before="480" w:after="283"/>
        <w:ind w:left="1140" w:right="0" w:hanging="0"/>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ABOUT OUR EXECUTIVE COMPENSATION PROGRAM</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60" w:before="80" w:after="283"/>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2"/>
          <w:sz w:val="22"/>
        </w:rPr>
        <w:t>Recent Executive Compensation Program Changes</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In 2025, the Compensation Committee refined the methodology used to determine annual long-term incentive award values for executive officers as a dollar value, no longer as a percentage of base salary.</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Committee determined that a fixed-value framework better supports consistent positioning of executive long-term incentive awards relative to market benchmarks, internal equity and long-term performance objectives. The transition did not increase target total direct compensation for any executive officer beyond amounts approved through the Committee’s annual compensation review process.</w:t>
      </w:r>
      <w:r>
        <w:rPr>
          <w:rFonts w:ascii="Arial;Helvetica;sans-serif" w:hAnsi="Arial;Helvetica;sans-serif"/>
          <w:b w:val="false"/>
          <w:i w:val="false"/>
          <w:caps w:val="false"/>
          <w:smallCaps w:val="false"/>
          <w:color w:val="000000"/>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In addition, in 2025, the Compensation Committee revised the design of the Company’s business group bonus plans to better balance business group performance with consolidated results. Under the updated design, the weighting of business group performance was reduced from 75% to 50%, with the remaining 50% based on consolidated Company results (Adjusted EBITDA), increasing alignment between the business-level execution and Company-wide performance objectives.</w:t>
      </w:r>
      <w:r>
        <w:rPr>
          <w:rFonts w:ascii="Arial;Helvetica;sans-serif" w:hAnsi="Arial;Helvetica;sans-serif"/>
          <w:b w:val="false"/>
          <w:i w:val="false"/>
          <w:caps w:val="false"/>
          <w:smallCaps w:val="false"/>
          <w:color w:val="000000"/>
          <w:sz w:val="22"/>
        </w:rPr>
        <w:t xml:space="preserve"> </w:t>
      </w:r>
    </w:p>
    <w:p>
      <w:pPr>
        <w:pStyle w:val="TextBody"/>
        <w:bidi w:val="0"/>
        <w:spacing w:lineRule="atLeast" w:line="260" w:before="240" w:after="283"/>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2"/>
          <w:sz w:val="22"/>
        </w:rPr>
        <w:t>Philosophy and Objectives</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We believe that the compensation program for our executives should directly support the achievement of specific annual, long-term, and strategic goals of the business and, thereby, align the interests of executives with the interests of our stockholders. Our compensation program is designed to balance rewards for corporate, business, and individual results.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We also believe that stockholders are best served when we can attract and retain high-caliber executive talent. To that end, we offer competitive base salaries, as well as annual and long-term incentive opportunities that encourage performance against specific objectives and reward our executives’ successful efforts. Within this context, the four major objectives for our executive compensation program are:</w:t>
      </w:r>
      <w:r>
        <w:rPr>
          <w:rFonts w:ascii="Arial;Helvetica;sans-serif" w:hAnsi="Arial;Helvetica;sans-serif"/>
          <w:b w:val="false"/>
          <w:i w:val="false"/>
          <w:caps w:val="false"/>
          <w:smallCaps w:val="false"/>
          <w:color w:val="000000"/>
          <w:spacing w:val="4"/>
          <w:sz w:val="22"/>
        </w:rPr>
        <w:t xml:space="preserve"> </w:t>
      </w:r>
    </w:p>
    <w:p>
      <w:pPr>
        <w:pStyle w:val="TextBody"/>
        <w:bidi w:val="0"/>
        <w:spacing w:before="158" w:after="283"/>
        <w:jc w:val="center"/>
        <w:rPr>
          <w:caps w:val="false"/>
          <w:smallCaps w:val="false"/>
          <w:color w:val="000000"/>
        </w:rPr>
      </w:pPr>
      <w:r>
        <w:rPr>
          <w:caps w:val="false"/>
          <w:smallCaps w:val="false"/>
          <w:color w:val="000000"/>
        </w:rPr>
        <w:drawing>
          <wp:inline distT="0" distB="0" distL="0" distR="0">
            <wp:extent cx="4924425" cy="2390775"/>
            <wp:effectExtent l="0" t="0" r="0" b="0"/>
            <wp:docPr id="241"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76" descr=""/>
                    <pic:cNvPicPr>
                      <a:picLocks noChangeAspect="1" noChangeArrowheads="1"/>
                    </pic:cNvPicPr>
                  </pic:nvPicPr>
                  <pic:blipFill>
                    <a:blip r:embed="rId87"/>
                    <a:stretch>
                      <a:fillRect/>
                    </a:stretch>
                  </pic:blipFill>
                  <pic:spPr bwMode="auto">
                    <a:xfrm>
                      <a:off x="0" y="0"/>
                      <a:ext cx="4924425" cy="23907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242"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77" descr=""/>
                          <pic:cNvPicPr>
                            <a:picLocks noChangeAspect="1" noChangeArrowheads="1"/>
                          </pic:cNvPicPr>
                        </pic:nvPicPr>
                        <pic:blipFill>
                          <a:blip r:embed="rId88"/>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32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rFonts w:ascii="Arial;Helvetica;sans-serif" w:hAnsi="Arial;Helvetica;sans-serif"/>
          <w:b w:val="false"/>
          <w:i w:val="false"/>
          <w:caps w:val="false"/>
          <w:smallCaps w:val="false"/>
          <w:color w:val="FF6A00"/>
          <w:sz w:val="22"/>
        </w:rPr>
      </w:pPr>
      <w:r>
        <w:rPr>
          <w:rFonts w:ascii="Arial;Helvetica;sans-serif" w:hAnsi="Arial;Helvetica;sans-serif"/>
          <w:b w:val="false"/>
          <w:i w:val="false"/>
          <w:caps/>
          <w:color w:val="FF6A00"/>
          <w:spacing w:val="-2"/>
          <w:sz w:val="22"/>
        </w:rPr>
        <w:t>Executive Compensation</w:t>
      </w:r>
      <w:r>
        <w:rPr>
          <w:rFonts w:ascii="Arial;Helvetica;sans-serif" w:hAnsi="Arial;Helvetica;sans-serif"/>
          <w:b w:val="false"/>
          <w:i w:val="false"/>
          <w:caps w:val="false"/>
          <w:smallCaps w:val="false"/>
          <w:color w:val="FF6A00"/>
          <w:spacing w:val="-2"/>
          <w:sz w:val="22"/>
        </w:rPr>
        <w:t xml:space="preserve"> </w:t>
      </w:r>
    </w:p>
    <w:p>
      <w:pPr>
        <w:pStyle w:val="TextBody"/>
        <w:bidi w:val="0"/>
        <w:spacing w:lineRule="atLeast" w:line="240" w:before="480" w:after="283"/>
        <w:ind w:left="11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To achieve these objectives, we have structured a compensation program that provides our executives with the following:</w:t>
      </w:r>
      <w:r>
        <w:rPr>
          <w:rFonts w:ascii="Arial;Helvetica;sans-serif" w:hAnsi="Arial;Helvetica;sans-serif"/>
          <w:b w:val="false"/>
          <w:i w:val="false"/>
          <w:caps w:val="false"/>
          <w:smallCaps w:val="false"/>
          <w:color w:val="000000"/>
          <w:spacing w:val="4"/>
          <w:sz w:val="22"/>
        </w:rPr>
        <w:t xml:space="preserve"> </w:t>
      </w:r>
    </w:p>
    <w:tbl>
      <w:tblPr>
        <w:tblW w:w="9065" w:type="dxa"/>
        <w:jc w:val="left"/>
        <w:tblInd w:w="1140" w:type="dxa"/>
        <w:tblLayout w:type="fixed"/>
        <w:tblCellMar>
          <w:top w:w="0" w:type="dxa"/>
          <w:left w:w="0" w:type="dxa"/>
          <w:bottom w:w="28" w:type="dxa"/>
          <w:right w:w="0" w:type="dxa"/>
        </w:tblCellMar>
      </w:tblPr>
      <w:tblGrid>
        <w:gridCol w:w="124"/>
        <w:gridCol w:w="1774"/>
        <w:gridCol w:w="109"/>
        <w:gridCol w:w="109"/>
        <w:gridCol w:w="1069"/>
        <w:gridCol w:w="109"/>
        <w:gridCol w:w="109"/>
        <w:gridCol w:w="5507"/>
        <w:gridCol w:w="155"/>
      </w:tblGrid>
      <w:tr>
        <w:trPr/>
        <w:tc>
          <w:tcPr>
            <w:tcW w:w="124" w:type="dxa"/>
            <w:tcBorders>
              <w:bottom w:val="single" w:sz="2" w:space="0" w:color="000000"/>
            </w:tcBorders>
            <w:vAlign w:val="center"/>
          </w:tcPr>
          <w:p>
            <w:pPr>
              <w:pStyle w:val="TableContents"/>
              <w:bidi w:val="0"/>
              <w:spacing w:before="0" w:after="283"/>
              <w:jc w:val="left"/>
              <w:rPr/>
            </w:pPr>
            <w:r>
              <w:rPr/>
              <w:t>​</w:t>
            </w:r>
          </w:p>
        </w:tc>
        <w:tc>
          <w:tcPr>
            <w:tcW w:w="1774" w:type="dxa"/>
            <w:tcBorders>
              <w:bottom w:val="single" w:sz="2" w:space="0" w:color="000000"/>
            </w:tcBorders>
            <w:vAlign w:val="center"/>
          </w:tcPr>
          <w:p>
            <w:pPr>
              <w:pStyle w:val="TableContents"/>
              <w:bidi w:val="0"/>
              <w:spacing w:before="0" w:after="0"/>
              <w:jc w:val="left"/>
              <w:rPr>
                <w:spacing w:val="-2"/>
              </w:rPr>
            </w:pPr>
            <w:r>
              <w:rPr>
                <w:spacing w:val="-2"/>
              </w:rPr>
              <w:t xml:space="preserve">Pay Element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69" w:type="dxa"/>
            <w:tcBorders>
              <w:bottom w:val="single" w:sz="2" w:space="0" w:color="000000"/>
            </w:tcBorders>
            <w:vAlign w:val="center"/>
          </w:tcPr>
          <w:p>
            <w:pPr>
              <w:pStyle w:val="TableContents"/>
              <w:bidi w:val="0"/>
              <w:spacing w:before="0" w:after="0"/>
              <w:jc w:val="left"/>
              <w:rPr>
                <w:spacing w:val="-2"/>
              </w:rPr>
            </w:pPr>
            <w:r>
              <w:rPr>
                <w:spacing w:val="-2"/>
              </w:rPr>
              <w:t xml:space="preserve">Form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5507" w:type="dxa"/>
            <w:tcBorders>
              <w:bottom w:val="single" w:sz="2" w:space="0" w:color="000000"/>
            </w:tcBorders>
            <w:vAlign w:val="center"/>
          </w:tcPr>
          <w:p>
            <w:pPr>
              <w:pStyle w:val="TableContents"/>
              <w:bidi w:val="0"/>
              <w:spacing w:before="0" w:after="0"/>
              <w:jc w:val="left"/>
              <w:rPr>
                <w:spacing w:val="-2"/>
              </w:rPr>
            </w:pPr>
            <w:r>
              <w:rPr>
                <w:spacing w:val="-2"/>
              </w:rPr>
              <w:t xml:space="preserve">Purpose </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24" w:type="dxa"/>
            <w:tcBorders/>
            <w:shd w:fill="B2B2B2" w:val="clear"/>
            <w:tcMar>
              <w:bottom w:w="0" w:type="dxa"/>
            </w:tcMar>
            <w:vAlign w:val="center"/>
          </w:tcPr>
          <w:p>
            <w:pPr>
              <w:pStyle w:val="TableContents"/>
              <w:bidi w:val="0"/>
              <w:spacing w:before="0" w:after="283"/>
              <w:jc w:val="left"/>
              <w:rPr/>
            </w:pPr>
            <w:r>
              <w:rPr/>
              <w:t>​</w:t>
            </w:r>
          </w:p>
        </w:tc>
        <w:tc>
          <w:tcPr>
            <w:tcW w:w="1774" w:type="dxa"/>
            <w:tcBorders/>
            <w:shd w:fill="B2B2B2" w:val="clear"/>
            <w:tcMar>
              <w:bottom w:w="0" w:type="dxa"/>
            </w:tcMar>
            <w:vAlign w:val="center"/>
          </w:tcPr>
          <w:p>
            <w:pPr>
              <w:pStyle w:val="TableContents"/>
              <w:bidi w:val="0"/>
              <w:spacing w:before="0" w:after="283"/>
              <w:jc w:val="left"/>
              <w:rPr>
                <w:spacing w:val="-2"/>
              </w:rPr>
            </w:pPr>
            <w:r>
              <w:rPr>
                <w:spacing w:val="-2"/>
              </w:rPr>
              <w:t xml:space="preserve">Base Salary </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69" w:type="dxa"/>
            <w:tcBorders/>
            <w:shd w:fill="B2B2B2" w:val="clear"/>
            <w:tcMar>
              <w:bottom w:w="0" w:type="dxa"/>
            </w:tcMar>
            <w:vAlign w:val="center"/>
          </w:tcPr>
          <w:p>
            <w:pPr>
              <w:pStyle w:val="TableContents"/>
              <w:bidi w:val="0"/>
              <w:spacing w:before="0" w:after="283"/>
              <w:jc w:val="left"/>
              <w:rPr>
                <w:spacing w:val="-2"/>
              </w:rPr>
            </w:pPr>
            <w:r>
              <w:rPr>
                <w:spacing w:val="-2"/>
              </w:rPr>
              <w:t xml:space="preserve">Cash (Fixed) </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5507" w:type="dxa"/>
            <w:tcBorders/>
            <w:shd w:fill="B2B2B2" w:val="clear"/>
            <w:tcMar>
              <w:bottom w:w="0" w:type="dxa"/>
            </w:tcMar>
            <w:vAlign w:val="center"/>
          </w:tcPr>
          <w:p>
            <w:pPr>
              <w:pStyle w:val="TableContents"/>
              <w:bidi w:val="0"/>
              <w:spacing w:before="0" w:after="283"/>
              <w:jc w:val="left"/>
              <w:rPr>
                <w:spacing w:val="-2"/>
              </w:rPr>
            </w:pPr>
            <w:r>
              <w:rPr>
                <w:spacing w:val="-2"/>
              </w:rPr>
              <w:t xml:space="preserve">Reflects position responsibilities, competitive market rates, strategic importance of the position, and individual experience. </w:t>
            </w:r>
          </w:p>
        </w:tc>
        <w:tc>
          <w:tcPr>
            <w:tcW w:w="155" w:type="dxa"/>
            <w:tcBorders/>
            <w:shd w:fill="B2B2B2"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774" w:type="dxa"/>
            <w:tcBorders/>
            <w:tcMar>
              <w:bottom w:w="0" w:type="dxa"/>
            </w:tcMar>
            <w:vAlign w:val="center"/>
          </w:tcPr>
          <w:p>
            <w:pPr>
              <w:pStyle w:val="TableContents"/>
              <w:bidi w:val="0"/>
              <w:spacing w:before="0" w:after="283"/>
              <w:jc w:val="left"/>
              <w:rPr>
                <w:spacing w:val="-2"/>
              </w:rPr>
            </w:pPr>
            <w:r>
              <w:rPr>
                <w:spacing w:val="-2"/>
              </w:rPr>
              <w:t xml:space="preserve">Annual Performance Bonus Plan (Short- Term Incentive)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9" w:type="dxa"/>
            <w:tcBorders/>
            <w:tcMar>
              <w:bottom w:w="0" w:type="dxa"/>
            </w:tcMar>
            <w:vAlign w:val="center"/>
          </w:tcPr>
          <w:p>
            <w:pPr>
              <w:pStyle w:val="TableContents"/>
              <w:bidi w:val="0"/>
              <w:spacing w:before="0" w:after="283"/>
              <w:jc w:val="left"/>
              <w:rPr>
                <w:spacing w:val="-2"/>
              </w:rPr>
            </w:pPr>
            <w:r>
              <w:rPr>
                <w:spacing w:val="-2"/>
              </w:rPr>
              <w:t xml:space="preserve">Cash (Variable)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07" w:type="dxa"/>
            <w:tcBorders/>
            <w:tcMar>
              <w:bottom w:w="0" w:type="dxa"/>
            </w:tcMar>
            <w:vAlign w:val="center"/>
          </w:tcPr>
          <w:p>
            <w:pPr>
              <w:pStyle w:val="TableContents"/>
              <w:bidi w:val="0"/>
              <w:spacing w:before="0" w:after="283"/>
              <w:jc w:val="left"/>
              <w:rPr>
                <w:spacing w:val="-2"/>
              </w:rPr>
            </w:pPr>
            <w:r>
              <w:rPr>
                <w:spacing w:val="-2"/>
              </w:rPr>
              <w:t xml:space="preserve">Rewards achievement of Generac’s annual financial goals and other qualitative and quantitative performance objectives as determined by the Committee.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B2B2B2" w:val="clear"/>
            <w:tcMar>
              <w:bottom w:w="0" w:type="dxa"/>
            </w:tcMar>
            <w:vAlign w:val="center"/>
          </w:tcPr>
          <w:p>
            <w:pPr>
              <w:pStyle w:val="TableContents"/>
              <w:bidi w:val="0"/>
              <w:spacing w:before="0" w:after="283"/>
              <w:jc w:val="left"/>
              <w:rPr/>
            </w:pPr>
            <w:r>
              <w:rPr/>
              <w:t>​</w:t>
            </w:r>
          </w:p>
        </w:tc>
        <w:tc>
          <w:tcPr>
            <w:tcW w:w="1774" w:type="dxa"/>
            <w:tcBorders/>
            <w:shd w:fill="B2B2B2" w:val="clear"/>
            <w:tcMar>
              <w:bottom w:w="0" w:type="dxa"/>
            </w:tcMar>
            <w:vAlign w:val="center"/>
          </w:tcPr>
          <w:p>
            <w:pPr>
              <w:pStyle w:val="TableContents"/>
              <w:bidi w:val="0"/>
              <w:spacing w:before="0" w:after="283"/>
              <w:jc w:val="left"/>
              <w:rPr>
                <w:spacing w:val="-2"/>
              </w:rPr>
            </w:pPr>
            <w:r>
              <w:rPr>
                <w:spacing w:val="-2"/>
              </w:rPr>
              <w:t xml:space="preserve">Long-Term Incentives </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69" w:type="dxa"/>
            <w:tcBorders/>
            <w:shd w:fill="B2B2B2" w:val="clear"/>
            <w:tcMar>
              <w:bottom w:w="0" w:type="dxa"/>
            </w:tcMar>
            <w:vAlign w:val="center"/>
          </w:tcPr>
          <w:p>
            <w:pPr>
              <w:pStyle w:val="TableContents"/>
              <w:bidi w:val="0"/>
              <w:spacing w:before="0" w:after="283"/>
              <w:jc w:val="left"/>
              <w:rPr>
                <w:spacing w:val="-2"/>
              </w:rPr>
            </w:pPr>
            <w:r>
              <w:rPr>
                <w:spacing w:val="-2"/>
              </w:rPr>
              <w:t xml:space="preserve">Equity (Variable) </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5507" w:type="dxa"/>
            <w:tcBorders/>
            <w:shd w:fill="B2B2B2" w:val="clear"/>
            <w:tcMar>
              <w:bottom w:w="0" w:type="dxa"/>
            </w:tcMar>
            <w:vAlign w:val="center"/>
          </w:tcPr>
          <w:p>
            <w:pPr>
              <w:pStyle w:val="TableContents"/>
              <w:bidi w:val="0"/>
              <w:spacing w:before="0" w:after="283"/>
              <w:jc w:val="left"/>
              <w:rPr/>
            </w:pPr>
            <w:r>
              <w:rPr>
                <w:spacing w:val="-2"/>
              </w:rPr>
              <w:t>Rewards strong performance by emphasizing incentives that drive long-term stockholder value. With performance shares representing 50% of our annual target equity awards and 25% each for restricted stock and stock options, our program reflects a strong focus on outcomes-based compensation as part of our pay-for-performance philosophy.</w:t>
            </w:r>
            <w:r>
              <w:rPr/>
              <w:t xml:space="preserve"> </w:t>
            </w:r>
          </w:p>
        </w:tc>
        <w:tc>
          <w:tcPr>
            <w:tcW w:w="155" w:type="dxa"/>
            <w:tcBorders/>
            <w:shd w:fill="B2B2B2"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6" w:after="283"/>
        <w:ind w:left="11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total direct compensation of our executives is market-based, and a significant portion of that compensation, including annual and long-term incentives, is also performance-based. The Committee believes this construct results in a fair level of pay for achieving target performance, and an above-market opportunity if the executive team exceeds target goals. We target total direct compensation (base salary, target annual bonus, and long-term equity incentives) around the median of the market, considering the relative responsibilities of our executives. Actual total compensation in any given year may be above or below the total target level based on individual, business group, and corporate performance.</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60" w:before="200" w:after="283"/>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2"/>
          <w:sz w:val="22"/>
        </w:rPr>
        <w:t>Target Pay Mix</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charts below reflect the target pay mix for our CEO and average target pay mix for our other named executives, and show that the majority of the total target direct compensation for our CEO and other NEOs in 2025 was variable or at-risk:</w:t>
      </w:r>
      <w:r>
        <w:rPr>
          <w:rFonts w:ascii="Arial;Helvetica;sans-serif" w:hAnsi="Arial;Helvetica;sans-serif"/>
          <w:b w:val="false"/>
          <w:i w:val="false"/>
          <w:caps w:val="false"/>
          <w:smallCaps w:val="false"/>
          <w:color w:val="000000"/>
          <w:spacing w:val="4"/>
          <w:sz w:val="22"/>
        </w:rPr>
        <w:t xml:space="preserve"> </w:t>
      </w:r>
    </w:p>
    <w:tbl>
      <w:tblPr>
        <w:tblW w:w="4789" w:type="dxa"/>
        <w:jc w:val="left"/>
        <w:tblInd w:w="1140" w:type="dxa"/>
        <w:tblLayout w:type="fixed"/>
        <w:tblCellMar>
          <w:top w:w="0" w:type="dxa"/>
          <w:left w:w="0" w:type="dxa"/>
          <w:bottom w:w="0" w:type="dxa"/>
          <w:right w:w="0" w:type="dxa"/>
        </w:tblCellMar>
      </w:tblPr>
      <w:tblGrid>
        <w:gridCol w:w="124"/>
        <w:gridCol w:w="2184"/>
        <w:gridCol w:w="109"/>
        <w:gridCol w:w="109"/>
        <w:gridCol w:w="2109"/>
        <w:gridCol w:w="154"/>
      </w:tblGrid>
      <w:tr>
        <w:trPr/>
        <w:tc>
          <w:tcPr>
            <w:tcW w:w="124" w:type="dxa"/>
            <w:tcBorders/>
            <w:vAlign w:val="center"/>
          </w:tcPr>
          <w:p>
            <w:pPr>
              <w:pStyle w:val="TableContents"/>
              <w:bidi w:val="0"/>
              <w:spacing w:before="0" w:after="283"/>
              <w:jc w:val="left"/>
              <w:rPr/>
            </w:pPr>
            <w:r>
              <w:rPr/>
              <w:t>​</w:t>
            </w:r>
          </w:p>
        </w:tc>
        <w:tc>
          <w:tcPr>
            <w:tcW w:w="2184" w:type="dxa"/>
            <w:tcBorders/>
            <w:vAlign w:val="center"/>
          </w:tcPr>
          <w:p>
            <w:pPr>
              <w:pStyle w:val="TableContents"/>
              <w:bidi w:val="0"/>
              <w:spacing w:before="0" w:after="0"/>
              <w:jc w:val="center"/>
              <w:rPr>
                <w:spacing w:val="-2"/>
              </w:rPr>
            </w:pPr>
            <w:r>
              <w:rPr>
                <w:spacing w:val="-2"/>
              </w:rPr>
              <w:t xml:space="preserve">CEO Target Pay Mix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09" w:type="dxa"/>
            <w:tcBorders/>
            <w:vAlign w:val="center"/>
          </w:tcPr>
          <w:p>
            <w:pPr>
              <w:pStyle w:val="TableContents"/>
              <w:bidi w:val="0"/>
              <w:spacing w:before="0" w:after="0"/>
              <w:jc w:val="center"/>
              <w:rPr/>
            </w:pPr>
            <w:r>
              <w:rPr>
                <w:spacing w:val="-2"/>
              </w:rPr>
              <w:t xml:space="preserve">All Other NEOs </w:t>
              <w:br/>
              <w:t>Avg Target Pay Mix</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176" w:after="283"/>
        <w:ind w:left="1140" w:right="0" w:hanging="0"/>
        <w:jc w:val="center"/>
        <w:rPr>
          <w:caps w:val="false"/>
          <w:smallCaps w:val="false"/>
          <w:color w:val="000000"/>
        </w:rPr>
      </w:pPr>
      <w:r>
        <w:rPr>
          <w:caps w:val="false"/>
          <w:smallCaps w:val="false"/>
          <w:color w:val="000000"/>
        </w:rPr>
        <w:drawing>
          <wp:inline distT="0" distB="0" distL="0" distR="0">
            <wp:extent cx="6048375" cy="2047875"/>
            <wp:effectExtent l="0" t="0" r="0" b="0"/>
            <wp:docPr id="243"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78" descr=""/>
                    <pic:cNvPicPr>
                      <a:picLocks noChangeAspect="1" noChangeArrowheads="1"/>
                    </pic:cNvPicPr>
                  </pic:nvPicPr>
                  <pic:blipFill>
                    <a:blip r:embed="rId89"/>
                    <a:stretch>
                      <a:fillRect/>
                    </a:stretch>
                  </pic:blipFill>
                  <pic:spPr bwMode="auto">
                    <a:xfrm>
                      <a:off x="0" y="0"/>
                      <a:ext cx="6048375" cy="20478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244"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79" descr=""/>
                          <pic:cNvPicPr>
                            <a:picLocks noChangeAspect="1" noChangeArrowheads="1"/>
                          </pic:cNvPicPr>
                        </pic:nvPicPr>
                        <pic:blipFill>
                          <a:blip r:embed="rId90"/>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33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rFonts w:ascii="Arial;Helvetica;sans-serif" w:hAnsi="Arial;Helvetica;sans-serif"/>
          <w:b w:val="false"/>
          <w:i w:val="false"/>
          <w:caps w:val="false"/>
          <w:smallCaps w:val="false"/>
          <w:color w:val="FF6A00"/>
          <w:sz w:val="22"/>
        </w:rPr>
      </w:pPr>
      <w:r>
        <w:rPr>
          <w:rFonts w:ascii="Arial;Helvetica;sans-serif" w:hAnsi="Arial;Helvetica;sans-serif"/>
          <w:b w:val="false"/>
          <w:i w:val="false"/>
          <w:caps/>
          <w:color w:val="FF6A00"/>
          <w:spacing w:val="-2"/>
          <w:sz w:val="22"/>
        </w:rPr>
        <w:t>Executive Compensation</w:t>
      </w:r>
      <w:r>
        <w:rPr>
          <w:rFonts w:ascii="Arial;Helvetica;sans-serif" w:hAnsi="Arial;Helvetica;sans-serif"/>
          <w:b w:val="false"/>
          <w:i w:val="false"/>
          <w:caps w:val="false"/>
          <w:smallCaps w:val="false"/>
          <w:color w:val="FF6A00"/>
          <w:spacing w:val="-2"/>
          <w:sz w:val="22"/>
        </w:rPr>
        <w:t xml:space="preserve"> </w:t>
      </w:r>
    </w:p>
    <w:p>
      <w:pPr>
        <w:pStyle w:val="TextBody"/>
        <w:bidi w:val="0"/>
        <w:spacing w:lineRule="atLeast" w:line="400" w:before="480" w:after="283"/>
        <w:ind w:left="1140" w:right="0" w:hanging="0"/>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HOW COMPENSATION DECISIONS ARE MADE</w:t>
      </w:r>
      <w:r>
        <w:rPr>
          <w:rFonts w:ascii="Arial;Helvetica;sans-serif" w:hAnsi="Arial;Helvetica;sans-serif"/>
          <w:b/>
          <w:i w:val="false"/>
          <w:caps w:val="false"/>
          <w:smallCaps w:val="false"/>
          <w:color w:val="000000"/>
          <w:spacing w:val="7"/>
          <w:sz w:val="36"/>
        </w:rPr>
        <w:t xml:space="preserve"> </w:t>
      </w:r>
    </w:p>
    <w:tbl>
      <w:tblPr>
        <w:tblW w:w="7736" w:type="dxa"/>
        <w:jc w:val="left"/>
        <w:tblInd w:w="1140" w:type="dxa"/>
        <w:tblLayout w:type="fixed"/>
        <w:tblCellMar>
          <w:top w:w="0" w:type="dxa"/>
          <w:left w:w="0" w:type="dxa"/>
          <w:bottom w:w="0" w:type="dxa"/>
          <w:right w:w="0" w:type="dxa"/>
        </w:tblCellMar>
      </w:tblPr>
      <w:tblGrid>
        <w:gridCol w:w="124"/>
        <w:gridCol w:w="109"/>
        <w:gridCol w:w="7240"/>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FF6A00"/>
            </w:tcBorders>
            <w:tcMar>
              <w:bottom w:w="28" w:type="dxa"/>
            </w:tcMar>
            <w:vAlign w:val="center"/>
          </w:tcPr>
          <w:p>
            <w:pPr>
              <w:pStyle w:val="TableContents"/>
              <w:bidi w:val="0"/>
              <w:spacing w:before="0" w:after="283"/>
              <w:jc w:val="left"/>
              <w:rPr/>
            </w:pPr>
            <w:r>
              <w:rPr/>
              <w:t>​</w:t>
            </w:r>
          </w:p>
        </w:tc>
        <w:tc>
          <w:tcPr>
            <w:tcW w:w="7240" w:type="dxa"/>
            <w:tcBorders>
              <w:bottom w:val="single" w:sz="6" w:space="0" w:color="FF6A00"/>
            </w:tcBorders>
            <w:tcMar>
              <w:bottom w:w="240" w:type="dxa"/>
            </w:tcMar>
            <w:vAlign w:val="center"/>
          </w:tcPr>
          <w:p>
            <w:pPr>
              <w:pStyle w:val="TableContents"/>
              <w:bidi w:val="0"/>
              <w:spacing w:before="0" w:after="0"/>
              <w:jc w:val="center"/>
              <w:rPr/>
            </w:pPr>
            <w:r>
              <w:rPr>
                <w:spacing w:val="-2"/>
              </w:rPr>
              <w:t>Role of the Human Capital and Compensation Committee and Management</w:t>
            </w:r>
            <w:r>
              <w:rPr/>
              <w:t xml:space="preserve"> </w:t>
            </w:r>
          </w:p>
        </w:tc>
        <w:tc>
          <w:tcPr>
            <w:tcW w:w="109" w:type="dxa"/>
            <w:tcBorders>
              <w:bottom w:val="single" w:sz="6" w:space="0" w:color="FF6A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50" w:before="230" w:after="283"/>
        <w:ind w:left="11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Committee, composed solely of independent directors, is responsible for making executive compensation decisions for the NEOs. The Committee works closely with its independent compensation consultant and management to examine pay and performance matters throughout the year.</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In determining compensation for executive officers (or, in the case of the CEO, recommending it to the independent members of the Board of Directors), the Committee considers the following: </w:t>
      </w:r>
    </w:p>
    <w:p>
      <w:pPr>
        <w:pStyle w:val="TextBody"/>
        <w:bidi w:val="0"/>
        <w:spacing w:lineRule="atLeast" w:line="252" w:before="86"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Competitive market pay data (see “</w:t>
      </w:r>
      <w:r>
        <w:rPr>
          <w:rFonts w:ascii="Arial;Helvetica;sans-serif" w:hAnsi="Arial;Helvetica;sans-serif"/>
          <w:b w:val="false"/>
          <w:i/>
          <w:caps w:val="false"/>
          <w:smallCaps w:val="false"/>
          <w:color w:val="000000"/>
          <w:sz w:val="22"/>
        </w:rPr>
        <w:t>Assessing External Market Practice</w:t>
      </w:r>
      <w:r>
        <w:rPr>
          <w:rFonts w:ascii="Arial;Helvetica;sans-serif" w:hAnsi="Arial;Helvetica;sans-serif"/>
          <w:b w:val="false"/>
          <w:i w:val="false"/>
          <w:caps w:val="false"/>
          <w:smallCaps w:val="false"/>
          <w:color w:val="000000"/>
          <w:spacing w:val="-2"/>
          <w:sz w:val="22"/>
        </w:rPr>
        <w:t>” below)</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4610" distB="0" distL="254000" distR="0" simplePos="0" locked="0" layoutInCell="1" allowOverlap="1" relativeHeight="288">
                <wp:simplePos x="0" y="0"/>
                <wp:positionH relativeFrom="column">
                  <wp:align>left</wp:align>
                </wp:positionH>
                <wp:positionV relativeFrom="line">
                  <wp:align>top</wp:align>
                </wp:positionV>
                <wp:extent cx="254000" cy="350520"/>
                <wp:effectExtent l="0" t="0" r="0" b="0"/>
                <wp:wrapSquare wrapText="right"/>
                <wp:docPr id="245" name="Frame1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3pt;mso-wrap-distance-bottom:0pt;margin-top:4.3pt;mso-position-vertical:top;mso-position-vertical-relative:text;margin-left:20pt;mso-position-horizontal:left;mso-position-horizontal-relative:text">
                <v:textbox>
                  <w:txbxContent>
                    <w:p>
                      <w:pPr>
                        <w:pStyle w:val="TextBody"/>
                        <w:bidi w:val="0"/>
                        <w:spacing w:lineRule="atLeast" w:line="252"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52" w:before="80"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Balance between short- and long-term incentives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254000" distR="0" simplePos="0" locked="0" layoutInCell="1" allowOverlap="1" relativeHeight="289">
                <wp:simplePos x="0" y="0"/>
                <wp:positionH relativeFrom="column">
                  <wp:align>left</wp:align>
                </wp:positionH>
                <wp:positionV relativeFrom="line">
                  <wp:align>top</wp:align>
                </wp:positionV>
                <wp:extent cx="254000" cy="350520"/>
                <wp:effectExtent l="0" t="0" r="0" b="0"/>
                <wp:wrapSquare wrapText="right"/>
                <wp:docPr id="246" name="Frame1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52"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52" w:before="80"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Profitable growth and recent financial performance</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254000" distR="0" simplePos="0" locked="0" layoutInCell="1" allowOverlap="1" relativeHeight="290">
                <wp:simplePos x="0" y="0"/>
                <wp:positionH relativeFrom="column">
                  <wp:align>left</wp:align>
                </wp:positionH>
                <wp:positionV relativeFrom="line">
                  <wp:align>top</wp:align>
                </wp:positionV>
                <wp:extent cx="254000" cy="350520"/>
                <wp:effectExtent l="0" t="0" r="0" b="0"/>
                <wp:wrapSquare wrapText="right"/>
                <wp:docPr id="247" name="Frame1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52"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52" w:before="80"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Annual budget and long-range plan, as approved by the Board of Directors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254000" distR="0" simplePos="0" locked="0" layoutInCell="1" allowOverlap="1" relativeHeight="291">
                <wp:simplePos x="0" y="0"/>
                <wp:positionH relativeFrom="column">
                  <wp:align>left</wp:align>
                </wp:positionH>
                <wp:positionV relativeFrom="line">
                  <wp:align>top</wp:align>
                </wp:positionV>
                <wp:extent cx="254000" cy="350520"/>
                <wp:effectExtent l="0" t="0" r="0" b="0"/>
                <wp:wrapSquare wrapText="right"/>
                <wp:docPr id="248" name="Frame1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52"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52" w:before="80"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Input from the CEO and EVP, Human Resources for positions other than their own; neither the CEO nor the EVP, Human Resources makes recommendations with respect to his or her own compensation</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254000" distR="0" simplePos="0" locked="0" layoutInCell="1" allowOverlap="1" relativeHeight="292">
                <wp:simplePos x="0" y="0"/>
                <wp:positionH relativeFrom="column">
                  <wp:align>left</wp:align>
                </wp:positionH>
                <wp:positionV relativeFrom="line">
                  <wp:align>top</wp:align>
                </wp:positionV>
                <wp:extent cx="254000" cy="350520"/>
                <wp:effectExtent l="0" t="0" r="0" b="0"/>
                <wp:wrapSquare wrapText="right"/>
                <wp:docPr id="249" name="Frame1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52"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52" w:before="80"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Evaluation of performance through the lens of our core values and leadership principles, including practicing integrity, driving innovation, demonstrating agility, operational excellence, developing our employees, and building a team environment</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254000" distR="0" simplePos="0" locked="0" layoutInCell="1" allowOverlap="1" relativeHeight="293">
                <wp:simplePos x="0" y="0"/>
                <wp:positionH relativeFrom="column">
                  <wp:align>left</wp:align>
                </wp:positionH>
                <wp:positionV relativeFrom="line">
                  <wp:align>top</wp:align>
                </wp:positionV>
                <wp:extent cx="254000" cy="350520"/>
                <wp:effectExtent l="0" t="0" r="0" b="0"/>
                <wp:wrapSquare wrapText="right"/>
                <wp:docPr id="250" name="Frame1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52"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tbl>
      <w:tblPr>
        <w:tblW w:w="4403" w:type="dxa"/>
        <w:jc w:val="left"/>
        <w:tblInd w:w="1140" w:type="dxa"/>
        <w:tblLayout w:type="fixed"/>
        <w:tblCellMar>
          <w:top w:w="0" w:type="dxa"/>
          <w:left w:w="0" w:type="dxa"/>
          <w:bottom w:w="0" w:type="dxa"/>
          <w:right w:w="0" w:type="dxa"/>
        </w:tblCellMar>
      </w:tblPr>
      <w:tblGrid>
        <w:gridCol w:w="124"/>
        <w:gridCol w:w="109"/>
        <w:gridCol w:w="3907"/>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FF6A00"/>
            </w:tcBorders>
            <w:tcMar>
              <w:bottom w:w="28" w:type="dxa"/>
            </w:tcMar>
            <w:vAlign w:val="center"/>
          </w:tcPr>
          <w:p>
            <w:pPr>
              <w:pStyle w:val="TableContents"/>
              <w:bidi w:val="0"/>
              <w:spacing w:before="0" w:after="283"/>
              <w:jc w:val="left"/>
              <w:rPr/>
            </w:pPr>
            <w:r>
              <w:rPr/>
              <w:t>​</w:t>
            </w:r>
          </w:p>
        </w:tc>
        <w:tc>
          <w:tcPr>
            <w:tcW w:w="3907" w:type="dxa"/>
            <w:tcBorders>
              <w:bottom w:val="single" w:sz="6" w:space="0" w:color="FF6A00"/>
            </w:tcBorders>
            <w:tcMar>
              <w:bottom w:w="240" w:type="dxa"/>
            </w:tcMar>
            <w:vAlign w:val="center"/>
          </w:tcPr>
          <w:p>
            <w:pPr>
              <w:pStyle w:val="TableContents"/>
              <w:bidi w:val="0"/>
              <w:spacing w:before="0" w:after="0"/>
              <w:jc w:val="center"/>
              <w:rPr/>
            </w:pPr>
            <w:r>
              <w:rPr>
                <w:spacing w:val="-2"/>
              </w:rPr>
              <w:t>The Role of the Independent Consultant</w:t>
            </w:r>
            <w:r>
              <w:rPr/>
              <w:t xml:space="preserve"> </w:t>
            </w:r>
          </w:p>
        </w:tc>
        <w:tc>
          <w:tcPr>
            <w:tcW w:w="109" w:type="dxa"/>
            <w:tcBorders>
              <w:bottom w:val="single" w:sz="6" w:space="0" w:color="FF6A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50" w:before="230" w:after="283"/>
        <w:ind w:left="1140" w:right="0" w:hanging="0"/>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In 2025, Pay Governance provided advice to the Committee regarding areas under its purview including peer group composition, executive market benchmarking and target pay setting, annual and long-term incentive design, and other compensation-related topics and trends. The Committee has assessed the independence of Pay Governance pursuant to the SEC rules and concluded that no conflict of interest exists that would prevent Pay Governance from independently advising the Committee. </w:t>
      </w:r>
    </w:p>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251"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80" descr=""/>
                          <pic:cNvPicPr>
                            <a:picLocks noChangeAspect="1" noChangeArrowheads="1"/>
                          </pic:cNvPicPr>
                        </pic:nvPicPr>
                        <pic:blipFill>
                          <a:blip r:embed="rId91"/>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34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rFonts w:ascii="Arial;Helvetica;sans-serif" w:hAnsi="Arial;Helvetica;sans-serif"/>
          <w:b w:val="false"/>
          <w:i w:val="false"/>
          <w:caps w:val="false"/>
          <w:smallCaps w:val="false"/>
          <w:color w:val="FF6A00"/>
          <w:sz w:val="22"/>
        </w:rPr>
      </w:pPr>
      <w:r>
        <w:rPr>
          <w:rFonts w:ascii="Arial;Helvetica;sans-serif" w:hAnsi="Arial;Helvetica;sans-serif"/>
          <w:b w:val="false"/>
          <w:i w:val="false"/>
          <w:caps/>
          <w:color w:val="FF6A00"/>
          <w:spacing w:val="-2"/>
          <w:sz w:val="22"/>
        </w:rPr>
        <w:t>Executive Compensation</w:t>
      </w:r>
      <w:r>
        <w:rPr>
          <w:rFonts w:ascii="Arial;Helvetica;sans-serif" w:hAnsi="Arial;Helvetica;sans-serif"/>
          <w:b w:val="false"/>
          <w:i w:val="false"/>
          <w:caps w:val="false"/>
          <w:smallCaps w:val="false"/>
          <w:color w:val="FF6A00"/>
          <w:spacing w:val="-2"/>
          <w:sz w:val="22"/>
        </w:rPr>
        <w:t xml:space="preserve"> </w:t>
      </w:r>
    </w:p>
    <w:tbl>
      <w:tblPr>
        <w:tblW w:w="3953" w:type="dxa"/>
        <w:jc w:val="left"/>
        <w:tblInd w:w="1140" w:type="dxa"/>
        <w:tblLayout w:type="fixed"/>
        <w:tblCellMar>
          <w:top w:w="0" w:type="dxa"/>
          <w:left w:w="0" w:type="dxa"/>
          <w:bottom w:w="0" w:type="dxa"/>
          <w:right w:w="0" w:type="dxa"/>
        </w:tblCellMar>
      </w:tblPr>
      <w:tblGrid>
        <w:gridCol w:w="124"/>
        <w:gridCol w:w="109"/>
        <w:gridCol w:w="3457"/>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FF6A00"/>
            </w:tcBorders>
            <w:tcMar>
              <w:bottom w:w="28" w:type="dxa"/>
            </w:tcMar>
            <w:vAlign w:val="center"/>
          </w:tcPr>
          <w:p>
            <w:pPr>
              <w:pStyle w:val="TableContents"/>
              <w:bidi w:val="0"/>
              <w:spacing w:before="0" w:after="283"/>
              <w:jc w:val="left"/>
              <w:rPr/>
            </w:pPr>
            <w:r>
              <w:rPr/>
              <w:t>​</w:t>
            </w:r>
          </w:p>
        </w:tc>
        <w:tc>
          <w:tcPr>
            <w:tcW w:w="3457" w:type="dxa"/>
            <w:tcBorders>
              <w:bottom w:val="single" w:sz="6" w:space="0" w:color="FF6A00"/>
            </w:tcBorders>
            <w:tcMar>
              <w:bottom w:w="240" w:type="dxa"/>
            </w:tcMar>
            <w:vAlign w:val="center"/>
          </w:tcPr>
          <w:p>
            <w:pPr>
              <w:pStyle w:val="TableContents"/>
              <w:bidi w:val="0"/>
              <w:spacing w:before="0" w:after="0"/>
              <w:jc w:val="center"/>
              <w:rPr/>
            </w:pPr>
            <w:r>
              <w:rPr>
                <w:spacing w:val="-2"/>
              </w:rPr>
              <w:t>Assessing External Market Practice</w:t>
            </w:r>
            <w:r>
              <w:rPr/>
              <w:t xml:space="preserve"> </w:t>
            </w:r>
          </w:p>
        </w:tc>
        <w:tc>
          <w:tcPr>
            <w:tcW w:w="109" w:type="dxa"/>
            <w:tcBorders>
              <w:bottom w:val="single" w:sz="6" w:space="0" w:color="FF6A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50" w:before="230" w:after="283"/>
        <w:ind w:left="11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Attracting and incentivizing high-caliber executive talent is a critical part of our compensation philosophy and leadership strategy. Therefore, integral to our approach for setting compensation levels is ensuring we have a competitive pay framework. In support of this objective, our independent compensation consultant annually provides the Committee with pay data for companies in the compensation peer group (“Peer Group”), as available, as well as for similar sized general industry and technology companies from published surveys (Peer Group and survey data are collectively referred to as “market data”). In 2025, market data was considered in determining market total direct compensation benchmarks for all NEOs. The Committee has generally targeted the market median for total cash compensation of our NEOs, with the opportunity to meet or exceed the market median if the Company achieves outstanding financial performance each year. The Committee has also set long-term incentive grant values at the market median, which may result in actual total direct compensation at or above the market median for outstanding financial performance and stock price appreciation from the date of grant.</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Peer Group composition is also reviewed annually. At the Committee’s request, Pay Governance evaluated the Peer Group to ensure alignment with the Company’s strategy, business model, end markets and size. As part of the review, the Committee considered the following criteria for inclusion in the Peer Group: company type, geographic span, location, annual revenues, and other factors. Based on the foregoing criteria, no changes were made in 2025. Accordingly, the Committee examined the compensation practices of the following Peer Group companies as one of several inputs for 2025 compensation decisions:</w:t>
      </w:r>
      <w:r>
        <w:rPr>
          <w:rFonts w:ascii="Arial;Helvetica;sans-serif" w:hAnsi="Arial;Helvetica;sans-serif"/>
          <w:b w:val="false"/>
          <w:i w:val="false"/>
          <w:caps w:val="false"/>
          <w:smallCaps w:val="false"/>
          <w:color w:val="000000"/>
          <w:spacing w:val="4"/>
          <w:sz w:val="22"/>
        </w:rPr>
        <w:t xml:space="preserve"> </w:t>
      </w:r>
    </w:p>
    <w:tbl>
      <w:tblPr>
        <w:tblW w:w="9065" w:type="dxa"/>
        <w:jc w:val="left"/>
        <w:tblInd w:w="1140" w:type="dxa"/>
        <w:tblLayout w:type="fixed"/>
        <w:tblCellMar>
          <w:top w:w="0" w:type="dxa"/>
          <w:left w:w="0" w:type="dxa"/>
          <w:bottom w:w="0" w:type="dxa"/>
          <w:right w:w="0" w:type="dxa"/>
        </w:tblCellMar>
      </w:tblPr>
      <w:tblGrid>
        <w:gridCol w:w="124"/>
        <w:gridCol w:w="109"/>
        <w:gridCol w:w="1829"/>
        <w:gridCol w:w="109"/>
        <w:gridCol w:w="109"/>
        <w:gridCol w:w="1844"/>
        <w:gridCol w:w="109"/>
        <w:gridCol w:w="109"/>
        <w:gridCol w:w="2073"/>
        <w:gridCol w:w="109"/>
        <w:gridCol w:w="109"/>
        <w:gridCol w:w="2166"/>
        <w:gridCol w:w="109"/>
        <w:gridCol w:w="157"/>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29" w:type="dxa"/>
            <w:tcBorders>
              <w:bottom w:val="single" w:sz="2" w:space="0" w:color="000000"/>
            </w:tcBorders>
            <w:tcMar>
              <w:bottom w:w="37" w:type="dxa"/>
            </w:tcMar>
            <w:vAlign w:val="center"/>
          </w:tcPr>
          <w:p>
            <w:pPr>
              <w:pStyle w:val="TableContents"/>
              <w:bidi w:val="0"/>
              <w:spacing w:before="0" w:after="283"/>
              <w:jc w:val="left"/>
              <w:rPr>
                <w:spacing w:val="-2"/>
              </w:rPr>
            </w:pPr>
            <w:r>
              <w:rPr>
                <w:spacing w:val="-2"/>
              </w:rPr>
              <w:t xml:space="preserve">A.O. Smith Corporation (AOS)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44" w:type="dxa"/>
            <w:tcBorders>
              <w:bottom w:val="single" w:sz="2" w:space="0" w:color="000000"/>
            </w:tcBorders>
            <w:tcMar>
              <w:bottom w:w="37" w:type="dxa"/>
            </w:tcMar>
            <w:vAlign w:val="center"/>
          </w:tcPr>
          <w:p>
            <w:pPr>
              <w:pStyle w:val="TableContents"/>
              <w:bidi w:val="0"/>
              <w:spacing w:before="0" w:after="283"/>
              <w:jc w:val="left"/>
              <w:rPr>
                <w:spacing w:val="-2"/>
              </w:rPr>
            </w:pPr>
            <w:r>
              <w:rPr>
                <w:spacing w:val="-2"/>
              </w:rPr>
              <w:t xml:space="preserve">Enphase Energy, Inc. (ENPH)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73" w:type="dxa"/>
            <w:tcBorders>
              <w:bottom w:val="single" w:sz="2" w:space="0" w:color="000000"/>
            </w:tcBorders>
            <w:tcMar>
              <w:bottom w:w="37" w:type="dxa"/>
            </w:tcMar>
            <w:vAlign w:val="center"/>
          </w:tcPr>
          <w:p>
            <w:pPr>
              <w:pStyle w:val="TableContents"/>
              <w:bidi w:val="0"/>
              <w:spacing w:before="0" w:after="283"/>
              <w:jc w:val="left"/>
              <w:rPr>
                <w:spacing w:val="-2"/>
              </w:rPr>
            </w:pPr>
            <w:r>
              <w:rPr>
                <w:spacing w:val="-2"/>
              </w:rPr>
              <w:t xml:space="preserve">Lennox International, Inc. (LII)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66" w:type="dxa"/>
            <w:tcBorders>
              <w:bottom w:val="single" w:sz="2" w:space="0" w:color="000000"/>
            </w:tcBorders>
            <w:tcMar>
              <w:bottom w:w="37" w:type="dxa"/>
            </w:tcMar>
            <w:vAlign w:val="center"/>
          </w:tcPr>
          <w:p>
            <w:pPr>
              <w:pStyle w:val="TableContents"/>
              <w:bidi w:val="0"/>
              <w:spacing w:before="0" w:after="283"/>
              <w:jc w:val="left"/>
              <w:rPr>
                <w:spacing w:val="-2"/>
              </w:rPr>
            </w:pPr>
            <w:r>
              <w:rPr>
                <w:spacing w:val="-2"/>
              </w:rPr>
              <w:t xml:space="preserve">Skyworks Solutions, Inc. (SWKS)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29" w:type="dxa"/>
            <w:tcBorders>
              <w:bottom w:val="single" w:sz="2" w:space="0" w:color="000000"/>
            </w:tcBorders>
            <w:tcMar>
              <w:bottom w:w="37" w:type="dxa"/>
            </w:tcMar>
            <w:vAlign w:val="center"/>
          </w:tcPr>
          <w:p>
            <w:pPr>
              <w:pStyle w:val="TableContents"/>
              <w:bidi w:val="0"/>
              <w:spacing w:before="0" w:after="0"/>
              <w:jc w:val="left"/>
              <w:rPr>
                <w:spacing w:val="-2"/>
              </w:rPr>
            </w:pPr>
            <w:r>
              <w:rPr>
                <w:spacing w:val="-2"/>
              </w:rPr>
              <w:t xml:space="preserve">Acuity Brands, Inc. (AYI)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44" w:type="dxa"/>
            <w:tcBorders>
              <w:bottom w:val="single" w:sz="2" w:space="0" w:color="000000"/>
            </w:tcBorders>
            <w:tcMar>
              <w:bottom w:w="37" w:type="dxa"/>
            </w:tcMar>
            <w:vAlign w:val="center"/>
          </w:tcPr>
          <w:p>
            <w:pPr>
              <w:pStyle w:val="TableContents"/>
              <w:bidi w:val="0"/>
              <w:spacing w:before="0" w:after="283"/>
              <w:jc w:val="left"/>
              <w:rPr>
                <w:spacing w:val="-2"/>
              </w:rPr>
            </w:pPr>
            <w:r>
              <w:rPr>
                <w:spacing w:val="-2"/>
              </w:rPr>
              <w:t xml:space="preserve">First Solar, Inc. (FSLR)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73" w:type="dxa"/>
            <w:tcBorders>
              <w:bottom w:val="single" w:sz="2" w:space="0" w:color="000000"/>
            </w:tcBorders>
            <w:tcMar>
              <w:bottom w:w="37" w:type="dxa"/>
            </w:tcMar>
            <w:vAlign w:val="center"/>
          </w:tcPr>
          <w:p>
            <w:pPr>
              <w:pStyle w:val="TableContents"/>
              <w:bidi w:val="0"/>
              <w:spacing w:before="0" w:after="283"/>
              <w:jc w:val="left"/>
              <w:rPr>
                <w:spacing w:val="-2"/>
              </w:rPr>
            </w:pPr>
            <w:r>
              <w:rPr>
                <w:spacing w:val="-2"/>
              </w:rPr>
              <w:t xml:space="preserve">Nordson Corporation (NDSN)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66" w:type="dxa"/>
            <w:tcBorders>
              <w:bottom w:val="single" w:sz="2" w:space="0" w:color="000000"/>
            </w:tcBorders>
            <w:tcMar>
              <w:bottom w:w="37" w:type="dxa"/>
            </w:tcMar>
            <w:vAlign w:val="center"/>
          </w:tcPr>
          <w:p>
            <w:pPr>
              <w:pStyle w:val="TableContents"/>
              <w:bidi w:val="0"/>
              <w:spacing w:before="0" w:after="283"/>
              <w:jc w:val="left"/>
              <w:rPr>
                <w:spacing w:val="-2"/>
              </w:rPr>
            </w:pPr>
            <w:r>
              <w:rPr>
                <w:spacing w:val="-2"/>
              </w:rPr>
              <w:t xml:space="preserve">Snap-on Incorporated (SNA)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29" w:type="dxa"/>
            <w:tcBorders>
              <w:bottom w:val="single" w:sz="2" w:space="0" w:color="000000"/>
            </w:tcBorders>
            <w:tcMar>
              <w:bottom w:w="37" w:type="dxa"/>
            </w:tcMar>
            <w:vAlign w:val="center"/>
          </w:tcPr>
          <w:p>
            <w:pPr>
              <w:pStyle w:val="TableContents"/>
              <w:bidi w:val="0"/>
              <w:spacing w:before="0" w:after="283"/>
              <w:jc w:val="left"/>
              <w:rPr>
                <w:spacing w:val="-2"/>
              </w:rPr>
            </w:pPr>
            <w:r>
              <w:rPr>
                <w:spacing w:val="-2"/>
              </w:rPr>
              <w:t xml:space="preserve">AMETEK, Inc. (AME)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44" w:type="dxa"/>
            <w:tcBorders>
              <w:bottom w:val="single" w:sz="2" w:space="0" w:color="000000"/>
            </w:tcBorders>
            <w:tcMar>
              <w:bottom w:w="37" w:type="dxa"/>
            </w:tcMar>
            <w:vAlign w:val="center"/>
          </w:tcPr>
          <w:p>
            <w:pPr>
              <w:pStyle w:val="TableContents"/>
              <w:bidi w:val="0"/>
              <w:spacing w:before="0" w:after="283"/>
              <w:jc w:val="left"/>
              <w:rPr>
                <w:spacing w:val="-2"/>
              </w:rPr>
            </w:pPr>
            <w:r>
              <w:rPr>
                <w:spacing w:val="-2"/>
              </w:rPr>
              <w:t xml:space="preserve">Hubbell Incorporated (HUBB)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73" w:type="dxa"/>
            <w:tcBorders>
              <w:bottom w:val="single" w:sz="2" w:space="0" w:color="000000"/>
            </w:tcBorders>
            <w:tcMar>
              <w:bottom w:w="37" w:type="dxa"/>
            </w:tcMar>
            <w:vAlign w:val="center"/>
          </w:tcPr>
          <w:p>
            <w:pPr>
              <w:pStyle w:val="TableContents"/>
              <w:bidi w:val="0"/>
              <w:spacing w:before="0" w:after="283"/>
              <w:jc w:val="left"/>
              <w:rPr>
                <w:spacing w:val="-2"/>
              </w:rPr>
            </w:pPr>
            <w:r>
              <w:rPr>
                <w:spacing w:val="-2"/>
              </w:rPr>
              <w:t xml:space="preserve">Regal Rexnord Corporation (RRX)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66" w:type="dxa"/>
            <w:tcBorders>
              <w:bottom w:val="single" w:sz="2" w:space="0" w:color="000000"/>
            </w:tcBorders>
            <w:tcMar>
              <w:bottom w:w="37" w:type="dxa"/>
            </w:tcMar>
            <w:vAlign w:val="center"/>
          </w:tcPr>
          <w:p>
            <w:pPr>
              <w:pStyle w:val="TableContents"/>
              <w:bidi w:val="0"/>
              <w:spacing w:before="0" w:after="283"/>
              <w:jc w:val="left"/>
              <w:rPr>
                <w:spacing w:val="-2"/>
              </w:rPr>
            </w:pPr>
            <w:r>
              <w:rPr>
                <w:spacing w:val="-2"/>
              </w:rPr>
              <w:t xml:space="preserve">SolarEdge Technologies, Inc. (SEDG)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29" w:type="dxa"/>
            <w:tcBorders>
              <w:bottom w:val="single" w:sz="2" w:space="0" w:color="000000"/>
            </w:tcBorders>
            <w:tcMar>
              <w:bottom w:w="37" w:type="dxa"/>
            </w:tcMar>
            <w:vAlign w:val="center"/>
          </w:tcPr>
          <w:p>
            <w:pPr>
              <w:pStyle w:val="TableContents"/>
              <w:bidi w:val="0"/>
              <w:spacing w:before="0" w:after="283"/>
              <w:jc w:val="left"/>
              <w:rPr>
                <w:spacing w:val="-2"/>
              </w:rPr>
            </w:pPr>
            <w:r>
              <w:rPr>
                <w:spacing w:val="-2"/>
              </w:rPr>
              <w:t xml:space="preserve">Dover Corporation (DOV)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44" w:type="dxa"/>
            <w:tcBorders>
              <w:bottom w:val="single" w:sz="2" w:space="0" w:color="000000"/>
            </w:tcBorders>
            <w:tcMar>
              <w:bottom w:w="37" w:type="dxa"/>
            </w:tcMar>
            <w:vAlign w:val="center"/>
          </w:tcPr>
          <w:p>
            <w:pPr>
              <w:pStyle w:val="TableContents"/>
              <w:bidi w:val="0"/>
              <w:spacing w:before="0" w:after="283"/>
              <w:jc w:val="left"/>
              <w:rPr>
                <w:spacing w:val="-2"/>
              </w:rPr>
            </w:pPr>
            <w:r>
              <w:rPr>
                <w:spacing w:val="-2"/>
              </w:rPr>
              <w:t xml:space="preserve">IDEX Corporation (IDEX)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73" w:type="dxa"/>
            <w:tcBorders>
              <w:bottom w:val="single" w:sz="2" w:space="0" w:color="000000"/>
            </w:tcBorders>
            <w:tcMar>
              <w:bottom w:w="37" w:type="dxa"/>
            </w:tcMar>
            <w:vAlign w:val="center"/>
          </w:tcPr>
          <w:p>
            <w:pPr>
              <w:pStyle w:val="TableContents"/>
              <w:bidi w:val="0"/>
              <w:spacing w:before="0" w:after="283"/>
              <w:jc w:val="left"/>
              <w:rPr>
                <w:spacing w:val="-2"/>
              </w:rPr>
            </w:pPr>
            <w:r>
              <w:rPr>
                <w:spacing w:val="-2"/>
              </w:rPr>
              <w:t xml:space="preserve">Resideo Technologies, Inc. (REZI)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66" w:type="dxa"/>
            <w:tcBorders>
              <w:bottom w:val="single" w:sz="2" w:space="0" w:color="000000"/>
            </w:tcBorders>
            <w:tcMar>
              <w:bottom w:w="37" w:type="dxa"/>
            </w:tcMar>
            <w:vAlign w:val="center"/>
          </w:tcPr>
          <w:p>
            <w:pPr>
              <w:pStyle w:val="TableContents"/>
              <w:bidi w:val="0"/>
              <w:spacing w:before="0" w:after="283"/>
              <w:jc w:val="left"/>
              <w:rPr>
                <w:spacing w:val="-2"/>
              </w:rPr>
            </w:pPr>
            <w:r>
              <w:rPr>
                <w:spacing w:val="-2"/>
              </w:rPr>
              <w:t xml:space="preserve">Sunrun Inc. (RUN)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8" w:space="0" w:color="FF6A00"/>
            </w:tcBorders>
            <w:tcMar>
              <w:bottom w:w="28" w:type="dxa"/>
            </w:tcMar>
            <w:vAlign w:val="center"/>
          </w:tcPr>
          <w:p>
            <w:pPr>
              <w:pStyle w:val="TableContents"/>
              <w:bidi w:val="0"/>
              <w:spacing w:before="0" w:after="283"/>
              <w:jc w:val="left"/>
              <w:rPr/>
            </w:pPr>
            <w:r>
              <w:rPr/>
              <w:t>​</w:t>
            </w:r>
          </w:p>
        </w:tc>
        <w:tc>
          <w:tcPr>
            <w:tcW w:w="1829" w:type="dxa"/>
            <w:tcBorders>
              <w:bottom w:val="single" w:sz="8" w:space="0" w:color="FF6A00"/>
            </w:tcBorders>
            <w:tcMar>
              <w:bottom w:w="90" w:type="dxa"/>
            </w:tcMar>
            <w:vAlign w:val="center"/>
          </w:tcPr>
          <w:p>
            <w:pPr>
              <w:pStyle w:val="TableContents"/>
              <w:bidi w:val="0"/>
              <w:spacing w:before="0" w:after="283"/>
              <w:jc w:val="left"/>
              <w:rPr>
                <w:spacing w:val="-2"/>
              </w:rPr>
            </w:pPr>
            <w:r>
              <w:rPr>
                <w:spacing w:val="-2"/>
              </w:rPr>
              <w:t xml:space="preserve">EnerSys (ENS) </w:t>
            </w:r>
          </w:p>
        </w:tc>
        <w:tc>
          <w:tcPr>
            <w:tcW w:w="109" w:type="dxa"/>
            <w:tcBorders>
              <w:bottom w:val="single" w:sz="8" w:space="0" w:color="FF6A00"/>
            </w:tcBorders>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tcMar>
              <w:bottom w:w="28" w:type="dxa"/>
            </w:tcMar>
            <w:vAlign w:val="center"/>
          </w:tcPr>
          <w:p>
            <w:pPr>
              <w:pStyle w:val="TableContents"/>
              <w:bidi w:val="0"/>
              <w:spacing w:before="0" w:after="283"/>
              <w:jc w:val="left"/>
              <w:rPr/>
            </w:pPr>
            <w:r>
              <w:rPr/>
              <w:t>​</w:t>
            </w:r>
          </w:p>
        </w:tc>
        <w:tc>
          <w:tcPr>
            <w:tcW w:w="1844" w:type="dxa"/>
            <w:tcBorders>
              <w:bottom w:val="single" w:sz="8" w:space="0" w:color="FF6A00"/>
            </w:tcBorders>
            <w:tcMar>
              <w:bottom w:w="90" w:type="dxa"/>
            </w:tcMar>
            <w:vAlign w:val="center"/>
          </w:tcPr>
          <w:p>
            <w:pPr>
              <w:pStyle w:val="TableContents"/>
              <w:bidi w:val="0"/>
              <w:spacing w:before="0" w:after="0"/>
              <w:jc w:val="left"/>
              <w:rPr>
                <w:spacing w:val="-2"/>
              </w:rPr>
            </w:pPr>
            <w:r>
              <w:rPr>
                <w:spacing w:val="-2"/>
              </w:rPr>
              <w:t xml:space="preserve">Ingersoll Rand, Inc. (IR) </w:t>
            </w:r>
          </w:p>
        </w:tc>
        <w:tc>
          <w:tcPr>
            <w:tcW w:w="109" w:type="dxa"/>
            <w:tcBorders>
              <w:bottom w:val="single" w:sz="8" w:space="0" w:color="FF6A00"/>
            </w:tcBorders>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tcMar>
              <w:bottom w:w="28" w:type="dxa"/>
            </w:tcMar>
            <w:vAlign w:val="center"/>
          </w:tcPr>
          <w:p>
            <w:pPr>
              <w:pStyle w:val="TableContents"/>
              <w:bidi w:val="0"/>
              <w:spacing w:before="0" w:after="283"/>
              <w:jc w:val="left"/>
              <w:rPr/>
            </w:pPr>
            <w:r>
              <w:rPr/>
              <w:t>​</w:t>
            </w:r>
          </w:p>
        </w:tc>
        <w:tc>
          <w:tcPr>
            <w:tcW w:w="2073" w:type="dxa"/>
            <w:tcBorders>
              <w:bottom w:val="single" w:sz="8" w:space="0" w:color="FF6A00"/>
            </w:tcBorders>
            <w:tcMar>
              <w:bottom w:w="90" w:type="dxa"/>
            </w:tcMar>
            <w:vAlign w:val="center"/>
          </w:tcPr>
          <w:p>
            <w:pPr>
              <w:pStyle w:val="TableContents"/>
              <w:bidi w:val="0"/>
              <w:spacing w:before="0" w:after="283"/>
              <w:jc w:val="left"/>
              <w:rPr>
                <w:spacing w:val="-2"/>
              </w:rPr>
            </w:pPr>
            <w:r>
              <w:rPr>
                <w:spacing w:val="-2"/>
              </w:rPr>
              <w:t xml:space="preserve">Rockwell Automation, Inc. (ROK) </w:t>
            </w:r>
          </w:p>
        </w:tc>
        <w:tc>
          <w:tcPr>
            <w:tcW w:w="109" w:type="dxa"/>
            <w:tcBorders>
              <w:bottom w:val="single" w:sz="8" w:space="0" w:color="FF6A00"/>
            </w:tcBorders>
            <w:tcMar>
              <w:bottom w:w="28" w:type="dxa"/>
            </w:tcMar>
            <w:vAlign w:val="center"/>
          </w:tcPr>
          <w:p>
            <w:pPr>
              <w:pStyle w:val="TableContents"/>
              <w:bidi w:val="0"/>
              <w:spacing w:before="0" w:after="283"/>
              <w:jc w:val="left"/>
              <w:rPr/>
            </w:pPr>
            <w:r>
              <w:rPr/>
              <w:t>​</w:t>
            </w:r>
          </w:p>
        </w:tc>
        <w:tc>
          <w:tcPr>
            <w:tcW w:w="109" w:type="dxa"/>
            <w:tcBorders>
              <w:bottom w:val="single" w:sz="8" w:space="0" w:color="FF6A00"/>
            </w:tcBorders>
            <w:tcMar>
              <w:bottom w:w="28" w:type="dxa"/>
            </w:tcMar>
            <w:vAlign w:val="center"/>
          </w:tcPr>
          <w:p>
            <w:pPr>
              <w:pStyle w:val="TableContents"/>
              <w:bidi w:val="0"/>
              <w:spacing w:before="0" w:after="283"/>
              <w:jc w:val="left"/>
              <w:rPr/>
            </w:pPr>
            <w:r>
              <w:rPr/>
              <w:t>​</w:t>
            </w:r>
          </w:p>
        </w:tc>
        <w:tc>
          <w:tcPr>
            <w:tcW w:w="2166" w:type="dxa"/>
            <w:tcBorders>
              <w:bottom w:val="single" w:sz="8" w:space="0" w:color="FF6A00"/>
            </w:tcBorders>
            <w:tcMar>
              <w:bottom w:w="90" w:type="dxa"/>
            </w:tcMar>
            <w:vAlign w:val="center"/>
          </w:tcPr>
          <w:p>
            <w:pPr>
              <w:pStyle w:val="TableContents"/>
              <w:bidi w:val="0"/>
              <w:spacing w:before="0" w:after="283"/>
              <w:jc w:val="left"/>
              <w:rPr/>
            </w:pPr>
            <w:r>
              <w:rPr>
                <w:spacing w:val="-2"/>
              </w:rPr>
              <w:t>Xylem, Inc. (XYL)</w:t>
            </w:r>
            <w:r>
              <w:rPr/>
              <w:t xml:space="preserve"> </w:t>
            </w:r>
          </w:p>
        </w:tc>
        <w:tc>
          <w:tcPr>
            <w:tcW w:w="109" w:type="dxa"/>
            <w:tcBorders>
              <w:bottom w:val="single" w:sz="8" w:space="0" w:color="FF6A00"/>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bl>
    <w:p>
      <w:pPr>
        <w:pStyle w:val="TextBody"/>
        <w:bidi w:val="0"/>
        <w:spacing w:lineRule="atLeast" w:line="250" w:before="220" w:after="283"/>
        <w:ind w:left="1140" w:right="0" w:hanging="0"/>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In September 2025, the Committee conducted its annual peer group assessment in preparation for benchmarking 2026 executive compensation. Following this review, the Company removed AMETEK, Inc., and SolarEdge Technologies, Inc. from the Peer Group and subsequently added Qorvo, Inc., and Sensata Technologies Holdings plc to the Peer Group. The Committee believes these changes better align the Peer Group to the Company’s strategy, business model, end markets, and size. </w:t>
      </w:r>
    </w:p>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252"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81" descr=""/>
                          <pic:cNvPicPr>
                            <a:picLocks noChangeAspect="1" noChangeArrowheads="1"/>
                          </pic:cNvPicPr>
                        </pic:nvPicPr>
                        <pic:blipFill>
                          <a:blip r:embed="rId92"/>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35</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rFonts w:ascii="Arial;Helvetica;sans-serif" w:hAnsi="Arial;Helvetica;sans-serif"/>
          <w:b w:val="false"/>
          <w:i w:val="false"/>
          <w:caps w:val="false"/>
          <w:smallCaps w:val="false"/>
          <w:color w:val="FF6A00"/>
          <w:sz w:val="22"/>
        </w:rPr>
      </w:pPr>
      <w:r>
        <w:rPr>
          <w:rFonts w:ascii="Arial;Helvetica;sans-serif" w:hAnsi="Arial;Helvetica;sans-serif"/>
          <w:b w:val="false"/>
          <w:i w:val="false"/>
          <w:caps/>
          <w:color w:val="FF6A00"/>
          <w:spacing w:val="-2"/>
          <w:sz w:val="22"/>
        </w:rPr>
        <w:t>Executive Compensation</w:t>
      </w:r>
      <w:r>
        <w:rPr>
          <w:rFonts w:ascii="Arial;Helvetica;sans-serif" w:hAnsi="Arial;Helvetica;sans-serif"/>
          <w:b w:val="false"/>
          <w:i w:val="false"/>
          <w:caps w:val="false"/>
          <w:smallCaps w:val="false"/>
          <w:color w:val="FF6A00"/>
          <w:spacing w:val="-2"/>
          <w:sz w:val="22"/>
        </w:rPr>
        <w:t xml:space="preserve"> </w:t>
      </w:r>
    </w:p>
    <w:tbl>
      <w:tblPr>
        <w:tblW w:w="3646" w:type="dxa"/>
        <w:jc w:val="left"/>
        <w:tblInd w:w="1140" w:type="dxa"/>
        <w:tblLayout w:type="fixed"/>
        <w:tblCellMar>
          <w:top w:w="0" w:type="dxa"/>
          <w:left w:w="0" w:type="dxa"/>
          <w:bottom w:w="0" w:type="dxa"/>
          <w:right w:w="0" w:type="dxa"/>
        </w:tblCellMar>
      </w:tblPr>
      <w:tblGrid>
        <w:gridCol w:w="124"/>
        <w:gridCol w:w="109"/>
        <w:gridCol w:w="3150"/>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FF6A00"/>
            </w:tcBorders>
            <w:tcMar>
              <w:bottom w:w="28" w:type="dxa"/>
            </w:tcMar>
            <w:vAlign w:val="center"/>
          </w:tcPr>
          <w:p>
            <w:pPr>
              <w:pStyle w:val="TableContents"/>
              <w:bidi w:val="0"/>
              <w:spacing w:before="0" w:after="283"/>
              <w:jc w:val="left"/>
              <w:rPr/>
            </w:pPr>
            <w:r>
              <w:rPr/>
              <w:t>​</w:t>
            </w:r>
          </w:p>
        </w:tc>
        <w:tc>
          <w:tcPr>
            <w:tcW w:w="3150" w:type="dxa"/>
            <w:tcBorders>
              <w:bottom w:val="single" w:sz="6" w:space="0" w:color="FF6A00"/>
            </w:tcBorders>
            <w:tcMar>
              <w:bottom w:w="240" w:type="dxa"/>
            </w:tcMar>
            <w:vAlign w:val="center"/>
          </w:tcPr>
          <w:p>
            <w:pPr>
              <w:pStyle w:val="TableContents"/>
              <w:bidi w:val="0"/>
              <w:spacing w:before="0" w:after="0"/>
              <w:jc w:val="center"/>
              <w:rPr/>
            </w:pPr>
            <w:r>
              <w:rPr>
                <w:spacing w:val="-2"/>
              </w:rPr>
              <w:t>Stockholder Input and Outreach</w:t>
            </w:r>
            <w:r>
              <w:rPr/>
              <w:t xml:space="preserve"> </w:t>
            </w:r>
          </w:p>
        </w:tc>
        <w:tc>
          <w:tcPr>
            <w:tcW w:w="109" w:type="dxa"/>
            <w:tcBorders>
              <w:bottom w:val="single" w:sz="6" w:space="0" w:color="FF6A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0"/>
        <w:ind w:left="1140" w:right="0" w:hanging="0"/>
        <w:jc w:val="left"/>
        <w:rPr>
          <w:caps w:val="false"/>
          <w:smallCaps w:val="false"/>
          <w:color w:val="000000"/>
        </w:rPr>
      </w:pPr>
      <w:r>
        <w:rPr>
          <w:caps w:val="false"/>
          <w:smallCaps w:val="false"/>
          <w:color w:val="000000"/>
        </w:rPr>
        <w:t>​</w:t>
      </w:r>
      <w:r>
        <mc:AlternateContent>
          <mc:Choice Requires="wps">
            <w:drawing>
              <wp:anchor behindDoc="0" distT="0" distB="0" distL="152400" distR="0" simplePos="0" locked="0" layoutInCell="1" allowOverlap="1" relativeHeight="11">
                <wp:simplePos x="0" y="0"/>
                <wp:positionH relativeFrom="column">
                  <wp:align>left</wp:align>
                </wp:positionH>
                <wp:positionV relativeFrom="line">
                  <wp:posOffset>635</wp:posOffset>
                </wp:positionV>
                <wp:extent cx="1981200" cy="1376045"/>
                <wp:effectExtent l="0" t="0" r="0" b="0"/>
                <wp:wrapSquare wrapText="right"/>
                <wp:docPr id="253" name="Frame163"/>
                <a:graphic xmlns:a="http://schemas.openxmlformats.org/drawingml/2006/main">
                  <a:graphicData uri="http://schemas.microsoft.com/office/word/2010/wordprocessingShape">
                    <wps:wsp>
                      <wps:cNvSpPr txBox="1"/>
                      <wps:spPr>
                        <a:xfrm>
                          <a:off x="0" y="0"/>
                          <a:ext cx="1981200" cy="1376045"/>
                        </a:xfrm>
                        <a:prstGeom prst="rect"/>
                        <a:solidFill>
                          <a:srgbClr val="FFFFFF"/>
                        </a:solidFill>
                      </wps:spPr>
                      <wps:txbx>
                        <w:txbxContent>
                          <w:p>
                            <w:pPr>
                              <w:pStyle w:val="TextBody"/>
                              <w:bidi w:val="0"/>
                              <w:spacing w:before="0" w:after="0"/>
                              <w:jc w:val="center"/>
                              <w:rPr/>
                            </w:pPr>
                            <w:r>
                              <w:rPr/>
                              <w:drawing>
                                <wp:inline distT="0" distB="0" distL="0" distR="0">
                                  <wp:extent cx="1714500" cy="1343025"/>
                                  <wp:effectExtent l="0" t="0" r="0" b="0"/>
                                  <wp:docPr id="254"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82" descr=""/>
                                          <pic:cNvPicPr>
                                            <a:picLocks noChangeAspect="1" noChangeArrowheads="1"/>
                                          </pic:cNvPicPr>
                                        </pic:nvPicPr>
                                        <pic:blipFill>
                                          <a:blip r:embed="rId93"/>
                                          <a:stretch>
                                            <a:fillRect/>
                                          </a:stretch>
                                        </pic:blipFill>
                                        <pic:spPr bwMode="auto">
                                          <a:xfrm>
                                            <a:off x="0" y="0"/>
                                            <a:ext cx="1714500" cy="13430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156pt;height:108.35pt;mso-wrap-distance-left:12pt;mso-wrap-distance-right:0pt;mso-wrap-distance-top:0pt;mso-wrap-distance-bottom:0pt;margin-top:0pt;mso-position-vertical:top;mso-position-vertical-relative:text;margin-left:12pt;mso-position-horizontal:left;mso-position-horizontal-relative:text">
                <v:textbox>
                  <w:txbxContent>
                    <w:p>
                      <w:pPr>
                        <w:pStyle w:val="TextBody"/>
                        <w:bidi w:val="0"/>
                        <w:spacing w:before="0" w:after="0"/>
                        <w:jc w:val="center"/>
                        <w:rPr/>
                      </w:pPr>
                      <w:r>
                        <w:rPr/>
                        <w:drawing>
                          <wp:inline distT="0" distB="0" distL="0" distR="0">
                            <wp:extent cx="1714500" cy="1343025"/>
                            <wp:effectExtent l="0" t="0" r="0" b="0"/>
                            <wp:docPr id="255"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82" descr=""/>
                                    <pic:cNvPicPr>
                                      <a:picLocks noChangeAspect="1" noChangeArrowheads="1"/>
                                    </pic:cNvPicPr>
                                  </pic:nvPicPr>
                                  <pic:blipFill>
                                    <a:blip r:embed="rId94"/>
                                    <a:stretch>
                                      <a:fillRect/>
                                    </a:stretch>
                                  </pic:blipFill>
                                  <pic:spPr bwMode="auto">
                                    <a:xfrm>
                                      <a:off x="0" y="0"/>
                                      <a:ext cx="1714500" cy="1343025"/>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730250" distR="0" simplePos="0" locked="0" layoutInCell="1" allowOverlap="1" relativeHeight="294">
                <wp:simplePos x="0" y="0"/>
                <wp:positionH relativeFrom="column">
                  <wp:align>left</wp:align>
                </wp:positionH>
                <wp:positionV relativeFrom="line">
                  <wp:posOffset>635</wp:posOffset>
                </wp:positionV>
                <wp:extent cx="3962400" cy="1577340"/>
                <wp:effectExtent l="0" t="0" r="0" b="0"/>
                <wp:wrapSquare wrapText="right"/>
                <wp:docPr id="256" name="Frame162"/>
                <a:graphic xmlns:a="http://schemas.openxmlformats.org/drawingml/2006/main">
                  <a:graphicData uri="http://schemas.microsoft.com/office/word/2010/wordprocessingShape">
                    <wps:wsp>
                      <wps:cNvSpPr txBox="1"/>
                      <wps:spPr>
                        <a:xfrm>
                          <a:off x="0" y="0"/>
                          <a:ext cx="3962400" cy="1577340"/>
                        </a:xfrm>
                        <a:prstGeom prst="rect"/>
                        <a:solidFill>
                          <a:srgbClr val="FFFFFF"/>
                        </a:solidFill>
                      </wps:spPr>
                      <wps:txbx>
                        <w:txbxContent>
                          <w:p>
                            <w:pPr>
                              <w:pStyle w:val="TextBody"/>
                              <w:bidi w:val="0"/>
                              <w:spacing w:lineRule="atLeast" w:line="250" w:before="0" w:after="0"/>
                              <w:jc w:val="left"/>
                              <w:rPr>
                                <w:spacing w:val="-2"/>
                              </w:rPr>
                            </w:pPr>
                            <w:r>
                              <w:rPr>
                                <w:spacing w:val="-2"/>
                              </w:rPr>
                              <w:t xml:space="preserve">The Committee also considers the results of advisory “say-on-pay” stockholder votes when making compensation decisions. At the 2025 Annual Meeting of Stockholders, when the Company’s most recent advisory say-on-pay vote was held, over 96% of shares voting approved the compensation of the Company’s executive officers. The Committee believes that our say-on-pay vote results demonstrate strong stockholder support for our compensation practices. The Company currently holds say-on-pay votes every year. </w:t>
                            </w:r>
                          </w:p>
                        </w:txbxContent>
                      </wps:txbx>
                      <wps:bodyPr anchor="t" lIns="0" tIns="0" rIns="0" bIns="0">
                        <a:noAutofit/>
                      </wps:bodyPr>
                    </wps:wsp>
                  </a:graphicData>
                </a:graphic>
              </wp:anchor>
            </w:drawing>
          </mc:Choice>
          <mc:Fallback>
            <w:pict>
              <v:rect style="position:absolute;rotation:-0;width:312pt;height:124.2pt;mso-wrap-distance-left:57.5pt;mso-wrap-distance-right:0pt;mso-wrap-distance-top:0pt;mso-wrap-distance-bottom:0pt;margin-top:0pt;mso-position-vertical:top;mso-position-vertical-relative:text;margin-left:225.5pt;mso-position-horizontal:left;mso-position-horizontal-relative:text">
                <v:textbox>
                  <w:txbxContent>
                    <w:p>
                      <w:pPr>
                        <w:pStyle w:val="TextBody"/>
                        <w:bidi w:val="0"/>
                        <w:spacing w:lineRule="atLeast" w:line="250" w:before="0" w:after="0"/>
                        <w:jc w:val="left"/>
                        <w:rPr>
                          <w:spacing w:val="-2"/>
                        </w:rPr>
                      </w:pPr>
                      <w:r>
                        <w:rPr>
                          <w:spacing w:val="-2"/>
                        </w:rPr>
                        <w:t xml:space="preserve">The Committee also considers the results of advisory “say-on-pay” stockholder votes when making compensation decisions. At the 2025 Annual Meeting of Stockholders, when the Company’s most recent advisory say-on-pay vote was held, over 96% of shares voting approved the compensation of the Company’s executive officers. The Committee believes that our say-on-pay vote results demonstrate strong stockholder support for our compensation practices. The Company currently holds say-on-pay votes every year. </w:t>
                      </w:r>
                    </w:p>
                  </w:txbxContent>
                </v:textbox>
                <w10:wrap type="square" side="right"/>
              </v:rect>
            </w:pict>
          </mc:Fallback>
        </mc:AlternateContent>
      </w:r>
    </w:p>
    <w:p>
      <w:pPr>
        <w:pStyle w:val="TextBody"/>
        <w:bidi w:val="0"/>
        <w:spacing w:lineRule="atLeast" w:line="250" w:before="220" w:after="283"/>
        <w:ind w:left="1140" w:right="0" w:hanging="0"/>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During 2025, we met with various stockholders to discuss corporate governance, executive compensation, and other matters. The Board and the Committee consider feedback from these discussions as we review and evaluate our corporate governance practices and executive compensation programs. </w:t>
      </w:r>
    </w:p>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257"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83" descr=""/>
                          <pic:cNvPicPr>
                            <a:picLocks noChangeAspect="1" noChangeArrowheads="1"/>
                          </pic:cNvPicPr>
                        </pic:nvPicPr>
                        <pic:blipFill>
                          <a:blip r:embed="rId95"/>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36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rFonts w:ascii="Arial;Helvetica;sans-serif" w:hAnsi="Arial;Helvetica;sans-serif"/>
          <w:b w:val="false"/>
          <w:i w:val="false"/>
          <w:caps w:val="false"/>
          <w:smallCaps w:val="false"/>
          <w:color w:val="FF6A00"/>
          <w:sz w:val="22"/>
        </w:rPr>
      </w:pPr>
      <w:r>
        <w:rPr>
          <w:rFonts w:ascii="Arial;Helvetica;sans-serif" w:hAnsi="Arial;Helvetica;sans-serif"/>
          <w:b w:val="false"/>
          <w:i w:val="false"/>
          <w:caps/>
          <w:color w:val="FF6A00"/>
          <w:spacing w:val="-2"/>
          <w:sz w:val="22"/>
        </w:rPr>
        <w:t>Executive Compensation</w:t>
      </w:r>
      <w:r>
        <w:rPr>
          <w:rFonts w:ascii="Arial;Helvetica;sans-serif" w:hAnsi="Arial;Helvetica;sans-serif"/>
          <w:b w:val="false"/>
          <w:i w:val="false"/>
          <w:caps w:val="false"/>
          <w:smallCaps w:val="false"/>
          <w:color w:val="FF6A00"/>
          <w:spacing w:val="-2"/>
          <w:sz w:val="22"/>
        </w:rPr>
        <w:t xml:space="preserve"> </w:t>
      </w:r>
    </w:p>
    <w:p>
      <w:pPr>
        <w:pStyle w:val="TextBody"/>
        <w:bidi w:val="0"/>
        <w:spacing w:lineRule="atLeast" w:line="390" w:before="480" w:after="283"/>
        <w:ind w:left="1140" w:right="0" w:hanging="0"/>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2025 EXECUTIVE COMPENSATION PROGRAM DECISIONS</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60" w:before="80" w:after="283"/>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2"/>
          <w:sz w:val="22"/>
        </w:rPr>
        <w:t>Base Salary</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Committee reviews and approves base salary levels for named executive officers at the beginning of each year. The following decisions reflect the Committee’s consideration in February 2025 of external market practices, company performance, Peer Group and published survey data, and other factors, including the executive’s industry knowledge, experience, scope, complexity of position, skill set, performance, and future potential.</w:t>
      </w:r>
      <w:r>
        <w:rPr>
          <w:rFonts w:ascii="Arial;Helvetica;sans-serif" w:hAnsi="Arial;Helvetica;sans-serif"/>
          <w:b w:val="false"/>
          <w:i w:val="false"/>
          <w:caps w:val="false"/>
          <w:smallCaps w:val="false"/>
          <w:color w:val="000000"/>
          <w:spacing w:val="4"/>
          <w:sz w:val="22"/>
        </w:rPr>
        <w:t xml:space="preserve"> </w:t>
      </w:r>
    </w:p>
    <w:tbl>
      <w:tblPr>
        <w:tblW w:w="7652" w:type="dxa"/>
        <w:jc w:val="left"/>
        <w:tblInd w:w="1140" w:type="dxa"/>
        <w:tblLayout w:type="fixed"/>
        <w:tblCellMar>
          <w:top w:w="0" w:type="dxa"/>
          <w:left w:w="0" w:type="dxa"/>
          <w:bottom w:w="0" w:type="dxa"/>
          <w:right w:w="0" w:type="dxa"/>
        </w:tblCellMar>
      </w:tblPr>
      <w:tblGrid>
        <w:gridCol w:w="124"/>
        <w:gridCol w:w="2560"/>
        <w:gridCol w:w="109"/>
        <w:gridCol w:w="109"/>
        <w:gridCol w:w="109"/>
        <w:gridCol w:w="226"/>
        <w:gridCol w:w="1066"/>
        <w:gridCol w:w="109"/>
        <w:gridCol w:w="109"/>
        <w:gridCol w:w="109"/>
        <w:gridCol w:w="109"/>
        <w:gridCol w:w="226"/>
        <w:gridCol w:w="1066"/>
        <w:gridCol w:w="109"/>
        <w:gridCol w:w="109"/>
        <w:gridCol w:w="109"/>
        <w:gridCol w:w="168"/>
        <w:gridCol w:w="168"/>
        <w:gridCol w:w="633"/>
        <w:gridCol w:w="171"/>
        <w:gridCol w:w="154"/>
      </w:tblGrid>
      <w:tr>
        <w:trPr/>
        <w:tc>
          <w:tcPr>
            <w:tcW w:w="124" w:type="dxa"/>
            <w:tcBorders/>
            <w:shd w:fill="FF6A00" w:val="clear"/>
            <w:vAlign w:val="center"/>
          </w:tcPr>
          <w:p>
            <w:pPr>
              <w:pStyle w:val="TableContents"/>
              <w:bidi w:val="0"/>
              <w:spacing w:before="0" w:after="283"/>
              <w:jc w:val="left"/>
              <w:rPr/>
            </w:pPr>
            <w:r>
              <w:rPr/>
              <w:t>​</w:t>
            </w:r>
          </w:p>
        </w:tc>
        <w:tc>
          <w:tcPr>
            <w:tcW w:w="2560" w:type="dxa"/>
            <w:tcBorders/>
            <w:shd w:fill="FF6A00" w:val="clear"/>
            <w:vAlign w:val="center"/>
          </w:tcPr>
          <w:p>
            <w:pPr>
              <w:pStyle w:val="TableContents"/>
              <w:bidi w:val="0"/>
              <w:spacing w:before="0" w:after="0"/>
              <w:jc w:val="left"/>
              <w:rPr>
                <w:spacing w:val="-2"/>
              </w:rPr>
            </w:pPr>
            <w:r>
              <w:rPr>
                <w:spacing w:val="-2"/>
              </w:rPr>
              <w:t xml:space="preserve">Named Executive Officer </w:t>
            </w:r>
          </w:p>
        </w:tc>
        <w:tc>
          <w:tcPr>
            <w:tcW w:w="109"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510" w:type="dxa"/>
            <w:gridSpan w:val="4"/>
            <w:tcBorders/>
            <w:shd w:fill="FF6A00" w:val="clear"/>
            <w:vAlign w:val="center"/>
          </w:tcPr>
          <w:p>
            <w:pPr>
              <w:pStyle w:val="TableContents"/>
              <w:bidi w:val="0"/>
              <w:spacing w:before="0" w:after="0"/>
              <w:jc w:val="center"/>
              <w:rPr>
                <w:spacing w:val="-2"/>
              </w:rPr>
            </w:pPr>
            <w:r>
              <w:rPr>
                <w:spacing w:val="-2"/>
              </w:rPr>
              <w:t xml:space="preserve">Annual Base </w:t>
              <w:br/>
              <w:t xml:space="preserve">Salary at </w:t>
              <w:br/>
              <w:t xml:space="preserve">12/31/2024 </w:t>
            </w:r>
          </w:p>
        </w:tc>
        <w:tc>
          <w:tcPr>
            <w:tcW w:w="109"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510" w:type="dxa"/>
            <w:gridSpan w:val="4"/>
            <w:tcBorders/>
            <w:shd w:fill="FF6A00" w:val="clear"/>
            <w:vAlign w:val="center"/>
          </w:tcPr>
          <w:p>
            <w:pPr>
              <w:pStyle w:val="TableContents"/>
              <w:bidi w:val="0"/>
              <w:spacing w:before="0" w:after="0"/>
              <w:jc w:val="center"/>
              <w:rPr>
                <w:spacing w:val="-2"/>
              </w:rPr>
            </w:pPr>
            <w:r>
              <w:rPr>
                <w:spacing w:val="-2"/>
              </w:rPr>
              <w:t xml:space="preserve">Annual Base </w:t>
              <w:br/>
              <w:t xml:space="preserve">Salary at </w:t>
              <w:br/>
              <w:t xml:space="preserve">12/31/2025 </w:t>
            </w:r>
          </w:p>
        </w:tc>
        <w:tc>
          <w:tcPr>
            <w:tcW w:w="109"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140" w:type="dxa"/>
            <w:gridSpan w:val="4"/>
            <w:tcBorders/>
            <w:shd w:fill="FF6A00" w:val="clear"/>
            <w:vAlign w:val="center"/>
          </w:tcPr>
          <w:p>
            <w:pPr>
              <w:pStyle w:val="TableContents"/>
              <w:bidi w:val="0"/>
              <w:spacing w:before="0" w:after="0"/>
              <w:jc w:val="center"/>
              <w:rPr>
                <w:spacing w:val="-2"/>
              </w:rPr>
            </w:pPr>
            <w:r>
              <w:rPr>
                <w:spacing w:val="-2"/>
              </w:rPr>
              <w:t xml:space="preserve">% Change </w:t>
            </w:r>
          </w:p>
        </w:tc>
        <w:tc>
          <w:tcPr>
            <w:tcW w:w="154" w:type="dxa"/>
            <w:tcBorders/>
            <w:shd w:fill="FF6A00"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560" w:type="dxa"/>
            <w:tcBorders/>
            <w:vAlign w:val="center"/>
          </w:tcPr>
          <w:p>
            <w:pPr>
              <w:pStyle w:val="TableContents"/>
              <w:bidi w:val="0"/>
              <w:spacing w:before="0" w:after="283"/>
              <w:jc w:val="left"/>
              <w:rPr>
                <w:spacing w:val="-2"/>
              </w:rPr>
            </w:pPr>
            <w:r>
              <w:rPr>
                <w:spacing w:val="-2"/>
              </w:rPr>
              <w:t xml:space="preserve">Aaron Jagdfeld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1,050,000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1,100,000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right"/>
              <w:rPr/>
            </w:pPr>
            <w:r>
              <w:rPr/>
              <w:t>​</w:t>
            </w:r>
          </w:p>
        </w:tc>
        <w:tc>
          <w:tcPr>
            <w:tcW w:w="633" w:type="dxa"/>
            <w:tcBorders/>
            <w:vAlign w:val="center"/>
          </w:tcPr>
          <w:p>
            <w:pPr>
              <w:pStyle w:val="TableContents"/>
              <w:bidi w:val="0"/>
              <w:spacing w:before="0" w:after="283"/>
              <w:jc w:val="right"/>
              <w:rPr/>
            </w:pPr>
            <w:r>
              <w:rPr/>
              <w:t>4.8%</w:t>
            </w:r>
          </w:p>
        </w:tc>
        <w:tc>
          <w:tcPr>
            <w:tcW w:w="171"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B2B2B2" w:val="clear"/>
            <w:vAlign w:val="center"/>
          </w:tcPr>
          <w:p>
            <w:pPr>
              <w:pStyle w:val="TableContents"/>
              <w:bidi w:val="0"/>
              <w:spacing w:before="0" w:after="283"/>
              <w:jc w:val="left"/>
              <w:rPr/>
            </w:pPr>
            <w:r>
              <w:rPr/>
              <w:t>​</w:t>
            </w:r>
          </w:p>
        </w:tc>
        <w:tc>
          <w:tcPr>
            <w:tcW w:w="2560" w:type="dxa"/>
            <w:tcBorders/>
            <w:shd w:fill="B2B2B2" w:val="clear"/>
            <w:vAlign w:val="center"/>
          </w:tcPr>
          <w:p>
            <w:pPr>
              <w:pStyle w:val="TableContents"/>
              <w:bidi w:val="0"/>
              <w:spacing w:before="0" w:after="283"/>
              <w:jc w:val="left"/>
              <w:rPr>
                <w:spacing w:val="-2"/>
              </w:rPr>
            </w:pPr>
            <w:r>
              <w:rPr>
                <w:spacing w:val="-2"/>
              </w:rPr>
              <w:t xml:space="preserve">York Ragen </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226" w:type="dxa"/>
            <w:tcBorders/>
            <w:shd w:fill="B2B2B2" w:val="clear"/>
            <w:vAlign w:val="center"/>
          </w:tcPr>
          <w:p>
            <w:pPr>
              <w:pStyle w:val="TableContents"/>
              <w:bidi w:val="0"/>
              <w:spacing w:before="0" w:after="283"/>
              <w:jc w:val="right"/>
              <w:rPr/>
            </w:pPr>
            <w:r>
              <w:rPr/>
              <w:t>$</w:t>
            </w:r>
          </w:p>
        </w:tc>
        <w:tc>
          <w:tcPr>
            <w:tcW w:w="1066" w:type="dxa"/>
            <w:tcBorders/>
            <w:shd w:fill="B2B2B2" w:val="clear"/>
            <w:vAlign w:val="center"/>
          </w:tcPr>
          <w:p>
            <w:pPr>
              <w:pStyle w:val="TableContents"/>
              <w:bidi w:val="0"/>
              <w:spacing w:before="0" w:after="283"/>
              <w:jc w:val="right"/>
              <w:rPr/>
            </w:pPr>
            <w:r>
              <w:rPr/>
              <w:t>550,000</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226" w:type="dxa"/>
            <w:tcBorders/>
            <w:shd w:fill="B2B2B2" w:val="clear"/>
            <w:vAlign w:val="center"/>
          </w:tcPr>
          <w:p>
            <w:pPr>
              <w:pStyle w:val="TableContents"/>
              <w:bidi w:val="0"/>
              <w:spacing w:before="0" w:after="283"/>
              <w:jc w:val="right"/>
              <w:rPr/>
            </w:pPr>
            <w:r>
              <w:rPr/>
              <w:t>$</w:t>
            </w:r>
          </w:p>
        </w:tc>
        <w:tc>
          <w:tcPr>
            <w:tcW w:w="1066" w:type="dxa"/>
            <w:tcBorders/>
            <w:shd w:fill="B2B2B2" w:val="clear"/>
            <w:vAlign w:val="center"/>
          </w:tcPr>
          <w:p>
            <w:pPr>
              <w:pStyle w:val="TableContents"/>
              <w:bidi w:val="0"/>
              <w:spacing w:before="0" w:after="283"/>
              <w:jc w:val="right"/>
              <w:rPr/>
            </w:pPr>
            <w:r>
              <w:rPr/>
              <w:t>578,000</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68" w:type="dxa"/>
            <w:tcBorders/>
            <w:shd w:fill="B2B2B2" w:val="clear"/>
            <w:vAlign w:val="center"/>
          </w:tcPr>
          <w:p>
            <w:pPr>
              <w:pStyle w:val="TableContents"/>
              <w:bidi w:val="0"/>
              <w:spacing w:before="0" w:after="283"/>
              <w:jc w:val="left"/>
              <w:rPr/>
            </w:pPr>
            <w:r>
              <w:rPr/>
              <w:t>​</w:t>
            </w:r>
          </w:p>
        </w:tc>
        <w:tc>
          <w:tcPr>
            <w:tcW w:w="168" w:type="dxa"/>
            <w:tcBorders/>
            <w:shd w:fill="B2B2B2" w:val="clear"/>
            <w:vAlign w:val="center"/>
          </w:tcPr>
          <w:p>
            <w:pPr>
              <w:pStyle w:val="TableContents"/>
              <w:bidi w:val="0"/>
              <w:spacing w:before="0" w:after="283"/>
              <w:jc w:val="right"/>
              <w:rPr/>
            </w:pPr>
            <w:r>
              <w:rPr/>
              <w:t>​</w:t>
            </w:r>
          </w:p>
        </w:tc>
        <w:tc>
          <w:tcPr>
            <w:tcW w:w="633" w:type="dxa"/>
            <w:tcBorders/>
            <w:shd w:fill="B2B2B2" w:val="clear"/>
            <w:vAlign w:val="center"/>
          </w:tcPr>
          <w:p>
            <w:pPr>
              <w:pStyle w:val="TableContents"/>
              <w:bidi w:val="0"/>
              <w:spacing w:before="0" w:after="283"/>
              <w:jc w:val="right"/>
              <w:rPr/>
            </w:pPr>
            <w:r>
              <w:rPr/>
              <w:t>5.1%</w:t>
            </w:r>
          </w:p>
        </w:tc>
        <w:tc>
          <w:tcPr>
            <w:tcW w:w="171" w:type="dxa"/>
            <w:tcBorders/>
            <w:shd w:fill="B2B2B2" w:val="clear"/>
            <w:vAlign w:val="center"/>
          </w:tcPr>
          <w:p>
            <w:pPr>
              <w:pStyle w:val="TableContents"/>
              <w:bidi w:val="0"/>
              <w:spacing w:before="0" w:after="283"/>
              <w:jc w:val="left"/>
              <w:rPr/>
            </w:pPr>
            <w:r>
              <w:rPr/>
              <w:t>​</w:t>
            </w:r>
          </w:p>
        </w:tc>
        <w:tc>
          <w:tcPr>
            <w:tcW w:w="154" w:type="dxa"/>
            <w:tcBorders/>
            <w:shd w:fill="B2B2B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560" w:type="dxa"/>
            <w:tcBorders/>
            <w:vAlign w:val="center"/>
          </w:tcPr>
          <w:p>
            <w:pPr>
              <w:pStyle w:val="TableContents"/>
              <w:bidi w:val="0"/>
              <w:spacing w:before="0" w:after="283"/>
              <w:jc w:val="left"/>
              <w:rPr>
                <w:spacing w:val="-2"/>
              </w:rPr>
            </w:pPr>
            <w:r>
              <w:rPr>
                <w:spacing w:val="-2"/>
              </w:rPr>
              <w:t xml:space="preserve">Norman Taffe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450,000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466,000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right"/>
              <w:rPr/>
            </w:pPr>
            <w:r>
              <w:rPr/>
              <w:t>​</w:t>
            </w:r>
          </w:p>
        </w:tc>
        <w:tc>
          <w:tcPr>
            <w:tcW w:w="633" w:type="dxa"/>
            <w:tcBorders/>
            <w:vAlign w:val="center"/>
          </w:tcPr>
          <w:p>
            <w:pPr>
              <w:pStyle w:val="TableContents"/>
              <w:bidi w:val="0"/>
              <w:spacing w:before="0" w:after="283"/>
              <w:jc w:val="right"/>
              <w:rPr/>
            </w:pPr>
            <w:r>
              <w:rPr/>
              <w:t>3.6%</w:t>
            </w:r>
          </w:p>
        </w:tc>
        <w:tc>
          <w:tcPr>
            <w:tcW w:w="171"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B2B2B2" w:val="clear"/>
            <w:vAlign w:val="center"/>
          </w:tcPr>
          <w:p>
            <w:pPr>
              <w:pStyle w:val="TableContents"/>
              <w:bidi w:val="0"/>
              <w:spacing w:before="0" w:after="283"/>
              <w:jc w:val="left"/>
              <w:rPr/>
            </w:pPr>
            <w:r>
              <w:rPr/>
              <w:t>​</w:t>
            </w:r>
          </w:p>
        </w:tc>
        <w:tc>
          <w:tcPr>
            <w:tcW w:w="2560" w:type="dxa"/>
            <w:tcBorders/>
            <w:shd w:fill="B2B2B2" w:val="clear"/>
            <w:vAlign w:val="center"/>
          </w:tcPr>
          <w:p>
            <w:pPr>
              <w:pStyle w:val="TableContents"/>
              <w:bidi w:val="0"/>
              <w:spacing w:before="0" w:after="283"/>
              <w:jc w:val="left"/>
              <w:rPr>
                <w:spacing w:val="-2"/>
              </w:rPr>
            </w:pPr>
            <w:r>
              <w:rPr>
                <w:spacing w:val="-2"/>
              </w:rPr>
              <w:t xml:space="preserve">Erik Wilde </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226" w:type="dxa"/>
            <w:tcBorders/>
            <w:shd w:fill="B2B2B2" w:val="clear"/>
            <w:vAlign w:val="center"/>
          </w:tcPr>
          <w:p>
            <w:pPr>
              <w:pStyle w:val="TableContents"/>
              <w:bidi w:val="0"/>
              <w:spacing w:before="0" w:after="283"/>
              <w:jc w:val="right"/>
              <w:rPr/>
            </w:pPr>
            <w:r>
              <w:rPr/>
              <w:t>$</w:t>
            </w:r>
          </w:p>
        </w:tc>
        <w:tc>
          <w:tcPr>
            <w:tcW w:w="1066" w:type="dxa"/>
            <w:tcBorders/>
            <w:shd w:fill="B2B2B2" w:val="clear"/>
            <w:vAlign w:val="center"/>
          </w:tcPr>
          <w:p>
            <w:pPr>
              <w:pStyle w:val="TableContents"/>
              <w:bidi w:val="0"/>
              <w:spacing w:before="0" w:after="283"/>
              <w:jc w:val="right"/>
              <w:rPr/>
            </w:pPr>
            <w:r>
              <w:rPr/>
              <w:t>450,000</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226" w:type="dxa"/>
            <w:tcBorders/>
            <w:shd w:fill="B2B2B2" w:val="clear"/>
            <w:vAlign w:val="center"/>
          </w:tcPr>
          <w:p>
            <w:pPr>
              <w:pStyle w:val="TableContents"/>
              <w:bidi w:val="0"/>
              <w:spacing w:before="0" w:after="283"/>
              <w:jc w:val="right"/>
              <w:rPr/>
            </w:pPr>
            <w:r>
              <w:rPr/>
              <w:t>$</w:t>
            </w:r>
          </w:p>
        </w:tc>
        <w:tc>
          <w:tcPr>
            <w:tcW w:w="1066" w:type="dxa"/>
            <w:tcBorders/>
            <w:shd w:fill="B2B2B2" w:val="clear"/>
            <w:vAlign w:val="center"/>
          </w:tcPr>
          <w:p>
            <w:pPr>
              <w:pStyle w:val="TableContents"/>
              <w:bidi w:val="0"/>
              <w:spacing w:before="0" w:after="283"/>
              <w:jc w:val="right"/>
              <w:rPr/>
            </w:pPr>
            <w:r>
              <w:rPr/>
              <w:t>466,000</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68" w:type="dxa"/>
            <w:tcBorders/>
            <w:shd w:fill="B2B2B2" w:val="clear"/>
            <w:vAlign w:val="center"/>
          </w:tcPr>
          <w:p>
            <w:pPr>
              <w:pStyle w:val="TableContents"/>
              <w:bidi w:val="0"/>
              <w:spacing w:before="0" w:after="283"/>
              <w:jc w:val="left"/>
              <w:rPr/>
            </w:pPr>
            <w:r>
              <w:rPr/>
              <w:t>​</w:t>
            </w:r>
          </w:p>
        </w:tc>
        <w:tc>
          <w:tcPr>
            <w:tcW w:w="168" w:type="dxa"/>
            <w:tcBorders/>
            <w:shd w:fill="B2B2B2" w:val="clear"/>
            <w:vAlign w:val="center"/>
          </w:tcPr>
          <w:p>
            <w:pPr>
              <w:pStyle w:val="TableContents"/>
              <w:bidi w:val="0"/>
              <w:spacing w:before="0" w:after="283"/>
              <w:jc w:val="right"/>
              <w:rPr/>
            </w:pPr>
            <w:r>
              <w:rPr/>
              <w:t>​</w:t>
            </w:r>
          </w:p>
        </w:tc>
        <w:tc>
          <w:tcPr>
            <w:tcW w:w="633" w:type="dxa"/>
            <w:tcBorders/>
            <w:shd w:fill="B2B2B2" w:val="clear"/>
            <w:vAlign w:val="center"/>
          </w:tcPr>
          <w:p>
            <w:pPr>
              <w:pStyle w:val="TableContents"/>
              <w:bidi w:val="0"/>
              <w:spacing w:before="0" w:after="283"/>
              <w:jc w:val="right"/>
              <w:rPr/>
            </w:pPr>
            <w:r>
              <w:rPr/>
              <w:t>3.6%</w:t>
            </w:r>
          </w:p>
        </w:tc>
        <w:tc>
          <w:tcPr>
            <w:tcW w:w="171" w:type="dxa"/>
            <w:tcBorders/>
            <w:shd w:fill="B2B2B2" w:val="clear"/>
            <w:vAlign w:val="center"/>
          </w:tcPr>
          <w:p>
            <w:pPr>
              <w:pStyle w:val="TableContents"/>
              <w:bidi w:val="0"/>
              <w:spacing w:before="0" w:after="283"/>
              <w:jc w:val="left"/>
              <w:rPr/>
            </w:pPr>
            <w:r>
              <w:rPr/>
              <w:t>​</w:t>
            </w:r>
          </w:p>
        </w:tc>
        <w:tc>
          <w:tcPr>
            <w:tcW w:w="154" w:type="dxa"/>
            <w:tcBorders/>
            <w:shd w:fill="B2B2B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560" w:type="dxa"/>
            <w:tcBorders/>
            <w:vAlign w:val="center"/>
          </w:tcPr>
          <w:p>
            <w:pPr>
              <w:pStyle w:val="TableContents"/>
              <w:bidi w:val="0"/>
              <w:spacing w:before="0" w:after="283"/>
              <w:jc w:val="left"/>
              <w:rPr>
                <w:spacing w:val="-2"/>
              </w:rPr>
            </w:pPr>
            <w:r>
              <w:rPr>
                <w:spacing w:val="-2"/>
              </w:rPr>
              <w:t xml:space="preserve">Raj Kanuru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440,000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471,000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right"/>
              <w:rPr/>
            </w:pPr>
            <w:r>
              <w:rPr/>
              <w:t>​</w:t>
            </w:r>
          </w:p>
        </w:tc>
        <w:tc>
          <w:tcPr>
            <w:tcW w:w="633" w:type="dxa"/>
            <w:tcBorders/>
            <w:vAlign w:val="center"/>
          </w:tcPr>
          <w:p>
            <w:pPr>
              <w:pStyle w:val="TableContents"/>
              <w:bidi w:val="0"/>
              <w:spacing w:before="0" w:after="283"/>
              <w:jc w:val="right"/>
              <w:rPr/>
            </w:pPr>
            <w:r>
              <w:rPr/>
              <w:t>7.0%</w:t>
            </w:r>
          </w:p>
        </w:tc>
        <w:tc>
          <w:tcPr>
            <w:tcW w:w="171"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50" w:before="234" w:after="283"/>
        <w:ind w:left="11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Based on sustained performance, market benchmarking and to further align pay to competitive market levels, the Committee increased Mr. Kanuru’s base salary 7.0%, which exceeded the general merit-based increases in base salaries for other NEOs.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60" w:before="240" w:after="283"/>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2"/>
          <w:sz w:val="22"/>
        </w:rPr>
        <w:t>Annual Performance Bonus Plan</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Under the Annual Performance Bonus Plan, the Committee approved the financial targets of the 2025 Annual Incentive Plan (“AIP”). The target annual incentive is calculated as a percentage of base salary and is paid in cash.</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In February 2025, the Committee approved increases to the target AIP award opportunity to align total direct compensation to market levels for Messrs. Jagdfeld and Ragen from 130% to 135% and 80% to 85% of salary, respectively. Target AIP multiples of salary remained unchanged for the other NEOs.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Threshold, Target, and Maximum annual incentive opportunities as a percent of base salary for each NEO for 2025 are as follows:</w:t>
      </w:r>
      <w:r>
        <w:rPr>
          <w:rFonts w:ascii="Arial;Helvetica;sans-serif" w:hAnsi="Arial;Helvetica;sans-serif"/>
          <w:b w:val="false"/>
          <w:i w:val="false"/>
          <w:caps w:val="false"/>
          <w:smallCaps w:val="false"/>
          <w:color w:val="000000"/>
          <w:spacing w:val="4"/>
          <w:sz w:val="22"/>
        </w:rPr>
        <w:t xml:space="preserve"> </w:t>
      </w:r>
    </w:p>
    <w:tbl>
      <w:tblPr>
        <w:tblW w:w="9065" w:type="dxa"/>
        <w:jc w:val="left"/>
        <w:tblInd w:w="1140" w:type="dxa"/>
        <w:tblLayout w:type="fixed"/>
        <w:tblCellMar>
          <w:top w:w="0" w:type="dxa"/>
          <w:left w:w="0" w:type="dxa"/>
          <w:bottom w:w="28" w:type="dxa"/>
          <w:right w:w="0" w:type="dxa"/>
        </w:tblCellMar>
      </w:tblPr>
      <w:tblGrid>
        <w:gridCol w:w="124"/>
        <w:gridCol w:w="1906"/>
        <w:gridCol w:w="109"/>
        <w:gridCol w:w="109"/>
        <w:gridCol w:w="187"/>
        <w:gridCol w:w="187"/>
        <w:gridCol w:w="518"/>
        <w:gridCol w:w="188"/>
        <w:gridCol w:w="109"/>
        <w:gridCol w:w="109"/>
        <w:gridCol w:w="134"/>
        <w:gridCol w:w="134"/>
        <w:gridCol w:w="689"/>
        <w:gridCol w:w="135"/>
        <w:gridCol w:w="109"/>
        <w:gridCol w:w="109"/>
        <w:gridCol w:w="109"/>
        <w:gridCol w:w="109"/>
        <w:gridCol w:w="577"/>
        <w:gridCol w:w="109"/>
        <w:gridCol w:w="109"/>
        <w:gridCol w:w="109"/>
        <w:gridCol w:w="166"/>
        <w:gridCol w:w="166"/>
        <w:gridCol w:w="716"/>
        <w:gridCol w:w="167"/>
        <w:gridCol w:w="109"/>
        <w:gridCol w:w="109"/>
        <w:gridCol w:w="1495"/>
        <w:gridCol w:w="159"/>
      </w:tblGrid>
      <w:tr>
        <w:trPr/>
        <w:tc>
          <w:tcPr>
            <w:tcW w:w="124" w:type="dxa"/>
            <w:tcBorders>
              <w:bottom w:val="single" w:sz="2" w:space="0" w:color="FF6A00"/>
            </w:tcBorders>
            <w:shd w:fill="FF6A00" w:val="clear"/>
            <w:vAlign w:val="center"/>
          </w:tcPr>
          <w:p>
            <w:pPr>
              <w:pStyle w:val="TableContents"/>
              <w:bidi w:val="0"/>
              <w:spacing w:before="0" w:after="283"/>
              <w:jc w:val="left"/>
              <w:rPr/>
            </w:pPr>
            <w:r>
              <w:rPr/>
              <w:t>​</w:t>
            </w:r>
          </w:p>
        </w:tc>
        <w:tc>
          <w:tcPr>
            <w:tcW w:w="1906" w:type="dxa"/>
            <w:tcBorders>
              <w:bottom w:val="single" w:sz="2" w:space="0" w:color="FF6A00"/>
            </w:tcBorders>
            <w:shd w:fill="FF6A00" w:val="clear"/>
            <w:vAlign w:val="center"/>
          </w:tcPr>
          <w:p>
            <w:pPr>
              <w:pStyle w:val="TableContents"/>
              <w:bidi w:val="0"/>
              <w:spacing w:before="0" w:after="283"/>
              <w:jc w:val="left"/>
              <w:rPr/>
            </w:pPr>
            <w:r>
              <w:rPr/>
              <w:t>​</w:t>
            </w:r>
          </w:p>
        </w:tc>
        <w:tc>
          <w:tcPr>
            <w:tcW w:w="109" w:type="dxa"/>
            <w:tcBorders>
              <w:bottom w:val="single" w:sz="2" w:space="0" w:color="FF6A00"/>
            </w:tcBorders>
            <w:shd w:fill="FF6A00" w:val="clear"/>
            <w:vAlign w:val="center"/>
          </w:tcPr>
          <w:p>
            <w:pPr>
              <w:pStyle w:val="TableContents"/>
              <w:bidi w:val="0"/>
              <w:spacing w:before="0" w:after="283"/>
              <w:jc w:val="left"/>
              <w:rPr/>
            </w:pPr>
            <w:r>
              <w:rPr/>
              <w:t>​</w:t>
            </w:r>
          </w:p>
        </w:tc>
        <w:tc>
          <w:tcPr>
            <w:tcW w:w="109" w:type="dxa"/>
            <w:tcBorders>
              <w:bottom w:val="single" w:sz="2" w:space="0" w:color="FEFEFE"/>
            </w:tcBorders>
            <w:shd w:fill="FF6A00" w:val="clear"/>
            <w:vAlign w:val="center"/>
          </w:tcPr>
          <w:p>
            <w:pPr>
              <w:pStyle w:val="TableContents"/>
              <w:bidi w:val="0"/>
              <w:spacing w:before="0" w:after="283"/>
              <w:jc w:val="left"/>
              <w:rPr/>
            </w:pPr>
            <w:r>
              <w:rPr/>
              <w:t>​</w:t>
            </w:r>
          </w:p>
        </w:tc>
        <w:tc>
          <w:tcPr>
            <w:tcW w:w="4945" w:type="dxa"/>
            <w:gridSpan w:val="22"/>
            <w:tcBorders>
              <w:bottom w:val="single" w:sz="2" w:space="0" w:color="FEFEFE"/>
            </w:tcBorders>
            <w:shd w:fill="FF6A00" w:val="clear"/>
            <w:tcMar>
              <w:bottom w:w="40" w:type="dxa"/>
            </w:tcMar>
            <w:vAlign w:val="center"/>
          </w:tcPr>
          <w:p>
            <w:pPr>
              <w:pStyle w:val="TableContents"/>
              <w:bidi w:val="0"/>
              <w:spacing w:before="0" w:after="0"/>
              <w:jc w:val="center"/>
              <w:rPr>
                <w:spacing w:val="-2"/>
              </w:rPr>
            </w:pPr>
            <w:r>
              <w:rPr>
                <w:spacing w:val="-2"/>
              </w:rPr>
              <w:t xml:space="preserve">Bonus as % of Base Salary </w:t>
            </w:r>
          </w:p>
        </w:tc>
        <w:tc>
          <w:tcPr>
            <w:tcW w:w="109" w:type="dxa"/>
            <w:tcBorders>
              <w:bottom w:val="single" w:sz="2" w:space="0" w:color="FEFEFE"/>
            </w:tcBorders>
            <w:shd w:fill="FF6A00" w:val="clear"/>
            <w:vAlign w:val="center"/>
          </w:tcPr>
          <w:p>
            <w:pPr>
              <w:pStyle w:val="TableContents"/>
              <w:bidi w:val="0"/>
              <w:spacing w:before="0" w:after="283"/>
              <w:jc w:val="left"/>
              <w:rPr/>
            </w:pPr>
            <w:r>
              <w:rPr/>
              <w:t>​</w:t>
            </w:r>
          </w:p>
        </w:tc>
        <w:tc>
          <w:tcPr>
            <w:tcW w:w="109" w:type="dxa"/>
            <w:vMerge w:val="restart"/>
            <w:tcBorders/>
            <w:shd w:fill="FF6A00" w:val="clear"/>
            <w:tcMar>
              <w:bottom w:w="0" w:type="dxa"/>
            </w:tcMar>
            <w:vAlign w:val="center"/>
          </w:tcPr>
          <w:p>
            <w:pPr>
              <w:pStyle w:val="TableContents"/>
              <w:bidi w:val="0"/>
              <w:spacing w:before="0" w:after="283"/>
              <w:jc w:val="left"/>
              <w:rPr/>
            </w:pPr>
            <w:r>
              <w:rPr/>
              <w:t>​</w:t>
            </w:r>
          </w:p>
        </w:tc>
        <w:tc>
          <w:tcPr>
            <w:tcW w:w="1495" w:type="dxa"/>
            <w:vMerge w:val="restart"/>
            <w:tcBorders/>
            <w:shd w:fill="FF6A00" w:val="clear"/>
            <w:tcMar>
              <w:bottom w:w="0" w:type="dxa"/>
            </w:tcMar>
            <w:vAlign w:val="center"/>
          </w:tcPr>
          <w:p>
            <w:pPr>
              <w:pStyle w:val="TableContents"/>
              <w:bidi w:val="0"/>
              <w:spacing w:lineRule="atLeast" w:line="142" w:before="0" w:after="0"/>
              <w:jc w:val="center"/>
              <w:rPr/>
            </w:pPr>
            <w:r>
              <w:rPr>
                <w:spacing w:val="-2"/>
              </w:rPr>
              <w:t xml:space="preserve">Individual </w:t>
              <w:br/>
              <w:t xml:space="preserve">Performance </w:t>
              <w:br/>
              <w:t>Modifier</w:t>
            </w:r>
            <w:r>
              <w:rPr>
                <w:spacing w:val="-2"/>
                <w:sz w:val="13"/>
              </w:rPr>
              <w:t>(2)</w:t>
            </w:r>
            <w:r>
              <w:rPr/>
              <w:t xml:space="preserve"> </w:t>
            </w:r>
          </w:p>
        </w:tc>
        <w:tc>
          <w:tcPr>
            <w:tcW w:w="159" w:type="dxa"/>
            <w:vMerge w:val="restart"/>
            <w:tcBorders/>
            <w:shd w:fill="FF6A00" w:val="clear"/>
            <w:tcMar>
              <w:bottom w:w="0" w:type="dxa"/>
            </w:tcMar>
            <w:vAlign w:val="center"/>
          </w:tcPr>
          <w:p>
            <w:pPr>
              <w:pStyle w:val="TableContents"/>
              <w:bidi w:val="0"/>
              <w:spacing w:before="0" w:after="283"/>
              <w:jc w:val="left"/>
              <w:rPr/>
            </w:pPr>
            <w:r>
              <w:rPr/>
              <w:t>​</w:t>
            </w:r>
          </w:p>
        </w:tc>
      </w:tr>
      <w:tr>
        <w:trPr/>
        <w:tc>
          <w:tcPr>
            <w:tcW w:w="124" w:type="dxa"/>
            <w:tcBorders/>
            <w:shd w:fill="FF6A00" w:val="clear"/>
            <w:tcMar>
              <w:bottom w:w="0" w:type="dxa"/>
            </w:tcMar>
            <w:vAlign w:val="center"/>
          </w:tcPr>
          <w:p>
            <w:pPr>
              <w:pStyle w:val="TableContents"/>
              <w:bidi w:val="0"/>
              <w:spacing w:before="0" w:after="283"/>
              <w:jc w:val="left"/>
              <w:rPr/>
            </w:pPr>
            <w:r>
              <w:rPr/>
              <w:t>​</w:t>
            </w:r>
          </w:p>
        </w:tc>
        <w:tc>
          <w:tcPr>
            <w:tcW w:w="1906" w:type="dxa"/>
            <w:tcBorders/>
            <w:shd w:fill="FF6A00" w:val="clear"/>
            <w:tcMar>
              <w:bottom w:w="0" w:type="dxa"/>
            </w:tcMar>
            <w:vAlign w:val="center"/>
          </w:tcPr>
          <w:p>
            <w:pPr>
              <w:pStyle w:val="TableContents"/>
              <w:bidi w:val="0"/>
              <w:spacing w:before="0" w:after="0"/>
              <w:jc w:val="left"/>
              <w:rPr>
                <w:spacing w:val="-2"/>
              </w:rPr>
            </w:pPr>
            <w:r>
              <w:rPr>
                <w:spacing w:val="-2"/>
              </w:rPr>
              <w:t xml:space="preserve">Named Executive Officer </w:t>
            </w:r>
          </w:p>
        </w:tc>
        <w:tc>
          <w:tcPr>
            <w:tcW w:w="109" w:type="dxa"/>
            <w:tcBorders/>
            <w:shd w:fill="FF6A00" w:val="clear"/>
            <w:tcMar>
              <w:bottom w:w="0" w:type="dxa"/>
            </w:tcMar>
            <w:vAlign w:val="center"/>
          </w:tcPr>
          <w:p>
            <w:pPr>
              <w:pStyle w:val="TableContents"/>
              <w:bidi w:val="0"/>
              <w:spacing w:before="0" w:after="283"/>
              <w:jc w:val="left"/>
              <w:rPr/>
            </w:pPr>
            <w:r>
              <w:rPr/>
              <w:t>​</w:t>
            </w:r>
          </w:p>
        </w:tc>
        <w:tc>
          <w:tcPr>
            <w:tcW w:w="109" w:type="dxa"/>
            <w:tcBorders/>
            <w:shd w:fill="FF6A00" w:val="clear"/>
            <w:tcMar>
              <w:bottom w:w="0" w:type="dxa"/>
            </w:tcMar>
            <w:vAlign w:val="center"/>
          </w:tcPr>
          <w:p>
            <w:pPr>
              <w:pStyle w:val="TableContents"/>
              <w:bidi w:val="0"/>
              <w:spacing w:before="0" w:after="283"/>
              <w:jc w:val="left"/>
              <w:rPr/>
            </w:pPr>
            <w:r>
              <w:rPr/>
              <w:t>​</w:t>
            </w:r>
          </w:p>
        </w:tc>
        <w:tc>
          <w:tcPr>
            <w:tcW w:w="1080" w:type="dxa"/>
            <w:gridSpan w:val="4"/>
            <w:tcBorders/>
            <w:shd w:fill="FF6A00" w:val="clear"/>
            <w:tcMar>
              <w:bottom w:w="0" w:type="dxa"/>
            </w:tcMar>
            <w:vAlign w:val="center"/>
          </w:tcPr>
          <w:p>
            <w:pPr>
              <w:pStyle w:val="TableContents"/>
              <w:bidi w:val="0"/>
              <w:spacing w:before="0" w:after="0"/>
              <w:jc w:val="center"/>
              <w:rPr>
                <w:spacing w:val="-2"/>
              </w:rPr>
            </w:pPr>
            <w:r>
              <w:rPr>
                <w:spacing w:val="-2"/>
              </w:rPr>
              <w:t xml:space="preserve">Below </w:t>
              <w:br/>
              <w:t xml:space="preserve">Threshold </w:t>
            </w:r>
          </w:p>
        </w:tc>
        <w:tc>
          <w:tcPr>
            <w:tcW w:w="109" w:type="dxa"/>
            <w:tcBorders/>
            <w:shd w:fill="FF6A00" w:val="clear"/>
            <w:tcMar>
              <w:bottom w:w="0" w:type="dxa"/>
            </w:tcMar>
            <w:vAlign w:val="center"/>
          </w:tcPr>
          <w:p>
            <w:pPr>
              <w:pStyle w:val="TableContents"/>
              <w:bidi w:val="0"/>
              <w:spacing w:before="0" w:after="283"/>
              <w:jc w:val="left"/>
              <w:rPr/>
            </w:pPr>
            <w:r>
              <w:rPr/>
              <w:t>​</w:t>
            </w:r>
          </w:p>
        </w:tc>
        <w:tc>
          <w:tcPr>
            <w:tcW w:w="109" w:type="dxa"/>
            <w:tcBorders/>
            <w:shd w:fill="FF6A00" w:val="clear"/>
            <w:tcMar>
              <w:bottom w:w="0" w:type="dxa"/>
            </w:tcMar>
            <w:vAlign w:val="center"/>
          </w:tcPr>
          <w:p>
            <w:pPr>
              <w:pStyle w:val="TableContents"/>
              <w:bidi w:val="0"/>
              <w:spacing w:before="0" w:after="283"/>
              <w:jc w:val="left"/>
              <w:rPr/>
            </w:pPr>
            <w:r>
              <w:rPr/>
              <w:t>​</w:t>
            </w:r>
          </w:p>
        </w:tc>
        <w:tc>
          <w:tcPr>
            <w:tcW w:w="1092" w:type="dxa"/>
            <w:gridSpan w:val="4"/>
            <w:tcBorders/>
            <w:shd w:fill="FF6A00" w:val="clear"/>
            <w:tcMar>
              <w:bottom w:w="0" w:type="dxa"/>
            </w:tcMar>
            <w:vAlign w:val="center"/>
          </w:tcPr>
          <w:p>
            <w:pPr>
              <w:pStyle w:val="TableContents"/>
              <w:bidi w:val="0"/>
              <w:spacing w:before="0" w:after="0"/>
              <w:jc w:val="center"/>
              <w:rPr>
                <w:spacing w:val="-2"/>
              </w:rPr>
            </w:pPr>
            <w:r>
              <w:rPr>
                <w:spacing w:val="-2"/>
              </w:rPr>
              <w:t xml:space="preserve">Threshold </w:t>
            </w:r>
          </w:p>
        </w:tc>
        <w:tc>
          <w:tcPr>
            <w:tcW w:w="109" w:type="dxa"/>
            <w:tcBorders/>
            <w:shd w:fill="FF6A00" w:val="clear"/>
            <w:tcMar>
              <w:bottom w:w="0" w:type="dxa"/>
            </w:tcMar>
            <w:vAlign w:val="center"/>
          </w:tcPr>
          <w:p>
            <w:pPr>
              <w:pStyle w:val="TableContents"/>
              <w:bidi w:val="0"/>
              <w:spacing w:before="0" w:after="283"/>
              <w:jc w:val="left"/>
              <w:rPr/>
            </w:pPr>
            <w:r>
              <w:rPr/>
              <w:t>​</w:t>
            </w:r>
          </w:p>
        </w:tc>
        <w:tc>
          <w:tcPr>
            <w:tcW w:w="109" w:type="dxa"/>
            <w:tcBorders/>
            <w:shd w:fill="FF6A00" w:val="clear"/>
            <w:tcMar>
              <w:bottom w:w="0" w:type="dxa"/>
            </w:tcMar>
            <w:vAlign w:val="center"/>
          </w:tcPr>
          <w:p>
            <w:pPr>
              <w:pStyle w:val="TableContents"/>
              <w:bidi w:val="0"/>
              <w:spacing w:before="0" w:after="283"/>
              <w:jc w:val="left"/>
              <w:rPr/>
            </w:pPr>
            <w:r>
              <w:rPr/>
              <w:t>​</w:t>
            </w:r>
          </w:p>
        </w:tc>
        <w:tc>
          <w:tcPr>
            <w:tcW w:w="904" w:type="dxa"/>
            <w:gridSpan w:val="4"/>
            <w:tcBorders/>
            <w:shd w:fill="FF6A00" w:val="clear"/>
            <w:tcMar>
              <w:bottom w:w="0" w:type="dxa"/>
            </w:tcMar>
            <w:vAlign w:val="center"/>
          </w:tcPr>
          <w:p>
            <w:pPr>
              <w:pStyle w:val="TableContents"/>
              <w:bidi w:val="0"/>
              <w:spacing w:before="0" w:after="0"/>
              <w:jc w:val="center"/>
              <w:rPr/>
            </w:pPr>
            <w:r>
              <w:rPr>
                <w:spacing w:val="-2"/>
              </w:rPr>
              <w:t>Target</w:t>
            </w:r>
            <w:r>
              <w:rPr/>
              <w:t xml:space="preserve"> </w:t>
            </w:r>
          </w:p>
        </w:tc>
        <w:tc>
          <w:tcPr>
            <w:tcW w:w="109" w:type="dxa"/>
            <w:tcBorders/>
            <w:shd w:fill="FF6A00" w:val="clear"/>
            <w:tcMar>
              <w:bottom w:w="0" w:type="dxa"/>
            </w:tcMar>
            <w:vAlign w:val="center"/>
          </w:tcPr>
          <w:p>
            <w:pPr>
              <w:pStyle w:val="TableContents"/>
              <w:bidi w:val="0"/>
              <w:spacing w:before="0" w:after="283"/>
              <w:jc w:val="left"/>
              <w:rPr/>
            </w:pPr>
            <w:r>
              <w:rPr/>
              <w:t>​</w:t>
            </w:r>
          </w:p>
        </w:tc>
        <w:tc>
          <w:tcPr>
            <w:tcW w:w="109" w:type="dxa"/>
            <w:tcBorders/>
            <w:shd w:fill="FF6A00" w:val="clear"/>
            <w:tcMar>
              <w:bottom w:w="0" w:type="dxa"/>
            </w:tcMar>
            <w:vAlign w:val="center"/>
          </w:tcPr>
          <w:p>
            <w:pPr>
              <w:pStyle w:val="TableContents"/>
              <w:bidi w:val="0"/>
              <w:spacing w:before="0" w:after="283"/>
              <w:jc w:val="left"/>
              <w:rPr/>
            </w:pPr>
            <w:r>
              <w:rPr/>
              <w:t>​</w:t>
            </w:r>
          </w:p>
        </w:tc>
        <w:tc>
          <w:tcPr>
            <w:tcW w:w="1215" w:type="dxa"/>
            <w:gridSpan w:val="4"/>
            <w:tcBorders/>
            <w:shd w:fill="FF6A00" w:val="clear"/>
            <w:tcMar>
              <w:bottom w:w="0" w:type="dxa"/>
            </w:tcMar>
            <w:vAlign w:val="center"/>
          </w:tcPr>
          <w:p>
            <w:pPr>
              <w:pStyle w:val="TableContents"/>
              <w:bidi w:val="0"/>
              <w:spacing w:lineRule="atLeast" w:line="142" w:before="0" w:after="0"/>
              <w:jc w:val="center"/>
              <w:rPr/>
            </w:pPr>
            <w:r>
              <w:rPr>
                <w:spacing w:val="-2"/>
              </w:rPr>
              <w:t>Maximum</w:t>
            </w:r>
            <w:r>
              <w:rPr>
                <w:spacing w:val="-2"/>
                <w:sz w:val="13"/>
              </w:rPr>
              <w:t>(1)</w:t>
            </w:r>
            <w:r>
              <w:rPr/>
              <w:t xml:space="preserve"> </w:t>
            </w:r>
          </w:p>
        </w:tc>
        <w:tc>
          <w:tcPr>
            <w:tcW w:w="109" w:type="dxa"/>
            <w:tcBorders/>
            <w:shd w:fill="FF6A00" w:val="clear"/>
            <w:tcMar>
              <w:bottom w:w="0" w:type="dxa"/>
            </w:tcMar>
            <w:vAlign w:val="center"/>
          </w:tcPr>
          <w:p>
            <w:pPr>
              <w:pStyle w:val="TableContents"/>
              <w:bidi w:val="0"/>
              <w:spacing w:before="0" w:after="283"/>
              <w:jc w:val="left"/>
              <w:rPr/>
            </w:pPr>
            <w:r>
              <w:rPr/>
              <w:t>​</w:t>
            </w:r>
          </w:p>
        </w:tc>
        <w:tc>
          <w:tcPr>
            <w:tcW w:w="109" w:type="dxa"/>
            <w:vMerge w:val="continue"/>
            <w:tcBorders/>
            <w:shd w:fill="FF6A00" w:val="clear"/>
            <w:tcMar>
              <w:bottom w:w="0" w:type="dxa"/>
            </w:tcMar>
            <w:vAlign w:val="center"/>
          </w:tcPr>
          <w:p>
            <w:pPr>
              <w:pStyle w:val="Normal"/>
              <w:bidi w:val="0"/>
              <w:jc w:val="left"/>
              <w:rPr/>
            </w:pPr>
            <w:r>
              <w:rPr/>
            </w:r>
          </w:p>
        </w:tc>
        <w:tc>
          <w:tcPr>
            <w:tcW w:w="1495" w:type="dxa"/>
            <w:vMerge w:val="continue"/>
            <w:tcBorders/>
            <w:shd w:fill="FF6A00" w:val="clear"/>
            <w:tcMar>
              <w:bottom w:w="0" w:type="dxa"/>
            </w:tcMar>
            <w:vAlign w:val="center"/>
          </w:tcPr>
          <w:p>
            <w:pPr>
              <w:pStyle w:val="Normal"/>
              <w:bidi w:val="0"/>
              <w:jc w:val="left"/>
              <w:rPr/>
            </w:pPr>
            <w:r>
              <w:rPr/>
            </w:r>
          </w:p>
        </w:tc>
        <w:tc>
          <w:tcPr>
            <w:tcW w:w="159" w:type="dxa"/>
            <w:vMerge w:val="continue"/>
            <w:tcBorders/>
            <w:shd w:fill="FF6A00" w:val="clear"/>
            <w:tcMar>
              <w:bottom w:w="0" w:type="dxa"/>
            </w:tcMar>
            <w:vAlign w:val="center"/>
          </w:tcPr>
          <w:p>
            <w:pPr>
              <w:pStyle w:val="Normal"/>
              <w:bidi w:val="0"/>
              <w:jc w:val="left"/>
              <w:rPr/>
            </w:pPr>
            <w:r>
              <w:rPr/>
            </w:r>
          </w:p>
        </w:tc>
      </w:tr>
      <w:tr>
        <w:trPr/>
        <w:tc>
          <w:tcPr>
            <w:tcW w:w="124" w:type="dxa"/>
            <w:tcBorders/>
            <w:tcMar>
              <w:bottom w:w="0" w:type="dxa"/>
            </w:tcMar>
            <w:vAlign w:val="center"/>
          </w:tcPr>
          <w:p>
            <w:pPr>
              <w:pStyle w:val="TableContents"/>
              <w:bidi w:val="0"/>
              <w:spacing w:before="0" w:after="283"/>
              <w:jc w:val="left"/>
              <w:rPr/>
            </w:pPr>
            <w:r>
              <w:rPr/>
              <w:t>​</w:t>
            </w:r>
          </w:p>
        </w:tc>
        <w:tc>
          <w:tcPr>
            <w:tcW w:w="1906" w:type="dxa"/>
            <w:tcBorders/>
            <w:tcMar>
              <w:bottom w:w="0" w:type="dxa"/>
            </w:tcMar>
            <w:vAlign w:val="center"/>
          </w:tcPr>
          <w:p>
            <w:pPr>
              <w:pStyle w:val="TableContents"/>
              <w:bidi w:val="0"/>
              <w:spacing w:before="0" w:after="283"/>
              <w:jc w:val="left"/>
              <w:rPr>
                <w:spacing w:val="-2"/>
              </w:rPr>
            </w:pPr>
            <w:r>
              <w:rPr>
                <w:spacing w:val="-2"/>
              </w:rPr>
              <w:t xml:space="preserve">Aaron Jagdfeld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right"/>
              <w:rPr/>
            </w:pPr>
            <w:r>
              <w:rPr/>
              <w:t>​</w:t>
            </w:r>
          </w:p>
        </w:tc>
        <w:tc>
          <w:tcPr>
            <w:tcW w:w="518" w:type="dxa"/>
            <w:tcBorders/>
            <w:tcMar>
              <w:bottom w:w="0" w:type="dxa"/>
            </w:tcMar>
            <w:vAlign w:val="center"/>
          </w:tcPr>
          <w:p>
            <w:pPr>
              <w:pStyle w:val="TableContents"/>
              <w:bidi w:val="0"/>
              <w:spacing w:before="0" w:after="283"/>
              <w:jc w:val="right"/>
              <w:rPr/>
            </w:pPr>
            <w:r>
              <w:rPr/>
              <w:t>0%</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right"/>
              <w:rPr/>
            </w:pPr>
            <w:r>
              <w:rPr/>
              <w:t>​</w:t>
            </w:r>
          </w:p>
        </w:tc>
        <w:tc>
          <w:tcPr>
            <w:tcW w:w="689" w:type="dxa"/>
            <w:tcBorders/>
            <w:tcMar>
              <w:bottom w:w="0" w:type="dxa"/>
            </w:tcMar>
            <w:vAlign w:val="center"/>
          </w:tcPr>
          <w:p>
            <w:pPr>
              <w:pStyle w:val="TableContents"/>
              <w:bidi w:val="0"/>
              <w:spacing w:before="0" w:after="283"/>
              <w:jc w:val="right"/>
              <w:rPr/>
            </w:pPr>
            <w:r>
              <w:rPr/>
              <w:t>67.5%</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7" w:type="dxa"/>
            <w:tcBorders/>
            <w:tcMar>
              <w:bottom w:w="0" w:type="dxa"/>
            </w:tcMar>
            <w:vAlign w:val="center"/>
          </w:tcPr>
          <w:p>
            <w:pPr>
              <w:pStyle w:val="TableContents"/>
              <w:bidi w:val="0"/>
              <w:spacing w:before="0" w:after="283"/>
              <w:jc w:val="right"/>
              <w:rPr/>
            </w:pPr>
            <w:r>
              <w:rPr/>
              <w:t>135%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right"/>
              <w:rPr/>
            </w:pPr>
            <w:r>
              <w:rPr/>
              <w:t>​</w:t>
            </w:r>
          </w:p>
        </w:tc>
        <w:tc>
          <w:tcPr>
            <w:tcW w:w="716" w:type="dxa"/>
            <w:tcBorders/>
            <w:tcMar>
              <w:bottom w:w="0" w:type="dxa"/>
            </w:tcMar>
            <w:vAlign w:val="center"/>
          </w:tcPr>
          <w:p>
            <w:pPr>
              <w:pStyle w:val="TableContents"/>
              <w:bidi w:val="0"/>
              <w:spacing w:before="0" w:after="283"/>
              <w:jc w:val="right"/>
              <w:rPr/>
            </w:pPr>
            <w:r>
              <w:rPr/>
              <w:t>270%</w:t>
            </w:r>
          </w:p>
        </w:tc>
        <w:tc>
          <w:tcPr>
            <w:tcW w:w="16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5" w:type="dxa"/>
            <w:tcBorders/>
            <w:tcMar>
              <w:bottom w:w="0" w:type="dxa"/>
            </w:tcMar>
            <w:vAlign w:val="center"/>
          </w:tcPr>
          <w:p>
            <w:pPr>
              <w:pStyle w:val="TableContents"/>
              <w:bidi w:val="0"/>
              <w:spacing w:before="0" w:after="0"/>
              <w:jc w:val="center"/>
              <w:rPr>
                <w:spacing w:val="-2"/>
              </w:rPr>
            </w:pPr>
            <w:r>
              <w:rPr>
                <w:spacing w:val="-2"/>
              </w:rPr>
              <w:t xml:space="preserve">-100% to +15% </w:t>
            </w:r>
          </w:p>
        </w:tc>
        <w:tc>
          <w:tcPr>
            <w:tcW w:w="159" w:type="dxa"/>
            <w:tcBorders/>
            <w:tcMar>
              <w:bottom w:w="0" w:type="dxa"/>
            </w:tcMar>
            <w:vAlign w:val="center"/>
          </w:tcPr>
          <w:p>
            <w:pPr>
              <w:pStyle w:val="TableContents"/>
              <w:bidi w:val="0"/>
              <w:spacing w:before="0" w:after="283"/>
              <w:jc w:val="left"/>
              <w:rPr/>
            </w:pPr>
            <w:r>
              <w:rPr/>
              <w:t>​</w:t>
            </w:r>
          </w:p>
        </w:tc>
      </w:tr>
      <w:tr>
        <w:trPr/>
        <w:tc>
          <w:tcPr>
            <w:tcW w:w="124" w:type="dxa"/>
            <w:tcBorders/>
            <w:shd w:fill="B2B2B2" w:val="clear"/>
            <w:tcMar>
              <w:bottom w:w="0" w:type="dxa"/>
            </w:tcMar>
            <w:vAlign w:val="center"/>
          </w:tcPr>
          <w:p>
            <w:pPr>
              <w:pStyle w:val="TableContents"/>
              <w:bidi w:val="0"/>
              <w:spacing w:before="0" w:after="283"/>
              <w:jc w:val="left"/>
              <w:rPr/>
            </w:pPr>
            <w:r>
              <w:rPr/>
              <w:t>​</w:t>
            </w:r>
          </w:p>
        </w:tc>
        <w:tc>
          <w:tcPr>
            <w:tcW w:w="1906" w:type="dxa"/>
            <w:tcBorders/>
            <w:shd w:fill="B2B2B2" w:val="clear"/>
            <w:tcMar>
              <w:bottom w:w="0" w:type="dxa"/>
            </w:tcMar>
            <w:vAlign w:val="center"/>
          </w:tcPr>
          <w:p>
            <w:pPr>
              <w:pStyle w:val="TableContents"/>
              <w:bidi w:val="0"/>
              <w:spacing w:before="0" w:after="283"/>
              <w:jc w:val="left"/>
              <w:rPr>
                <w:spacing w:val="-2"/>
              </w:rPr>
            </w:pPr>
            <w:r>
              <w:rPr>
                <w:spacing w:val="-2"/>
              </w:rPr>
              <w:t xml:space="preserve">York Ragen </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87" w:type="dxa"/>
            <w:tcBorders/>
            <w:shd w:fill="B2B2B2" w:val="clear"/>
            <w:tcMar>
              <w:bottom w:w="0" w:type="dxa"/>
            </w:tcMar>
            <w:vAlign w:val="center"/>
          </w:tcPr>
          <w:p>
            <w:pPr>
              <w:pStyle w:val="TableContents"/>
              <w:bidi w:val="0"/>
              <w:spacing w:before="0" w:after="283"/>
              <w:jc w:val="left"/>
              <w:rPr/>
            </w:pPr>
            <w:r>
              <w:rPr/>
              <w:t>​</w:t>
            </w:r>
          </w:p>
        </w:tc>
        <w:tc>
          <w:tcPr>
            <w:tcW w:w="187" w:type="dxa"/>
            <w:tcBorders/>
            <w:shd w:fill="B2B2B2" w:val="clear"/>
            <w:tcMar>
              <w:bottom w:w="0" w:type="dxa"/>
            </w:tcMar>
            <w:vAlign w:val="center"/>
          </w:tcPr>
          <w:p>
            <w:pPr>
              <w:pStyle w:val="TableContents"/>
              <w:bidi w:val="0"/>
              <w:spacing w:before="0" w:after="283"/>
              <w:jc w:val="right"/>
              <w:rPr/>
            </w:pPr>
            <w:r>
              <w:rPr/>
              <w:t>​</w:t>
            </w:r>
          </w:p>
        </w:tc>
        <w:tc>
          <w:tcPr>
            <w:tcW w:w="518" w:type="dxa"/>
            <w:tcBorders/>
            <w:shd w:fill="B2B2B2" w:val="clear"/>
            <w:tcMar>
              <w:bottom w:w="0" w:type="dxa"/>
            </w:tcMar>
            <w:vAlign w:val="center"/>
          </w:tcPr>
          <w:p>
            <w:pPr>
              <w:pStyle w:val="TableContents"/>
              <w:bidi w:val="0"/>
              <w:spacing w:before="0" w:after="283"/>
              <w:jc w:val="right"/>
              <w:rPr/>
            </w:pPr>
            <w:r>
              <w:rPr/>
              <w:t>0%</w:t>
            </w:r>
          </w:p>
        </w:tc>
        <w:tc>
          <w:tcPr>
            <w:tcW w:w="188"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34" w:type="dxa"/>
            <w:tcBorders/>
            <w:shd w:fill="B2B2B2" w:val="clear"/>
            <w:tcMar>
              <w:bottom w:w="0" w:type="dxa"/>
            </w:tcMar>
            <w:vAlign w:val="center"/>
          </w:tcPr>
          <w:p>
            <w:pPr>
              <w:pStyle w:val="TableContents"/>
              <w:bidi w:val="0"/>
              <w:spacing w:before="0" w:after="283"/>
              <w:jc w:val="left"/>
              <w:rPr/>
            </w:pPr>
            <w:r>
              <w:rPr/>
              <w:t>​</w:t>
            </w:r>
          </w:p>
        </w:tc>
        <w:tc>
          <w:tcPr>
            <w:tcW w:w="134" w:type="dxa"/>
            <w:tcBorders/>
            <w:shd w:fill="B2B2B2" w:val="clear"/>
            <w:tcMar>
              <w:bottom w:w="0" w:type="dxa"/>
            </w:tcMar>
            <w:vAlign w:val="center"/>
          </w:tcPr>
          <w:p>
            <w:pPr>
              <w:pStyle w:val="TableContents"/>
              <w:bidi w:val="0"/>
              <w:spacing w:before="0" w:after="283"/>
              <w:jc w:val="right"/>
              <w:rPr/>
            </w:pPr>
            <w:r>
              <w:rPr/>
              <w:t>​</w:t>
            </w:r>
          </w:p>
        </w:tc>
        <w:tc>
          <w:tcPr>
            <w:tcW w:w="689" w:type="dxa"/>
            <w:tcBorders/>
            <w:shd w:fill="B2B2B2" w:val="clear"/>
            <w:tcMar>
              <w:bottom w:w="0" w:type="dxa"/>
            </w:tcMar>
            <w:vAlign w:val="center"/>
          </w:tcPr>
          <w:p>
            <w:pPr>
              <w:pStyle w:val="TableContents"/>
              <w:bidi w:val="0"/>
              <w:spacing w:before="0" w:after="283"/>
              <w:jc w:val="right"/>
              <w:rPr/>
            </w:pPr>
            <w:r>
              <w:rPr/>
              <w:t>42.5%</w:t>
            </w:r>
          </w:p>
        </w:tc>
        <w:tc>
          <w:tcPr>
            <w:tcW w:w="135"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577" w:type="dxa"/>
            <w:tcBorders/>
            <w:shd w:fill="B2B2B2" w:val="clear"/>
            <w:tcMar>
              <w:bottom w:w="0" w:type="dxa"/>
            </w:tcMar>
            <w:vAlign w:val="center"/>
          </w:tcPr>
          <w:p>
            <w:pPr>
              <w:pStyle w:val="TableContents"/>
              <w:bidi w:val="0"/>
              <w:spacing w:before="0" w:after="283"/>
              <w:jc w:val="right"/>
              <w:rPr/>
            </w:pPr>
            <w:r>
              <w:rPr/>
              <w:t>85%</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66" w:type="dxa"/>
            <w:tcBorders/>
            <w:shd w:fill="B2B2B2" w:val="clear"/>
            <w:tcMar>
              <w:bottom w:w="0" w:type="dxa"/>
            </w:tcMar>
            <w:vAlign w:val="center"/>
          </w:tcPr>
          <w:p>
            <w:pPr>
              <w:pStyle w:val="TableContents"/>
              <w:bidi w:val="0"/>
              <w:spacing w:before="0" w:after="283"/>
              <w:jc w:val="left"/>
              <w:rPr/>
            </w:pPr>
            <w:r>
              <w:rPr/>
              <w:t>​</w:t>
            </w:r>
          </w:p>
        </w:tc>
        <w:tc>
          <w:tcPr>
            <w:tcW w:w="166" w:type="dxa"/>
            <w:tcBorders/>
            <w:shd w:fill="B2B2B2" w:val="clear"/>
            <w:tcMar>
              <w:bottom w:w="0" w:type="dxa"/>
            </w:tcMar>
            <w:vAlign w:val="center"/>
          </w:tcPr>
          <w:p>
            <w:pPr>
              <w:pStyle w:val="TableContents"/>
              <w:bidi w:val="0"/>
              <w:spacing w:before="0" w:after="283"/>
              <w:jc w:val="right"/>
              <w:rPr/>
            </w:pPr>
            <w:r>
              <w:rPr/>
              <w:t>​</w:t>
            </w:r>
          </w:p>
        </w:tc>
        <w:tc>
          <w:tcPr>
            <w:tcW w:w="716" w:type="dxa"/>
            <w:tcBorders/>
            <w:shd w:fill="B2B2B2" w:val="clear"/>
            <w:tcMar>
              <w:bottom w:w="0" w:type="dxa"/>
            </w:tcMar>
            <w:vAlign w:val="center"/>
          </w:tcPr>
          <w:p>
            <w:pPr>
              <w:pStyle w:val="TableContents"/>
              <w:bidi w:val="0"/>
              <w:spacing w:before="0" w:after="283"/>
              <w:jc w:val="right"/>
              <w:rPr/>
            </w:pPr>
            <w:r>
              <w:rPr/>
              <w:t>170%</w:t>
            </w:r>
          </w:p>
        </w:tc>
        <w:tc>
          <w:tcPr>
            <w:tcW w:w="167"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495" w:type="dxa"/>
            <w:tcBorders/>
            <w:shd w:fill="B2B2B2" w:val="clear"/>
            <w:tcMar>
              <w:bottom w:w="0" w:type="dxa"/>
            </w:tcMar>
            <w:vAlign w:val="center"/>
          </w:tcPr>
          <w:p>
            <w:pPr>
              <w:pStyle w:val="TableContents"/>
              <w:bidi w:val="0"/>
              <w:spacing w:before="0" w:after="0"/>
              <w:jc w:val="center"/>
              <w:rPr>
                <w:spacing w:val="-2"/>
              </w:rPr>
            </w:pPr>
            <w:r>
              <w:rPr>
                <w:spacing w:val="-2"/>
              </w:rPr>
              <w:t xml:space="preserve">-100% to +15% </w:t>
            </w:r>
          </w:p>
        </w:tc>
        <w:tc>
          <w:tcPr>
            <w:tcW w:w="159" w:type="dxa"/>
            <w:tcBorders/>
            <w:shd w:fill="B2B2B2"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06" w:type="dxa"/>
            <w:tcBorders/>
            <w:tcMar>
              <w:bottom w:w="0" w:type="dxa"/>
            </w:tcMar>
            <w:vAlign w:val="center"/>
          </w:tcPr>
          <w:p>
            <w:pPr>
              <w:pStyle w:val="TableContents"/>
              <w:bidi w:val="0"/>
              <w:spacing w:before="0" w:after="283"/>
              <w:jc w:val="left"/>
              <w:rPr>
                <w:spacing w:val="-2"/>
              </w:rPr>
            </w:pPr>
            <w:r>
              <w:rPr>
                <w:spacing w:val="-2"/>
              </w:rPr>
              <w:t xml:space="preserve">Norman Taffe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right"/>
              <w:rPr/>
            </w:pPr>
            <w:r>
              <w:rPr/>
              <w:t>​</w:t>
            </w:r>
          </w:p>
        </w:tc>
        <w:tc>
          <w:tcPr>
            <w:tcW w:w="518" w:type="dxa"/>
            <w:tcBorders/>
            <w:tcMar>
              <w:bottom w:w="0" w:type="dxa"/>
            </w:tcMar>
            <w:vAlign w:val="center"/>
          </w:tcPr>
          <w:p>
            <w:pPr>
              <w:pStyle w:val="TableContents"/>
              <w:bidi w:val="0"/>
              <w:spacing w:before="0" w:after="283"/>
              <w:jc w:val="right"/>
              <w:rPr/>
            </w:pPr>
            <w:r>
              <w:rPr/>
              <w:t>0%</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right"/>
              <w:rPr/>
            </w:pPr>
            <w:r>
              <w:rPr/>
              <w:t>​</w:t>
            </w:r>
          </w:p>
        </w:tc>
        <w:tc>
          <w:tcPr>
            <w:tcW w:w="689" w:type="dxa"/>
            <w:tcBorders/>
            <w:tcMar>
              <w:bottom w:w="0" w:type="dxa"/>
            </w:tcMar>
            <w:vAlign w:val="center"/>
          </w:tcPr>
          <w:p>
            <w:pPr>
              <w:pStyle w:val="TableContents"/>
              <w:bidi w:val="0"/>
              <w:spacing w:before="0" w:after="283"/>
              <w:jc w:val="right"/>
              <w:rPr/>
            </w:pPr>
            <w:r>
              <w:rPr/>
              <w:t>40%</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7" w:type="dxa"/>
            <w:tcBorders/>
            <w:tcMar>
              <w:bottom w:w="0" w:type="dxa"/>
            </w:tcMar>
            <w:vAlign w:val="center"/>
          </w:tcPr>
          <w:p>
            <w:pPr>
              <w:pStyle w:val="TableContents"/>
              <w:bidi w:val="0"/>
              <w:spacing w:before="0" w:after="283"/>
              <w:jc w:val="right"/>
              <w:rPr/>
            </w:pPr>
            <w:r>
              <w:rPr/>
              <w:t>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right"/>
              <w:rPr/>
            </w:pPr>
            <w:r>
              <w:rPr/>
              <w:t>​</w:t>
            </w:r>
          </w:p>
        </w:tc>
        <w:tc>
          <w:tcPr>
            <w:tcW w:w="716" w:type="dxa"/>
            <w:tcBorders/>
            <w:tcMar>
              <w:bottom w:w="0" w:type="dxa"/>
            </w:tcMar>
            <w:vAlign w:val="center"/>
          </w:tcPr>
          <w:p>
            <w:pPr>
              <w:pStyle w:val="TableContents"/>
              <w:bidi w:val="0"/>
              <w:spacing w:before="0" w:after="283"/>
              <w:jc w:val="right"/>
              <w:rPr/>
            </w:pPr>
            <w:r>
              <w:rPr/>
              <w:t>160%</w:t>
            </w:r>
          </w:p>
        </w:tc>
        <w:tc>
          <w:tcPr>
            <w:tcW w:w="16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5" w:type="dxa"/>
            <w:tcBorders/>
            <w:tcMar>
              <w:bottom w:w="0" w:type="dxa"/>
            </w:tcMar>
            <w:vAlign w:val="center"/>
          </w:tcPr>
          <w:p>
            <w:pPr>
              <w:pStyle w:val="TableContents"/>
              <w:bidi w:val="0"/>
              <w:spacing w:before="0" w:after="0"/>
              <w:jc w:val="center"/>
              <w:rPr>
                <w:spacing w:val="-2"/>
              </w:rPr>
            </w:pPr>
            <w:r>
              <w:rPr>
                <w:spacing w:val="-2"/>
              </w:rPr>
              <w:t xml:space="preserve">-100% to +15% </w:t>
            </w:r>
          </w:p>
        </w:tc>
        <w:tc>
          <w:tcPr>
            <w:tcW w:w="159" w:type="dxa"/>
            <w:tcBorders/>
            <w:tcMar>
              <w:bottom w:w="0" w:type="dxa"/>
            </w:tcMar>
            <w:vAlign w:val="center"/>
          </w:tcPr>
          <w:p>
            <w:pPr>
              <w:pStyle w:val="TableContents"/>
              <w:bidi w:val="0"/>
              <w:spacing w:before="0" w:after="283"/>
              <w:jc w:val="left"/>
              <w:rPr/>
            </w:pPr>
            <w:r>
              <w:rPr/>
              <w:t>​</w:t>
            </w:r>
          </w:p>
        </w:tc>
      </w:tr>
      <w:tr>
        <w:trPr/>
        <w:tc>
          <w:tcPr>
            <w:tcW w:w="124" w:type="dxa"/>
            <w:tcBorders/>
            <w:shd w:fill="B2B2B2" w:val="clear"/>
            <w:tcMar>
              <w:bottom w:w="0" w:type="dxa"/>
            </w:tcMar>
            <w:vAlign w:val="center"/>
          </w:tcPr>
          <w:p>
            <w:pPr>
              <w:pStyle w:val="TableContents"/>
              <w:bidi w:val="0"/>
              <w:spacing w:before="0" w:after="283"/>
              <w:jc w:val="left"/>
              <w:rPr/>
            </w:pPr>
            <w:r>
              <w:rPr/>
              <w:t>​</w:t>
            </w:r>
          </w:p>
        </w:tc>
        <w:tc>
          <w:tcPr>
            <w:tcW w:w="1906" w:type="dxa"/>
            <w:tcBorders/>
            <w:shd w:fill="B2B2B2" w:val="clear"/>
            <w:tcMar>
              <w:bottom w:w="0" w:type="dxa"/>
            </w:tcMar>
            <w:vAlign w:val="center"/>
          </w:tcPr>
          <w:p>
            <w:pPr>
              <w:pStyle w:val="TableContents"/>
              <w:bidi w:val="0"/>
              <w:spacing w:before="0" w:after="283"/>
              <w:jc w:val="left"/>
              <w:rPr>
                <w:spacing w:val="-2"/>
              </w:rPr>
            </w:pPr>
            <w:r>
              <w:rPr>
                <w:spacing w:val="-2"/>
              </w:rPr>
              <w:t xml:space="preserve">Erik Wilde </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87" w:type="dxa"/>
            <w:tcBorders/>
            <w:shd w:fill="B2B2B2" w:val="clear"/>
            <w:tcMar>
              <w:bottom w:w="0" w:type="dxa"/>
            </w:tcMar>
            <w:vAlign w:val="center"/>
          </w:tcPr>
          <w:p>
            <w:pPr>
              <w:pStyle w:val="TableContents"/>
              <w:bidi w:val="0"/>
              <w:spacing w:before="0" w:after="283"/>
              <w:jc w:val="left"/>
              <w:rPr/>
            </w:pPr>
            <w:r>
              <w:rPr/>
              <w:t>​</w:t>
            </w:r>
          </w:p>
        </w:tc>
        <w:tc>
          <w:tcPr>
            <w:tcW w:w="187" w:type="dxa"/>
            <w:tcBorders/>
            <w:shd w:fill="B2B2B2" w:val="clear"/>
            <w:tcMar>
              <w:bottom w:w="0" w:type="dxa"/>
            </w:tcMar>
            <w:vAlign w:val="center"/>
          </w:tcPr>
          <w:p>
            <w:pPr>
              <w:pStyle w:val="TableContents"/>
              <w:bidi w:val="0"/>
              <w:spacing w:before="0" w:after="283"/>
              <w:jc w:val="right"/>
              <w:rPr/>
            </w:pPr>
            <w:r>
              <w:rPr/>
              <w:t>​</w:t>
            </w:r>
          </w:p>
        </w:tc>
        <w:tc>
          <w:tcPr>
            <w:tcW w:w="518" w:type="dxa"/>
            <w:tcBorders/>
            <w:shd w:fill="B2B2B2" w:val="clear"/>
            <w:tcMar>
              <w:bottom w:w="0" w:type="dxa"/>
            </w:tcMar>
            <w:vAlign w:val="center"/>
          </w:tcPr>
          <w:p>
            <w:pPr>
              <w:pStyle w:val="TableContents"/>
              <w:bidi w:val="0"/>
              <w:spacing w:before="0" w:after="283"/>
              <w:jc w:val="right"/>
              <w:rPr/>
            </w:pPr>
            <w:r>
              <w:rPr/>
              <w:t>0%</w:t>
            </w:r>
          </w:p>
        </w:tc>
        <w:tc>
          <w:tcPr>
            <w:tcW w:w="188"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34" w:type="dxa"/>
            <w:tcBorders/>
            <w:shd w:fill="B2B2B2" w:val="clear"/>
            <w:tcMar>
              <w:bottom w:w="0" w:type="dxa"/>
            </w:tcMar>
            <w:vAlign w:val="center"/>
          </w:tcPr>
          <w:p>
            <w:pPr>
              <w:pStyle w:val="TableContents"/>
              <w:bidi w:val="0"/>
              <w:spacing w:before="0" w:after="283"/>
              <w:jc w:val="left"/>
              <w:rPr/>
            </w:pPr>
            <w:r>
              <w:rPr/>
              <w:t>​</w:t>
            </w:r>
          </w:p>
        </w:tc>
        <w:tc>
          <w:tcPr>
            <w:tcW w:w="134" w:type="dxa"/>
            <w:tcBorders/>
            <w:shd w:fill="B2B2B2" w:val="clear"/>
            <w:tcMar>
              <w:bottom w:w="0" w:type="dxa"/>
            </w:tcMar>
            <w:vAlign w:val="center"/>
          </w:tcPr>
          <w:p>
            <w:pPr>
              <w:pStyle w:val="TableContents"/>
              <w:bidi w:val="0"/>
              <w:spacing w:before="0" w:after="283"/>
              <w:jc w:val="right"/>
              <w:rPr/>
            </w:pPr>
            <w:r>
              <w:rPr/>
              <w:t>​</w:t>
            </w:r>
          </w:p>
        </w:tc>
        <w:tc>
          <w:tcPr>
            <w:tcW w:w="689" w:type="dxa"/>
            <w:tcBorders/>
            <w:shd w:fill="B2B2B2" w:val="clear"/>
            <w:tcMar>
              <w:bottom w:w="0" w:type="dxa"/>
            </w:tcMar>
            <w:vAlign w:val="center"/>
          </w:tcPr>
          <w:p>
            <w:pPr>
              <w:pStyle w:val="TableContents"/>
              <w:bidi w:val="0"/>
              <w:spacing w:before="0" w:after="283"/>
              <w:jc w:val="right"/>
              <w:rPr/>
            </w:pPr>
            <w:r>
              <w:rPr/>
              <w:t>37.5%</w:t>
            </w:r>
          </w:p>
        </w:tc>
        <w:tc>
          <w:tcPr>
            <w:tcW w:w="135"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577" w:type="dxa"/>
            <w:tcBorders/>
            <w:shd w:fill="B2B2B2" w:val="clear"/>
            <w:tcMar>
              <w:bottom w:w="0" w:type="dxa"/>
            </w:tcMar>
            <w:vAlign w:val="center"/>
          </w:tcPr>
          <w:p>
            <w:pPr>
              <w:pStyle w:val="TableContents"/>
              <w:bidi w:val="0"/>
              <w:spacing w:before="0" w:after="283"/>
              <w:jc w:val="right"/>
              <w:rPr/>
            </w:pPr>
            <w:r>
              <w:rPr/>
              <w:t>75%</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66" w:type="dxa"/>
            <w:tcBorders/>
            <w:shd w:fill="B2B2B2" w:val="clear"/>
            <w:tcMar>
              <w:bottom w:w="0" w:type="dxa"/>
            </w:tcMar>
            <w:vAlign w:val="center"/>
          </w:tcPr>
          <w:p>
            <w:pPr>
              <w:pStyle w:val="TableContents"/>
              <w:bidi w:val="0"/>
              <w:spacing w:before="0" w:after="283"/>
              <w:jc w:val="left"/>
              <w:rPr/>
            </w:pPr>
            <w:r>
              <w:rPr/>
              <w:t>​</w:t>
            </w:r>
          </w:p>
        </w:tc>
        <w:tc>
          <w:tcPr>
            <w:tcW w:w="166" w:type="dxa"/>
            <w:tcBorders/>
            <w:shd w:fill="B2B2B2" w:val="clear"/>
            <w:tcMar>
              <w:bottom w:w="0" w:type="dxa"/>
            </w:tcMar>
            <w:vAlign w:val="center"/>
          </w:tcPr>
          <w:p>
            <w:pPr>
              <w:pStyle w:val="TableContents"/>
              <w:bidi w:val="0"/>
              <w:spacing w:before="0" w:after="283"/>
              <w:jc w:val="right"/>
              <w:rPr/>
            </w:pPr>
            <w:r>
              <w:rPr/>
              <w:t>​</w:t>
            </w:r>
          </w:p>
        </w:tc>
        <w:tc>
          <w:tcPr>
            <w:tcW w:w="716" w:type="dxa"/>
            <w:tcBorders/>
            <w:shd w:fill="B2B2B2" w:val="clear"/>
            <w:tcMar>
              <w:bottom w:w="0" w:type="dxa"/>
            </w:tcMar>
            <w:vAlign w:val="center"/>
          </w:tcPr>
          <w:p>
            <w:pPr>
              <w:pStyle w:val="TableContents"/>
              <w:bidi w:val="0"/>
              <w:spacing w:before="0" w:after="283"/>
              <w:jc w:val="right"/>
              <w:rPr/>
            </w:pPr>
            <w:r>
              <w:rPr/>
              <w:t>150%</w:t>
            </w:r>
          </w:p>
        </w:tc>
        <w:tc>
          <w:tcPr>
            <w:tcW w:w="167"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495" w:type="dxa"/>
            <w:tcBorders/>
            <w:shd w:fill="B2B2B2" w:val="clear"/>
            <w:tcMar>
              <w:bottom w:w="0" w:type="dxa"/>
            </w:tcMar>
            <w:vAlign w:val="center"/>
          </w:tcPr>
          <w:p>
            <w:pPr>
              <w:pStyle w:val="TableContents"/>
              <w:bidi w:val="0"/>
              <w:spacing w:before="0" w:after="0"/>
              <w:jc w:val="center"/>
              <w:rPr>
                <w:spacing w:val="-2"/>
              </w:rPr>
            </w:pPr>
            <w:r>
              <w:rPr>
                <w:spacing w:val="-2"/>
              </w:rPr>
              <w:t xml:space="preserve">-100% to +15% </w:t>
            </w:r>
          </w:p>
        </w:tc>
        <w:tc>
          <w:tcPr>
            <w:tcW w:w="159" w:type="dxa"/>
            <w:tcBorders/>
            <w:shd w:fill="B2B2B2"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06" w:type="dxa"/>
            <w:tcBorders/>
            <w:tcMar>
              <w:bottom w:w="0" w:type="dxa"/>
            </w:tcMar>
            <w:vAlign w:val="center"/>
          </w:tcPr>
          <w:p>
            <w:pPr>
              <w:pStyle w:val="TableContents"/>
              <w:bidi w:val="0"/>
              <w:spacing w:before="0" w:after="283"/>
              <w:jc w:val="left"/>
              <w:rPr>
                <w:spacing w:val="-2"/>
              </w:rPr>
            </w:pPr>
            <w:r>
              <w:rPr>
                <w:spacing w:val="-2"/>
              </w:rPr>
              <w:t xml:space="preserve">Raj Kanuru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right"/>
              <w:rPr/>
            </w:pPr>
            <w:r>
              <w:rPr/>
              <w:t>​</w:t>
            </w:r>
          </w:p>
        </w:tc>
        <w:tc>
          <w:tcPr>
            <w:tcW w:w="518" w:type="dxa"/>
            <w:tcBorders/>
            <w:tcMar>
              <w:bottom w:w="0" w:type="dxa"/>
            </w:tcMar>
            <w:vAlign w:val="center"/>
          </w:tcPr>
          <w:p>
            <w:pPr>
              <w:pStyle w:val="TableContents"/>
              <w:bidi w:val="0"/>
              <w:spacing w:before="0" w:after="283"/>
              <w:jc w:val="right"/>
              <w:rPr/>
            </w:pPr>
            <w:r>
              <w:rPr/>
              <w:t>0%</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right"/>
              <w:rPr/>
            </w:pPr>
            <w:r>
              <w:rPr/>
              <w:t>​</w:t>
            </w:r>
          </w:p>
        </w:tc>
        <w:tc>
          <w:tcPr>
            <w:tcW w:w="689" w:type="dxa"/>
            <w:tcBorders/>
            <w:tcMar>
              <w:bottom w:w="0" w:type="dxa"/>
            </w:tcMar>
            <w:vAlign w:val="center"/>
          </w:tcPr>
          <w:p>
            <w:pPr>
              <w:pStyle w:val="TableContents"/>
              <w:bidi w:val="0"/>
              <w:spacing w:before="0" w:after="283"/>
              <w:jc w:val="right"/>
              <w:rPr/>
            </w:pPr>
            <w:r>
              <w:rPr/>
              <w:t>37.5%</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7" w:type="dxa"/>
            <w:tcBorders/>
            <w:tcMar>
              <w:bottom w:w="0" w:type="dxa"/>
            </w:tcMar>
            <w:vAlign w:val="center"/>
          </w:tcPr>
          <w:p>
            <w:pPr>
              <w:pStyle w:val="TableContents"/>
              <w:bidi w:val="0"/>
              <w:spacing w:before="0" w:after="283"/>
              <w:jc w:val="right"/>
              <w:rPr/>
            </w:pPr>
            <w:r>
              <w:rPr/>
              <w:t>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right"/>
              <w:rPr/>
            </w:pPr>
            <w:r>
              <w:rPr/>
              <w:t>​</w:t>
            </w:r>
          </w:p>
        </w:tc>
        <w:tc>
          <w:tcPr>
            <w:tcW w:w="716" w:type="dxa"/>
            <w:tcBorders/>
            <w:tcMar>
              <w:bottom w:w="0" w:type="dxa"/>
            </w:tcMar>
            <w:vAlign w:val="center"/>
          </w:tcPr>
          <w:p>
            <w:pPr>
              <w:pStyle w:val="TableContents"/>
              <w:bidi w:val="0"/>
              <w:spacing w:before="0" w:after="283"/>
              <w:jc w:val="right"/>
              <w:rPr/>
            </w:pPr>
            <w:r>
              <w:rPr/>
              <w:t>150%</w:t>
            </w:r>
          </w:p>
        </w:tc>
        <w:tc>
          <w:tcPr>
            <w:tcW w:w="16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5" w:type="dxa"/>
            <w:tcBorders/>
            <w:tcMar>
              <w:bottom w:w="0" w:type="dxa"/>
            </w:tcMar>
            <w:vAlign w:val="center"/>
          </w:tcPr>
          <w:p>
            <w:pPr>
              <w:pStyle w:val="TableContents"/>
              <w:bidi w:val="0"/>
              <w:spacing w:before="0" w:after="0"/>
              <w:jc w:val="center"/>
              <w:rPr/>
            </w:pPr>
            <w:r>
              <w:rPr>
                <w:spacing w:val="-2"/>
              </w:rPr>
              <w:t>-100% to +15%</w:t>
            </w:r>
            <w:r>
              <w:rPr/>
              <w:t xml:space="preserve"> </w:t>
            </w:r>
          </w:p>
        </w:tc>
        <w:tc>
          <w:tcPr>
            <w:tcW w:w="159"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20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Maximum annual incentive opportunity does not reflect an adjustment for the individual performance modifier.</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27000" distB="0" distL="0" distR="0" simplePos="0" locked="0" layoutInCell="1" allowOverlap="1" relativeHeight="295">
                <wp:simplePos x="0" y="0"/>
                <wp:positionH relativeFrom="column">
                  <wp:align>left</wp:align>
                </wp:positionH>
                <wp:positionV relativeFrom="line">
                  <wp:align>top</wp:align>
                </wp:positionV>
                <wp:extent cx="254000" cy="330200"/>
                <wp:effectExtent l="0" t="0" r="0" b="0"/>
                <wp:wrapSquare wrapText="right"/>
                <wp:docPr id="258" name="Frame164"/>
                <a:graphic xmlns:a="http://schemas.openxmlformats.org/drawingml/2006/main">
                  <a:graphicData uri="http://schemas.microsoft.com/office/word/2010/wordprocessingShape">
                    <wps:wsp>
                      <wps:cNvSpPr txBox="1"/>
                      <wps:spPr>
                        <a:xfrm>
                          <a:off x="0" y="0"/>
                          <a:ext cx="254000" cy="330200"/>
                        </a:xfrm>
                        <a:prstGeom prst="rect"/>
                        <a:solidFill>
                          <a:srgbClr val="FFFFFF"/>
                        </a:solidFill>
                      </wps:spPr>
                      <wps:txbx>
                        <w:txbxContent>
                          <w:p>
                            <w:pPr>
                              <w:pStyle w:val="TextBody"/>
                              <w:bidi w:val="0"/>
                              <w:spacing w:lineRule="atLeast" w:line="260" w:before="0" w:after="283"/>
                              <w:jc w:val="left"/>
                              <w:rPr>
                                <w:sz w:val="22"/>
                              </w:rPr>
                            </w:pPr>
                            <w:r>
                              <w:rPr>
                                <w:spacing w:val="-2"/>
                                <w:sz w:val="22"/>
                              </w:rPr>
                              <w:t>(1)</w:t>
                            </w:r>
                            <w:r>
                              <w:rPr>
                                <w:sz w:val="22"/>
                              </w:rPr>
                              <w:t xml:space="preserve"> </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lineRule="atLeast" w:line="260" w:before="0" w:after="283"/>
                        <w:jc w:val="left"/>
                        <w:rPr>
                          <w:sz w:val="22"/>
                        </w:rPr>
                      </w:pPr>
                      <w:r>
                        <w:rPr>
                          <w:spacing w:val="-2"/>
                          <w:sz w:val="22"/>
                        </w:rPr>
                        <w:t>(1)</w:t>
                      </w:r>
                      <w:r>
                        <w:rPr>
                          <w:sz w:val="22"/>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76" w:after="0"/>
        <w:ind w:left="1540" w:right="0" w:hanging="0"/>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In its discretion, the Committee may reduce the amount of any payout calculated in accordance with the financial measures to zero or increase the payout by up to 15% in recognition of individual achievements. </w:t>
      </w:r>
      <w:r>
        <mc:AlternateContent>
          <mc:Choice Requires="wps">
            <w:drawing>
              <wp:anchor behindDoc="0" distT="48260" distB="0" distL="0" distR="0" simplePos="0" locked="0" layoutInCell="1" allowOverlap="1" relativeHeight="296">
                <wp:simplePos x="0" y="0"/>
                <wp:positionH relativeFrom="column">
                  <wp:align>left</wp:align>
                </wp:positionH>
                <wp:positionV relativeFrom="line">
                  <wp:align>top</wp:align>
                </wp:positionV>
                <wp:extent cx="254000" cy="330200"/>
                <wp:effectExtent l="0" t="0" r="0" b="0"/>
                <wp:wrapSquare wrapText="right"/>
                <wp:docPr id="259" name="Frame165"/>
                <a:graphic xmlns:a="http://schemas.openxmlformats.org/drawingml/2006/main">
                  <a:graphicData uri="http://schemas.microsoft.com/office/word/2010/wordprocessingShape">
                    <wps:wsp>
                      <wps:cNvSpPr txBox="1"/>
                      <wps:spPr>
                        <a:xfrm>
                          <a:off x="0" y="0"/>
                          <a:ext cx="254000" cy="330200"/>
                        </a:xfrm>
                        <a:prstGeom prst="rect"/>
                        <a:solidFill>
                          <a:srgbClr val="FFFFFF"/>
                        </a:solidFill>
                      </wps:spPr>
                      <wps:txbx>
                        <w:txbxContent>
                          <w:p>
                            <w:pPr>
                              <w:pStyle w:val="TextBody"/>
                              <w:bidi w:val="0"/>
                              <w:spacing w:lineRule="atLeast" w:line="260" w:before="0" w:after="283"/>
                              <w:jc w:val="left"/>
                              <w:rPr>
                                <w:sz w:val="22"/>
                              </w:rPr>
                            </w:pPr>
                            <w:r>
                              <w:rPr>
                                <w:spacing w:val="-2"/>
                                <w:sz w:val="22"/>
                              </w:rPr>
                              <w:t>(2)</w:t>
                            </w:r>
                            <w:r>
                              <w:rPr>
                                <w:sz w:val="22"/>
                              </w:rPr>
                              <w:t xml:space="preserve"> </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60" w:before="0" w:after="283"/>
                        <w:jc w:val="left"/>
                        <w:rPr>
                          <w:sz w:val="22"/>
                        </w:rPr>
                      </w:pPr>
                      <w:r>
                        <w:rPr>
                          <w:spacing w:val="-2"/>
                          <w:sz w:val="22"/>
                        </w:rPr>
                        <w:t>(2)</w:t>
                      </w:r>
                      <w:r>
                        <w:rPr>
                          <w:sz w:val="22"/>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260"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84" descr=""/>
                          <pic:cNvPicPr>
                            <a:picLocks noChangeAspect="1" noChangeArrowheads="1"/>
                          </pic:cNvPicPr>
                        </pic:nvPicPr>
                        <pic:blipFill>
                          <a:blip r:embed="rId96"/>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37</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rFonts w:ascii="Arial;Helvetica;sans-serif" w:hAnsi="Arial;Helvetica;sans-serif"/>
          <w:b w:val="false"/>
          <w:i w:val="false"/>
          <w:caps w:val="false"/>
          <w:smallCaps w:val="false"/>
          <w:color w:val="FF6A00"/>
          <w:sz w:val="22"/>
        </w:rPr>
      </w:pPr>
      <w:r>
        <w:rPr>
          <w:rFonts w:ascii="Arial;Helvetica;sans-serif" w:hAnsi="Arial;Helvetica;sans-serif"/>
          <w:b w:val="false"/>
          <w:i w:val="false"/>
          <w:caps/>
          <w:color w:val="FF6A00"/>
          <w:spacing w:val="-2"/>
          <w:sz w:val="22"/>
        </w:rPr>
        <w:t>Executive Compensation</w:t>
      </w:r>
      <w:r>
        <w:rPr>
          <w:rFonts w:ascii="Arial;Helvetica;sans-serif" w:hAnsi="Arial;Helvetica;sans-serif"/>
          <w:b w:val="false"/>
          <w:i w:val="false"/>
          <w:caps w:val="false"/>
          <w:smallCaps w:val="false"/>
          <w:color w:val="FF6A00"/>
          <w:spacing w:val="-2"/>
          <w:sz w:val="22"/>
        </w:rPr>
        <w:t xml:space="preserve"> </w:t>
      </w:r>
    </w:p>
    <w:p>
      <w:pPr>
        <w:pStyle w:val="TextBody"/>
        <w:bidi w:val="0"/>
        <w:spacing w:lineRule="atLeast" w:line="250" w:before="480" w:after="283"/>
        <w:ind w:left="11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For 2025, the financial metrics used to determine payouts under the consolidated AIP did not change from 2024, as the Committee determined that the plan effectively connected the CEO, our executives, and our employees to our strategy and appropriate financial metrics for managing the business. The two financial metrics are: Adjusted EBITDA (excluding the impact of acquisitions that occurred during the performance period and before deduction for noncontrolling interests), which constituted 75% of the target AIP opportunity, and Primary Working Capital (“PWC”) as a percentage of net sales, which constituted 25% of the target AIP opportunity. The Threshold payout level remained at 50% of target for both financial metrics.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An individual performance modifier can be applied after the company’s financial performance results are calculated and may result in a payout reduction to zero or an increase up to 15%.</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Messrs. Jagdfeld, Ragen, and Kanuru had 100% of their cash incentive tied to the Company’s consolidated financial performance. Messrs. Taffe and Wilde had 50% of their cash incentive tied to the performance of a specific business group measured by Revenue and PWC as a percentage of net sales, as described below. We consider business group performance levels to be competitively sensitive information that is not otherwise disclosed; however, the Committee intended to apply the same general level of rigor in setting business group performance goals as in setting consolidated financial performance goals.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60" w:before="240" w:after="283"/>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2"/>
          <w:sz w:val="22"/>
        </w:rPr>
        <w:t>2025 Annual Performance Bonus Plan Results — Consolidated</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2025 consolidated financial targets for Adjusted EBITDA and PWC (as a percentage of net sales) were $846.3 million and 29.9%, respectively.</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Achievement of the consolidated financial targets would result in a 100% total payout, assuming no individual performance modifier was applied to recognize individual performance. Under the AIP, the consolidated Adjusted EBITDA (excluding the impact of acquisitions that occurred during the performance period and before deduction for noncontrolling interests) was $715.5 million, which is between the threshold and target. The consolidated PWC (as a percentage of net sales), excluding the impact of acquisitions, was 35.1%, which is below the threshold. As a result, the Committee approved a 46% of target payout for 2025 for those with enterprise-wide responsibilities, including Messrs. Jagdfeld, Ragen, and Kanuru.</w:t>
      </w:r>
      <w:r>
        <w:rPr>
          <w:rFonts w:ascii="Arial;Helvetica;sans-serif" w:hAnsi="Arial;Helvetica;sans-serif"/>
          <w:b w:val="false"/>
          <w:i w:val="false"/>
          <w:caps w:val="false"/>
          <w:smallCaps w:val="false"/>
          <w:color w:val="000000"/>
          <w:spacing w:val="4"/>
          <w:sz w:val="22"/>
        </w:rPr>
        <w:t xml:space="preserve"> </w:t>
      </w:r>
    </w:p>
    <w:tbl>
      <w:tblPr>
        <w:tblW w:w="9736" w:type="dxa"/>
        <w:jc w:val="left"/>
        <w:tblInd w:w="1140" w:type="dxa"/>
        <w:tblLayout w:type="fixed"/>
        <w:tblCellMar>
          <w:top w:w="0" w:type="dxa"/>
          <w:left w:w="0" w:type="dxa"/>
          <w:bottom w:w="28" w:type="dxa"/>
          <w:right w:w="0" w:type="dxa"/>
        </w:tblCellMar>
      </w:tblPr>
      <w:tblGrid>
        <w:gridCol w:w="124"/>
        <w:gridCol w:w="1329"/>
        <w:gridCol w:w="109"/>
        <w:gridCol w:w="109"/>
        <w:gridCol w:w="1464"/>
        <w:gridCol w:w="109"/>
        <w:gridCol w:w="109"/>
        <w:gridCol w:w="1464"/>
        <w:gridCol w:w="109"/>
        <w:gridCol w:w="109"/>
        <w:gridCol w:w="1640"/>
        <w:gridCol w:w="109"/>
        <w:gridCol w:w="109"/>
        <w:gridCol w:w="1464"/>
        <w:gridCol w:w="109"/>
        <w:gridCol w:w="109"/>
        <w:gridCol w:w="1007"/>
        <w:gridCol w:w="154"/>
      </w:tblGrid>
      <w:tr>
        <w:trPr/>
        <w:tc>
          <w:tcPr>
            <w:tcW w:w="124" w:type="dxa"/>
            <w:tcBorders>
              <w:bottom w:val="single" w:sz="2" w:space="0" w:color="FF6A00"/>
            </w:tcBorders>
            <w:shd w:fill="FF6A00" w:val="clear"/>
            <w:vAlign w:val="center"/>
          </w:tcPr>
          <w:p>
            <w:pPr>
              <w:pStyle w:val="TableContents"/>
              <w:bidi w:val="0"/>
              <w:spacing w:before="0" w:after="283"/>
              <w:jc w:val="left"/>
              <w:rPr/>
            </w:pPr>
            <w:r>
              <w:rPr/>
              <w:t>​</w:t>
            </w:r>
          </w:p>
        </w:tc>
        <w:tc>
          <w:tcPr>
            <w:tcW w:w="1329" w:type="dxa"/>
            <w:tcBorders>
              <w:bottom w:val="single" w:sz="2" w:space="0" w:color="FF6A00"/>
            </w:tcBorders>
            <w:shd w:fill="FF6A00" w:val="clear"/>
            <w:vAlign w:val="center"/>
          </w:tcPr>
          <w:p>
            <w:pPr>
              <w:pStyle w:val="TableContents"/>
              <w:bidi w:val="0"/>
              <w:spacing w:before="0" w:after="283"/>
              <w:jc w:val="left"/>
              <w:rPr/>
            </w:pPr>
            <w:r>
              <w:rPr/>
              <w:t>​</w:t>
            </w:r>
          </w:p>
        </w:tc>
        <w:tc>
          <w:tcPr>
            <w:tcW w:w="109" w:type="dxa"/>
            <w:tcBorders>
              <w:bottom w:val="single" w:sz="2" w:space="0" w:color="FF6A00"/>
            </w:tcBorders>
            <w:shd w:fill="FF6A00" w:val="clear"/>
            <w:vAlign w:val="center"/>
          </w:tcPr>
          <w:p>
            <w:pPr>
              <w:pStyle w:val="TableContents"/>
              <w:bidi w:val="0"/>
              <w:spacing w:before="0" w:after="283"/>
              <w:jc w:val="left"/>
              <w:rPr/>
            </w:pPr>
            <w:r>
              <w:rPr/>
              <w:t>​</w:t>
            </w:r>
          </w:p>
        </w:tc>
        <w:tc>
          <w:tcPr>
            <w:tcW w:w="109" w:type="dxa"/>
            <w:tcBorders>
              <w:bottom w:val="single" w:sz="2" w:space="0" w:color="FEFEFE"/>
            </w:tcBorders>
            <w:shd w:fill="FF6A00" w:val="clear"/>
            <w:vAlign w:val="center"/>
          </w:tcPr>
          <w:p>
            <w:pPr>
              <w:pStyle w:val="TableContents"/>
              <w:bidi w:val="0"/>
              <w:spacing w:before="0" w:after="283"/>
              <w:jc w:val="left"/>
              <w:rPr/>
            </w:pPr>
            <w:r>
              <w:rPr/>
              <w:t>​</w:t>
            </w:r>
          </w:p>
        </w:tc>
        <w:tc>
          <w:tcPr>
            <w:tcW w:w="6686" w:type="dxa"/>
            <w:gridSpan w:val="10"/>
            <w:tcBorders>
              <w:bottom w:val="single" w:sz="2" w:space="0" w:color="FEFEFE"/>
            </w:tcBorders>
            <w:shd w:fill="FF6A00" w:val="clear"/>
            <w:tcMar>
              <w:bottom w:w="50" w:type="dxa"/>
            </w:tcMar>
            <w:vAlign w:val="center"/>
          </w:tcPr>
          <w:p>
            <w:pPr>
              <w:pStyle w:val="TableContents"/>
              <w:bidi w:val="0"/>
              <w:spacing w:before="0" w:after="0"/>
              <w:jc w:val="center"/>
              <w:rPr>
                <w:spacing w:val="-2"/>
              </w:rPr>
            </w:pPr>
            <w:r>
              <w:rPr>
                <w:spacing w:val="-2"/>
              </w:rPr>
              <w:t xml:space="preserve">2025 Financial Goals </w:t>
            </w:r>
          </w:p>
        </w:tc>
        <w:tc>
          <w:tcPr>
            <w:tcW w:w="109" w:type="dxa"/>
            <w:tcBorders>
              <w:bottom w:val="single" w:sz="2" w:space="0" w:color="FEFEFE"/>
            </w:tcBorders>
            <w:shd w:fill="FF6A00" w:val="clear"/>
            <w:vAlign w:val="center"/>
          </w:tcPr>
          <w:p>
            <w:pPr>
              <w:pStyle w:val="TableContents"/>
              <w:bidi w:val="0"/>
              <w:spacing w:before="0" w:after="283"/>
              <w:jc w:val="left"/>
              <w:rPr/>
            </w:pPr>
            <w:r>
              <w:rPr/>
              <w:t>​</w:t>
            </w:r>
          </w:p>
        </w:tc>
        <w:tc>
          <w:tcPr>
            <w:tcW w:w="109" w:type="dxa"/>
            <w:tcBorders>
              <w:bottom w:val="single" w:sz="2" w:space="0" w:color="FF6A00"/>
            </w:tcBorders>
            <w:shd w:fill="FF6A00" w:val="clear"/>
            <w:vAlign w:val="center"/>
          </w:tcPr>
          <w:p>
            <w:pPr>
              <w:pStyle w:val="TableContents"/>
              <w:bidi w:val="0"/>
              <w:spacing w:before="0" w:after="283"/>
              <w:jc w:val="left"/>
              <w:rPr/>
            </w:pPr>
            <w:r>
              <w:rPr/>
              <w:t>​</w:t>
            </w:r>
          </w:p>
        </w:tc>
        <w:tc>
          <w:tcPr>
            <w:tcW w:w="1007" w:type="dxa"/>
            <w:tcBorders>
              <w:bottom w:val="single" w:sz="2" w:space="0" w:color="FF6A00"/>
            </w:tcBorders>
            <w:shd w:fill="FF6A00" w:val="clear"/>
            <w:vAlign w:val="center"/>
          </w:tcPr>
          <w:p>
            <w:pPr>
              <w:pStyle w:val="TableContents"/>
              <w:bidi w:val="0"/>
              <w:spacing w:before="0" w:after="283"/>
              <w:jc w:val="left"/>
              <w:rPr/>
            </w:pPr>
            <w:r>
              <w:rPr/>
              <w:t>​</w:t>
            </w:r>
          </w:p>
        </w:tc>
        <w:tc>
          <w:tcPr>
            <w:tcW w:w="154" w:type="dxa"/>
            <w:tcBorders>
              <w:bottom w:val="single" w:sz="2" w:space="0" w:color="FF6A00"/>
            </w:tcBorders>
            <w:shd w:fill="FF6A00" w:val="clear"/>
            <w:vAlign w:val="center"/>
          </w:tcPr>
          <w:p>
            <w:pPr>
              <w:pStyle w:val="TableContents"/>
              <w:bidi w:val="0"/>
              <w:spacing w:before="0" w:after="283"/>
              <w:jc w:val="left"/>
              <w:rPr/>
            </w:pPr>
            <w:r>
              <w:rPr/>
              <w:t>​</w:t>
            </w:r>
          </w:p>
        </w:tc>
      </w:tr>
      <w:tr>
        <w:trPr/>
        <w:tc>
          <w:tcPr>
            <w:tcW w:w="124" w:type="dxa"/>
            <w:tcBorders/>
            <w:shd w:fill="FF6A00" w:val="clear"/>
            <w:tcMar>
              <w:bottom w:w="0" w:type="dxa"/>
            </w:tcMar>
            <w:vAlign w:val="center"/>
          </w:tcPr>
          <w:p>
            <w:pPr>
              <w:pStyle w:val="TableContents"/>
              <w:bidi w:val="0"/>
              <w:spacing w:before="0" w:after="283"/>
              <w:jc w:val="left"/>
              <w:rPr/>
            </w:pPr>
            <w:r>
              <w:rPr/>
              <w:t>​</w:t>
            </w:r>
          </w:p>
        </w:tc>
        <w:tc>
          <w:tcPr>
            <w:tcW w:w="1329" w:type="dxa"/>
            <w:tcBorders/>
            <w:shd w:fill="FF6A00" w:val="clear"/>
            <w:tcMar>
              <w:bottom w:w="0" w:type="dxa"/>
            </w:tcMar>
            <w:vAlign w:val="center"/>
          </w:tcPr>
          <w:p>
            <w:pPr>
              <w:pStyle w:val="TableContents"/>
              <w:bidi w:val="0"/>
              <w:spacing w:before="0" w:after="283"/>
              <w:jc w:val="left"/>
              <w:rPr/>
            </w:pPr>
            <w:r>
              <w:rPr>
                <w:spacing w:val="-2"/>
              </w:rPr>
              <w:t xml:space="preserve">Annual </w:t>
              <w:br/>
              <w:t xml:space="preserve">Performance </w:t>
              <w:br/>
              <w:t xml:space="preserve">Bonus Metrics –  </w:t>
              <w:br/>
              <w:t>Consolidated</w:t>
            </w:r>
            <w:r>
              <w:rPr/>
              <w:t xml:space="preserve"> </w:t>
            </w:r>
          </w:p>
        </w:tc>
        <w:tc>
          <w:tcPr>
            <w:tcW w:w="109" w:type="dxa"/>
            <w:tcBorders/>
            <w:shd w:fill="FF6A00" w:val="clear"/>
            <w:tcMar>
              <w:bottom w:w="0" w:type="dxa"/>
            </w:tcMar>
            <w:vAlign w:val="center"/>
          </w:tcPr>
          <w:p>
            <w:pPr>
              <w:pStyle w:val="TableContents"/>
              <w:bidi w:val="0"/>
              <w:spacing w:before="0" w:after="283"/>
              <w:jc w:val="left"/>
              <w:rPr/>
            </w:pPr>
            <w:r>
              <w:rPr/>
              <w:t>​</w:t>
            </w:r>
          </w:p>
        </w:tc>
        <w:tc>
          <w:tcPr>
            <w:tcW w:w="109" w:type="dxa"/>
            <w:tcBorders/>
            <w:shd w:fill="FF6A00" w:val="clear"/>
            <w:tcMar>
              <w:bottom w:w="0" w:type="dxa"/>
            </w:tcMar>
            <w:vAlign w:val="center"/>
          </w:tcPr>
          <w:p>
            <w:pPr>
              <w:pStyle w:val="TableContents"/>
              <w:bidi w:val="0"/>
              <w:spacing w:before="0" w:after="283"/>
              <w:jc w:val="left"/>
              <w:rPr/>
            </w:pPr>
            <w:r>
              <w:rPr/>
              <w:t>​</w:t>
            </w:r>
          </w:p>
        </w:tc>
        <w:tc>
          <w:tcPr>
            <w:tcW w:w="1464" w:type="dxa"/>
            <w:tcBorders/>
            <w:shd w:fill="FF6A00" w:val="clear"/>
            <w:tcMar>
              <w:bottom w:w="0" w:type="dxa"/>
            </w:tcMar>
            <w:vAlign w:val="center"/>
          </w:tcPr>
          <w:p>
            <w:pPr>
              <w:pStyle w:val="TableContents"/>
              <w:bidi w:val="0"/>
              <w:spacing w:before="0" w:after="0"/>
              <w:jc w:val="center"/>
              <w:rPr>
                <w:spacing w:val="-2"/>
              </w:rPr>
            </w:pPr>
            <w:r>
              <w:rPr>
                <w:spacing w:val="-2"/>
              </w:rPr>
              <w:t xml:space="preserve">Threshold </w:t>
            </w:r>
          </w:p>
        </w:tc>
        <w:tc>
          <w:tcPr>
            <w:tcW w:w="109" w:type="dxa"/>
            <w:tcBorders/>
            <w:shd w:fill="FF6A00" w:val="clear"/>
            <w:tcMar>
              <w:bottom w:w="0" w:type="dxa"/>
            </w:tcMar>
            <w:vAlign w:val="center"/>
          </w:tcPr>
          <w:p>
            <w:pPr>
              <w:pStyle w:val="TableContents"/>
              <w:bidi w:val="0"/>
              <w:spacing w:before="0" w:after="283"/>
              <w:jc w:val="left"/>
              <w:rPr/>
            </w:pPr>
            <w:r>
              <w:rPr/>
              <w:t>​</w:t>
            </w:r>
          </w:p>
        </w:tc>
        <w:tc>
          <w:tcPr>
            <w:tcW w:w="109" w:type="dxa"/>
            <w:tcBorders/>
            <w:shd w:fill="FF6A00" w:val="clear"/>
            <w:tcMar>
              <w:bottom w:w="0" w:type="dxa"/>
            </w:tcMar>
            <w:vAlign w:val="center"/>
          </w:tcPr>
          <w:p>
            <w:pPr>
              <w:pStyle w:val="TableContents"/>
              <w:bidi w:val="0"/>
              <w:spacing w:before="0" w:after="283"/>
              <w:jc w:val="left"/>
              <w:rPr/>
            </w:pPr>
            <w:r>
              <w:rPr/>
              <w:t>​</w:t>
            </w:r>
          </w:p>
        </w:tc>
        <w:tc>
          <w:tcPr>
            <w:tcW w:w="1464" w:type="dxa"/>
            <w:tcBorders/>
            <w:shd w:fill="FF6A00" w:val="clear"/>
            <w:tcMar>
              <w:bottom w:w="0" w:type="dxa"/>
            </w:tcMar>
            <w:vAlign w:val="center"/>
          </w:tcPr>
          <w:p>
            <w:pPr>
              <w:pStyle w:val="TableContents"/>
              <w:bidi w:val="0"/>
              <w:spacing w:before="0" w:after="0"/>
              <w:jc w:val="center"/>
              <w:rPr>
                <w:spacing w:val="-2"/>
              </w:rPr>
            </w:pPr>
            <w:r>
              <w:rPr>
                <w:spacing w:val="-2"/>
              </w:rPr>
              <w:t xml:space="preserve">Target </w:t>
            </w:r>
          </w:p>
        </w:tc>
        <w:tc>
          <w:tcPr>
            <w:tcW w:w="109" w:type="dxa"/>
            <w:tcBorders/>
            <w:shd w:fill="FF6A00" w:val="clear"/>
            <w:tcMar>
              <w:bottom w:w="0" w:type="dxa"/>
            </w:tcMar>
            <w:vAlign w:val="center"/>
          </w:tcPr>
          <w:p>
            <w:pPr>
              <w:pStyle w:val="TableContents"/>
              <w:bidi w:val="0"/>
              <w:spacing w:before="0" w:after="283"/>
              <w:jc w:val="left"/>
              <w:rPr/>
            </w:pPr>
            <w:r>
              <w:rPr/>
              <w:t>​</w:t>
            </w:r>
          </w:p>
        </w:tc>
        <w:tc>
          <w:tcPr>
            <w:tcW w:w="109" w:type="dxa"/>
            <w:tcBorders/>
            <w:shd w:fill="FF6A00" w:val="clear"/>
            <w:tcMar>
              <w:bottom w:w="0" w:type="dxa"/>
            </w:tcMar>
            <w:vAlign w:val="center"/>
          </w:tcPr>
          <w:p>
            <w:pPr>
              <w:pStyle w:val="TableContents"/>
              <w:bidi w:val="0"/>
              <w:spacing w:before="0" w:after="283"/>
              <w:jc w:val="left"/>
              <w:rPr/>
            </w:pPr>
            <w:r>
              <w:rPr/>
              <w:t>​</w:t>
            </w:r>
          </w:p>
        </w:tc>
        <w:tc>
          <w:tcPr>
            <w:tcW w:w="1640" w:type="dxa"/>
            <w:tcBorders/>
            <w:shd w:fill="FF6A00" w:val="clear"/>
            <w:tcMar>
              <w:bottom w:w="0" w:type="dxa"/>
            </w:tcMar>
            <w:vAlign w:val="center"/>
          </w:tcPr>
          <w:p>
            <w:pPr>
              <w:pStyle w:val="TableContents"/>
              <w:bidi w:val="0"/>
              <w:spacing w:before="0" w:after="0"/>
              <w:jc w:val="center"/>
              <w:rPr>
                <w:spacing w:val="-2"/>
              </w:rPr>
            </w:pPr>
            <w:r>
              <w:rPr>
                <w:spacing w:val="-2"/>
              </w:rPr>
              <w:t xml:space="preserve">Maximum </w:t>
            </w:r>
          </w:p>
        </w:tc>
        <w:tc>
          <w:tcPr>
            <w:tcW w:w="109" w:type="dxa"/>
            <w:tcBorders/>
            <w:shd w:fill="FF6A00" w:val="clear"/>
            <w:tcMar>
              <w:bottom w:w="0" w:type="dxa"/>
            </w:tcMar>
            <w:vAlign w:val="center"/>
          </w:tcPr>
          <w:p>
            <w:pPr>
              <w:pStyle w:val="TableContents"/>
              <w:bidi w:val="0"/>
              <w:spacing w:before="0" w:after="283"/>
              <w:jc w:val="left"/>
              <w:rPr/>
            </w:pPr>
            <w:r>
              <w:rPr/>
              <w:t>​</w:t>
            </w:r>
          </w:p>
        </w:tc>
        <w:tc>
          <w:tcPr>
            <w:tcW w:w="109" w:type="dxa"/>
            <w:tcBorders/>
            <w:shd w:fill="FF6A00" w:val="clear"/>
            <w:tcMar>
              <w:bottom w:w="0" w:type="dxa"/>
            </w:tcMar>
            <w:vAlign w:val="center"/>
          </w:tcPr>
          <w:p>
            <w:pPr>
              <w:pStyle w:val="TableContents"/>
              <w:bidi w:val="0"/>
              <w:spacing w:before="0" w:after="283"/>
              <w:jc w:val="left"/>
              <w:rPr/>
            </w:pPr>
            <w:r>
              <w:rPr/>
              <w:t>​</w:t>
            </w:r>
          </w:p>
        </w:tc>
        <w:tc>
          <w:tcPr>
            <w:tcW w:w="1464" w:type="dxa"/>
            <w:tcBorders/>
            <w:shd w:fill="FF6A00" w:val="clear"/>
            <w:tcMar>
              <w:bottom w:w="0" w:type="dxa"/>
            </w:tcMar>
            <w:vAlign w:val="center"/>
          </w:tcPr>
          <w:p>
            <w:pPr>
              <w:pStyle w:val="TableContents"/>
              <w:bidi w:val="0"/>
              <w:spacing w:before="0" w:after="0"/>
              <w:jc w:val="center"/>
              <w:rPr>
                <w:spacing w:val="-2"/>
              </w:rPr>
            </w:pPr>
            <w:r>
              <w:rPr>
                <w:spacing w:val="-2"/>
              </w:rPr>
              <w:t xml:space="preserve">2025 Achievement </w:t>
            </w:r>
          </w:p>
        </w:tc>
        <w:tc>
          <w:tcPr>
            <w:tcW w:w="109" w:type="dxa"/>
            <w:tcBorders/>
            <w:shd w:fill="FF6A00" w:val="clear"/>
            <w:tcMar>
              <w:bottom w:w="0" w:type="dxa"/>
            </w:tcMar>
            <w:vAlign w:val="center"/>
          </w:tcPr>
          <w:p>
            <w:pPr>
              <w:pStyle w:val="TableContents"/>
              <w:bidi w:val="0"/>
              <w:spacing w:before="0" w:after="283"/>
              <w:jc w:val="left"/>
              <w:rPr/>
            </w:pPr>
            <w:r>
              <w:rPr/>
              <w:t>​</w:t>
            </w:r>
          </w:p>
        </w:tc>
        <w:tc>
          <w:tcPr>
            <w:tcW w:w="109" w:type="dxa"/>
            <w:tcBorders/>
            <w:shd w:fill="FF6A00" w:val="clear"/>
            <w:tcMar>
              <w:bottom w:w="0" w:type="dxa"/>
            </w:tcMar>
            <w:vAlign w:val="center"/>
          </w:tcPr>
          <w:p>
            <w:pPr>
              <w:pStyle w:val="TableContents"/>
              <w:bidi w:val="0"/>
              <w:spacing w:before="0" w:after="283"/>
              <w:jc w:val="left"/>
              <w:rPr/>
            </w:pPr>
            <w:r>
              <w:rPr/>
              <w:t>​</w:t>
            </w:r>
          </w:p>
        </w:tc>
        <w:tc>
          <w:tcPr>
            <w:tcW w:w="1007" w:type="dxa"/>
            <w:tcBorders/>
            <w:shd w:fill="FF6A00" w:val="clear"/>
            <w:tcMar>
              <w:bottom w:w="0" w:type="dxa"/>
            </w:tcMar>
            <w:vAlign w:val="center"/>
          </w:tcPr>
          <w:p>
            <w:pPr>
              <w:pStyle w:val="TableContents"/>
              <w:bidi w:val="0"/>
              <w:spacing w:before="0" w:after="0"/>
              <w:jc w:val="center"/>
              <w:rPr>
                <w:spacing w:val="-2"/>
              </w:rPr>
            </w:pPr>
            <w:r>
              <w:rPr>
                <w:spacing w:val="-2"/>
              </w:rPr>
              <w:t xml:space="preserve">Weighted </w:t>
              <w:br/>
              <w:t xml:space="preserve">Payout % </w:t>
            </w:r>
          </w:p>
        </w:tc>
        <w:tc>
          <w:tcPr>
            <w:tcW w:w="154" w:type="dxa"/>
            <w:tcBorders/>
            <w:shd w:fill="FF6A00"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329" w:type="dxa"/>
            <w:tcBorders/>
            <w:tcMar>
              <w:bottom w:w="0" w:type="dxa"/>
            </w:tcMar>
            <w:vAlign w:val="center"/>
          </w:tcPr>
          <w:p>
            <w:pPr>
              <w:pStyle w:val="TableContents"/>
              <w:bidi w:val="0"/>
              <w:spacing w:before="0" w:after="0"/>
              <w:ind w:left="200" w:right="0" w:hanging="200"/>
              <w:jc w:val="left"/>
              <w:rPr>
                <w:spacing w:val="-2"/>
              </w:rPr>
            </w:pPr>
            <w:r>
              <w:rPr>
                <w:spacing w:val="-2"/>
              </w:rPr>
              <w:t xml:space="preserve">Adjusted EBITDA (75%)*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4" w:type="dxa"/>
            <w:tcBorders/>
            <w:tcMar>
              <w:bottom w:w="0" w:type="dxa"/>
            </w:tcMar>
            <w:vAlign w:val="center"/>
          </w:tcPr>
          <w:p>
            <w:pPr>
              <w:pStyle w:val="TableContents"/>
              <w:bidi w:val="0"/>
              <w:spacing w:before="0" w:after="0"/>
              <w:jc w:val="center"/>
              <w:rPr>
                <w:spacing w:val="-2"/>
              </w:rPr>
            </w:pPr>
            <w:r>
              <w:rPr>
                <w:spacing w:val="-2"/>
              </w:rPr>
              <w:t xml:space="preserve">$677.0 million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4" w:type="dxa"/>
            <w:tcBorders/>
            <w:tcMar>
              <w:bottom w:w="0" w:type="dxa"/>
            </w:tcMar>
            <w:vAlign w:val="center"/>
          </w:tcPr>
          <w:p>
            <w:pPr>
              <w:pStyle w:val="TableContents"/>
              <w:bidi w:val="0"/>
              <w:spacing w:before="0" w:after="0"/>
              <w:jc w:val="center"/>
              <w:rPr>
                <w:spacing w:val="-2"/>
              </w:rPr>
            </w:pPr>
            <w:r>
              <w:rPr>
                <w:spacing w:val="-2"/>
              </w:rPr>
              <w:t xml:space="preserve">$846.3 million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0" w:type="dxa"/>
            <w:tcBorders/>
            <w:tcMar>
              <w:bottom w:w="0" w:type="dxa"/>
            </w:tcMar>
            <w:vAlign w:val="center"/>
          </w:tcPr>
          <w:p>
            <w:pPr>
              <w:pStyle w:val="TableContents"/>
              <w:bidi w:val="0"/>
              <w:spacing w:before="0" w:after="0"/>
              <w:jc w:val="center"/>
              <w:rPr>
                <w:spacing w:val="-2"/>
              </w:rPr>
            </w:pPr>
            <w:r>
              <w:rPr>
                <w:spacing w:val="-2"/>
              </w:rPr>
              <w:t xml:space="preserve">$1,015.6 million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4" w:type="dxa"/>
            <w:tcBorders/>
            <w:tcMar>
              <w:bottom w:w="0" w:type="dxa"/>
            </w:tcMar>
            <w:vAlign w:val="center"/>
          </w:tcPr>
          <w:p>
            <w:pPr>
              <w:pStyle w:val="TableContents"/>
              <w:bidi w:val="0"/>
              <w:spacing w:before="0" w:after="0"/>
              <w:jc w:val="center"/>
              <w:rPr>
                <w:spacing w:val="-2"/>
              </w:rPr>
            </w:pPr>
            <w:r>
              <w:rPr>
                <w:spacing w:val="-2"/>
              </w:rPr>
              <w:t xml:space="preserve">$715.5 million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07" w:type="dxa"/>
            <w:tcBorders/>
            <w:shd w:fill="B2B2B2" w:val="clear"/>
            <w:tcMar>
              <w:bottom w:w="0" w:type="dxa"/>
            </w:tcMar>
            <w:vAlign w:val="center"/>
          </w:tcPr>
          <w:p>
            <w:pPr>
              <w:pStyle w:val="TableContents"/>
              <w:bidi w:val="0"/>
              <w:spacing w:before="0" w:after="0"/>
              <w:jc w:val="center"/>
              <w:rPr>
                <w:spacing w:val="-2"/>
              </w:rPr>
            </w:pPr>
            <w:r>
              <w:rPr>
                <w:spacing w:val="-2"/>
              </w:rPr>
              <w:t xml:space="preserve">46.0% </w:t>
            </w:r>
          </w:p>
        </w:tc>
        <w:tc>
          <w:tcPr>
            <w:tcW w:w="154" w:type="dxa"/>
            <w:tcBorders/>
            <w:shd w:fill="B2B2B2"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329" w:type="dxa"/>
            <w:tcBorders/>
            <w:tcMar>
              <w:bottom w:w="0" w:type="dxa"/>
            </w:tcMar>
            <w:vAlign w:val="center"/>
          </w:tcPr>
          <w:p>
            <w:pPr>
              <w:pStyle w:val="TableContents"/>
              <w:bidi w:val="0"/>
              <w:spacing w:before="0" w:after="0"/>
              <w:ind w:left="200" w:right="0" w:hanging="200"/>
              <w:jc w:val="left"/>
              <w:rPr>
                <w:spacing w:val="-2"/>
              </w:rPr>
            </w:pPr>
            <w:r>
              <w:rPr>
                <w:spacing w:val="-2"/>
              </w:rPr>
              <w:t xml:space="preserve">PWC as % of Net Sales (25%)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4" w:type="dxa"/>
            <w:tcBorders/>
            <w:tcMar>
              <w:bottom w:w="0" w:type="dxa"/>
            </w:tcMar>
            <w:vAlign w:val="center"/>
          </w:tcPr>
          <w:p>
            <w:pPr>
              <w:pStyle w:val="TableContents"/>
              <w:bidi w:val="0"/>
              <w:spacing w:before="0" w:after="0"/>
              <w:jc w:val="center"/>
              <w:rPr>
                <w:spacing w:val="-2"/>
              </w:rPr>
            </w:pPr>
            <w:r>
              <w:rPr>
                <w:spacing w:val="-2"/>
              </w:rPr>
              <w:t xml:space="preserve">32.9%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4" w:type="dxa"/>
            <w:tcBorders/>
            <w:tcMar>
              <w:bottom w:w="0" w:type="dxa"/>
            </w:tcMar>
            <w:vAlign w:val="center"/>
          </w:tcPr>
          <w:p>
            <w:pPr>
              <w:pStyle w:val="TableContents"/>
              <w:bidi w:val="0"/>
              <w:spacing w:before="0" w:after="0"/>
              <w:jc w:val="center"/>
              <w:rPr>
                <w:spacing w:val="-2"/>
              </w:rPr>
            </w:pPr>
            <w:r>
              <w:rPr>
                <w:spacing w:val="-2"/>
              </w:rPr>
              <w:t xml:space="preserve">29.9%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0" w:type="dxa"/>
            <w:tcBorders/>
            <w:tcMar>
              <w:bottom w:w="0" w:type="dxa"/>
            </w:tcMar>
            <w:vAlign w:val="center"/>
          </w:tcPr>
          <w:p>
            <w:pPr>
              <w:pStyle w:val="TableContents"/>
              <w:bidi w:val="0"/>
              <w:spacing w:before="0" w:after="0"/>
              <w:jc w:val="center"/>
              <w:rPr>
                <w:spacing w:val="-2"/>
              </w:rPr>
            </w:pPr>
            <w:r>
              <w:rPr>
                <w:spacing w:val="-2"/>
              </w:rPr>
              <w:t xml:space="preserve">26.9%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4" w:type="dxa"/>
            <w:tcBorders/>
            <w:tcMar>
              <w:bottom w:w="0" w:type="dxa"/>
            </w:tcMar>
            <w:vAlign w:val="center"/>
          </w:tcPr>
          <w:p>
            <w:pPr>
              <w:pStyle w:val="TableContents"/>
              <w:bidi w:val="0"/>
              <w:spacing w:before="0" w:after="0"/>
              <w:jc w:val="center"/>
              <w:rPr>
                <w:spacing w:val="-2"/>
              </w:rPr>
            </w:pPr>
            <w:r>
              <w:rPr>
                <w:spacing w:val="-2"/>
              </w:rPr>
              <w:t xml:space="preserve">35.1%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07" w:type="dxa"/>
            <w:tcBorders/>
            <w:shd w:fill="B2B2B2" w:val="clear"/>
            <w:tcMar>
              <w:bottom w:w="0" w:type="dxa"/>
            </w:tcMar>
            <w:vAlign w:val="center"/>
          </w:tcPr>
          <w:p>
            <w:pPr>
              <w:pStyle w:val="TableContents"/>
              <w:bidi w:val="0"/>
              <w:spacing w:before="0" w:after="0"/>
              <w:jc w:val="center"/>
              <w:rPr>
                <w:spacing w:val="-2"/>
              </w:rPr>
            </w:pPr>
            <w:r>
              <w:rPr>
                <w:spacing w:val="-2"/>
              </w:rPr>
              <w:t xml:space="preserve">0.0% </w:t>
            </w:r>
          </w:p>
        </w:tc>
        <w:tc>
          <w:tcPr>
            <w:tcW w:w="154" w:type="dxa"/>
            <w:tcBorders/>
            <w:shd w:fill="B2B2B2"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329" w:type="dxa"/>
            <w:tcBorders/>
            <w:tcMar>
              <w:bottom w:w="0" w:type="dxa"/>
            </w:tcMar>
            <w:vAlign w:val="center"/>
          </w:tcPr>
          <w:p>
            <w:pPr>
              <w:pStyle w:val="TableContents"/>
              <w:bidi w:val="0"/>
              <w:spacing w:before="0" w:after="283"/>
              <w:jc w:val="left"/>
              <w:rPr>
                <w:spacing w:val="-2"/>
              </w:rPr>
            </w:pPr>
            <w:r>
              <w:rPr>
                <w:spacing w:val="-2"/>
              </w:rPr>
              <w:t xml:space="preserve">Overall Payout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07" w:type="dxa"/>
            <w:tcBorders/>
            <w:shd w:fill="B2B2B2" w:val="clear"/>
            <w:tcMar>
              <w:bottom w:w="0" w:type="dxa"/>
            </w:tcMar>
            <w:vAlign w:val="center"/>
          </w:tcPr>
          <w:p>
            <w:pPr>
              <w:pStyle w:val="TableContents"/>
              <w:bidi w:val="0"/>
              <w:spacing w:before="0" w:after="0"/>
              <w:jc w:val="center"/>
              <w:rPr/>
            </w:pPr>
            <w:r>
              <w:rPr>
                <w:spacing w:val="-2"/>
              </w:rPr>
              <w:t>46.0%</w:t>
            </w:r>
            <w:r>
              <w:rPr/>
              <w:t xml:space="preserve"> </w:t>
            </w:r>
          </w:p>
        </w:tc>
        <w:tc>
          <w:tcPr>
            <w:tcW w:w="154" w:type="dxa"/>
            <w:tcBorders/>
            <w:shd w:fill="B2B2B2" w:val="clear"/>
            <w:tcMar>
              <w:bottom w:w="0" w:type="dxa"/>
            </w:tcMar>
            <w:vAlign w:val="center"/>
          </w:tcPr>
          <w:p>
            <w:pPr>
              <w:pStyle w:val="TableContents"/>
              <w:bidi w:val="0"/>
              <w:spacing w:before="0" w:after="283"/>
              <w:jc w:val="left"/>
              <w:rPr/>
            </w:pPr>
            <w:r>
              <w:rPr/>
              <w:t>​</w:t>
            </w:r>
          </w:p>
        </w:tc>
      </w:tr>
    </w:tbl>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200" w:after="0"/>
        <w:ind w:left="1540" w:right="0" w:hanging="0"/>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Adjusted EBITDA under the AIP excludes the impact of acquisitions that occurred during the performance period and is calculated before deduction for noncontrolling interests. </w:t>
      </w:r>
      <w:r>
        <mc:AlternateContent>
          <mc:Choice Requires="wps">
            <w:drawing>
              <wp:anchor behindDoc="0" distT="127000" distB="0" distL="0" distR="0" simplePos="0" locked="0" layoutInCell="1" allowOverlap="1" relativeHeight="297">
                <wp:simplePos x="0" y="0"/>
                <wp:positionH relativeFrom="column">
                  <wp:align>left</wp:align>
                </wp:positionH>
                <wp:positionV relativeFrom="line">
                  <wp:align>top</wp:align>
                </wp:positionV>
                <wp:extent cx="254000" cy="350520"/>
                <wp:effectExtent l="0" t="0" r="0" b="0"/>
                <wp:wrapSquare wrapText="right"/>
                <wp:docPr id="261" name="Frame1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60" w:before="0" w:after="283"/>
                              <w:jc w:val="left"/>
                              <w:rPr/>
                            </w:pPr>
                            <w:r>
                              <w:rPr>
                                <w:spacing w:val="-2"/>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lineRule="atLeast" w:line="260" w:before="0" w:after="283"/>
                        <w:jc w:val="left"/>
                        <w:rPr/>
                      </w:pPr>
                      <w:r>
                        <w:rPr>
                          <w:spacing w:val="-2"/>
                        </w:rPr>
                        <w:t>*</w:t>
                      </w:r>
                      <w:r>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262"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85" descr=""/>
                          <pic:cNvPicPr>
                            <a:picLocks noChangeAspect="1" noChangeArrowheads="1"/>
                          </pic:cNvPicPr>
                        </pic:nvPicPr>
                        <pic:blipFill>
                          <a:blip r:embed="rId97"/>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38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rFonts w:ascii="Arial;Helvetica;sans-serif" w:hAnsi="Arial;Helvetica;sans-serif"/>
          <w:b w:val="false"/>
          <w:i w:val="false"/>
          <w:caps w:val="false"/>
          <w:smallCaps w:val="false"/>
          <w:color w:val="FF6A00"/>
          <w:sz w:val="22"/>
        </w:rPr>
      </w:pPr>
      <w:r>
        <w:rPr>
          <w:rFonts w:ascii="Arial;Helvetica;sans-serif" w:hAnsi="Arial;Helvetica;sans-serif"/>
          <w:b w:val="false"/>
          <w:i w:val="false"/>
          <w:caps/>
          <w:color w:val="FF6A00"/>
          <w:spacing w:val="-2"/>
          <w:sz w:val="22"/>
        </w:rPr>
        <w:t>Executive Compensation</w:t>
      </w:r>
      <w:r>
        <w:rPr>
          <w:rFonts w:ascii="Arial;Helvetica;sans-serif" w:hAnsi="Arial;Helvetica;sans-serif"/>
          <w:b w:val="false"/>
          <w:i w:val="false"/>
          <w:caps w:val="false"/>
          <w:smallCaps w:val="false"/>
          <w:color w:val="FF6A00"/>
          <w:spacing w:val="-2"/>
          <w:sz w:val="22"/>
        </w:rPr>
        <w:t xml:space="preserve"> </w:t>
      </w:r>
    </w:p>
    <w:p>
      <w:pPr>
        <w:pStyle w:val="TextBody"/>
        <w:bidi w:val="0"/>
        <w:spacing w:lineRule="atLeast" w:line="250" w:before="480" w:after="283"/>
        <w:ind w:left="11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For the two other NEOs, AIP payouts were determined as follows:</w:t>
      </w:r>
      <w:r>
        <w:rPr>
          <w:rFonts w:ascii="Arial;Helvetica;sans-serif" w:hAnsi="Arial;Helvetica;sans-serif"/>
          <w:b w:val="false"/>
          <w:i w:val="false"/>
          <w:caps w:val="false"/>
          <w:smallCaps w:val="false"/>
          <w:color w:val="000000"/>
          <w:spacing w:val="4"/>
          <w:sz w:val="22"/>
        </w:rPr>
        <w:t xml:space="preserve"> </w:t>
      </w:r>
    </w:p>
    <w:tbl>
      <w:tblPr>
        <w:tblW w:w="8753" w:type="dxa"/>
        <w:jc w:val="left"/>
        <w:tblInd w:w="1140" w:type="dxa"/>
        <w:tblLayout w:type="fixed"/>
        <w:tblCellMar>
          <w:top w:w="0" w:type="dxa"/>
          <w:left w:w="0" w:type="dxa"/>
          <w:bottom w:w="28" w:type="dxa"/>
          <w:right w:w="0" w:type="dxa"/>
        </w:tblCellMar>
      </w:tblPr>
      <w:tblGrid>
        <w:gridCol w:w="124"/>
        <w:gridCol w:w="1498"/>
        <w:gridCol w:w="109"/>
        <w:gridCol w:w="109"/>
        <w:gridCol w:w="5073"/>
        <w:gridCol w:w="109"/>
        <w:gridCol w:w="109"/>
        <w:gridCol w:w="1468"/>
        <w:gridCol w:w="154"/>
      </w:tblGrid>
      <w:tr>
        <w:trPr/>
        <w:tc>
          <w:tcPr>
            <w:tcW w:w="124" w:type="dxa"/>
            <w:tcBorders>
              <w:bottom w:val="single" w:sz="2" w:space="0" w:color="000000"/>
            </w:tcBorders>
            <w:vAlign w:val="center"/>
          </w:tcPr>
          <w:p>
            <w:pPr>
              <w:pStyle w:val="TableContents"/>
              <w:bidi w:val="0"/>
              <w:spacing w:before="0" w:after="283"/>
              <w:jc w:val="left"/>
              <w:rPr/>
            </w:pPr>
            <w:r>
              <w:rPr/>
              <w:t>​</w:t>
            </w:r>
          </w:p>
        </w:tc>
        <w:tc>
          <w:tcPr>
            <w:tcW w:w="1498" w:type="dxa"/>
            <w:tcBorders>
              <w:bottom w:val="single" w:sz="2" w:space="0" w:color="000000"/>
            </w:tcBorders>
            <w:tcMar>
              <w:bottom w:w="50" w:type="dxa"/>
            </w:tcMar>
            <w:vAlign w:val="center"/>
          </w:tcPr>
          <w:p>
            <w:pPr>
              <w:pStyle w:val="TableContents"/>
              <w:bidi w:val="0"/>
              <w:spacing w:before="0" w:after="0"/>
              <w:jc w:val="left"/>
              <w:rPr>
                <w:spacing w:val="-2"/>
              </w:rPr>
            </w:pPr>
            <w:r>
              <w:rPr>
                <w:spacing w:val="-2"/>
              </w:rPr>
              <w:t xml:space="preserve">NEO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5073" w:type="dxa"/>
            <w:tcBorders>
              <w:bottom w:val="single" w:sz="2" w:space="0" w:color="000000"/>
            </w:tcBorders>
            <w:tcMar>
              <w:bottom w:w="50" w:type="dxa"/>
            </w:tcMar>
            <w:vAlign w:val="center"/>
          </w:tcPr>
          <w:p>
            <w:pPr>
              <w:pStyle w:val="TableContents"/>
              <w:bidi w:val="0"/>
              <w:spacing w:before="0" w:after="0"/>
              <w:jc w:val="left"/>
              <w:rPr>
                <w:spacing w:val="-2"/>
              </w:rPr>
            </w:pPr>
            <w:r>
              <w:rPr>
                <w:spacing w:val="-2"/>
              </w:rPr>
              <w:t xml:space="preserve">Metrics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468" w:type="dxa"/>
            <w:tcBorders>
              <w:bottom w:val="single" w:sz="2" w:space="0" w:color="000000"/>
            </w:tcBorders>
            <w:tcMar>
              <w:bottom w:w="50" w:type="dxa"/>
            </w:tcMar>
            <w:vAlign w:val="center"/>
          </w:tcPr>
          <w:p>
            <w:pPr>
              <w:pStyle w:val="TableContents"/>
              <w:bidi w:val="0"/>
              <w:spacing w:before="0" w:after="0"/>
              <w:jc w:val="left"/>
              <w:rPr>
                <w:spacing w:val="-2"/>
              </w:rPr>
            </w:pPr>
            <w:r>
              <w:rPr>
                <w:spacing w:val="-2"/>
              </w:rPr>
              <w:t xml:space="preserve">Results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tcBorders/>
            <w:shd w:fill="B2B2B2" w:val="clear"/>
            <w:tcMar>
              <w:bottom w:w="0" w:type="dxa"/>
            </w:tcMar>
            <w:vAlign w:val="center"/>
          </w:tcPr>
          <w:p>
            <w:pPr>
              <w:pStyle w:val="TableContents"/>
              <w:bidi w:val="0"/>
              <w:spacing w:before="0" w:after="283"/>
              <w:jc w:val="left"/>
              <w:rPr/>
            </w:pPr>
            <w:r>
              <w:rPr/>
              <w:t>​</w:t>
            </w:r>
          </w:p>
        </w:tc>
        <w:tc>
          <w:tcPr>
            <w:tcW w:w="1498" w:type="dxa"/>
            <w:tcBorders/>
            <w:shd w:fill="B2B2B2" w:val="clear"/>
            <w:tcMar>
              <w:bottom w:w="0" w:type="dxa"/>
            </w:tcMar>
            <w:vAlign w:val="center"/>
          </w:tcPr>
          <w:p>
            <w:pPr>
              <w:pStyle w:val="TableContents"/>
              <w:bidi w:val="0"/>
              <w:spacing w:before="0" w:after="283"/>
              <w:jc w:val="left"/>
              <w:rPr>
                <w:spacing w:val="-2"/>
              </w:rPr>
            </w:pPr>
            <w:r>
              <w:rPr>
                <w:spacing w:val="-2"/>
              </w:rPr>
              <w:t xml:space="preserve">Norman Taffe </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5073" w:type="dxa"/>
            <w:tcBorders/>
            <w:shd w:fill="B2B2B2" w:val="clear"/>
            <w:tcMar>
              <w:bottom w:w="0" w:type="dxa"/>
            </w:tcMar>
            <w:vAlign w:val="center"/>
          </w:tcPr>
          <w:p>
            <w:pPr>
              <w:pStyle w:val="TableContents"/>
              <w:bidi w:val="0"/>
              <w:spacing w:before="0" w:after="283"/>
              <w:jc w:val="left"/>
              <w:rPr>
                <w:spacing w:val="-2"/>
              </w:rPr>
            </w:pPr>
            <w:r>
              <w:rPr>
                <w:spacing w:val="-2"/>
              </w:rPr>
              <w:t xml:space="preserve">Energy Technology Revenue — 25% </w:t>
              <w:br/>
              <w:t xml:space="preserve">Energy Technology PWC as % of Net Sales — 25% </w:t>
              <w:br/>
              <w:t xml:space="preserve">Consolidated Adjusted EBITDA — 50% </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468" w:type="dxa"/>
            <w:tcBorders/>
            <w:shd w:fill="B2B2B2" w:val="clear"/>
            <w:tcMar>
              <w:bottom w:w="0" w:type="dxa"/>
            </w:tcMar>
            <w:vAlign w:val="center"/>
          </w:tcPr>
          <w:p>
            <w:pPr>
              <w:pStyle w:val="TableContents"/>
              <w:bidi w:val="0"/>
              <w:spacing w:before="0" w:after="283"/>
              <w:jc w:val="left"/>
              <w:rPr>
                <w:spacing w:val="-2"/>
              </w:rPr>
            </w:pPr>
            <w:r>
              <w:rPr>
                <w:spacing w:val="-2"/>
              </w:rPr>
              <w:t xml:space="preserve">Above Target </w:t>
              <w:br/>
              <w:t xml:space="preserve">Above Target </w:t>
              <w:br/>
              <w:t xml:space="preserve">Below Target </w:t>
            </w:r>
          </w:p>
        </w:tc>
        <w:tc>
          <w:tcPr>
            <w:tcW w:w="154" w:type="dxa"/>
            <w:tcBorders/>
            <w:shd w:fill="B2B2B2"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498" w:type="dxa"/>
            <w:tcBorders/>
            <w:tcMar>
              <w:bottom w:w="0" w:type="dxa"/>
            </w:tcMar>
            <w:vAlign w:val="center"/>
          </w:tcPr>
          <w:p>
            <w:pPr>
              <w:pStyle w:val="TableContents"/>
              <w:bidi w:val="0"/>
              <w:spacing w:before="0" w:after="283"/>
              <w:jc w:val="left"/>
              <w:rPr>
                <w:spacing w:val="-2"/>
              </w:rPr>
            </w:pPr>
            <w:r>
              <w:rPr>
                <w:spacing w:val="-2"/>
              </w:rPr>
              <w:t xml:space="preserve">Erik Wilde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73" w:type="dxa"/>
            <w:tcBorders/>
            <w:tcMar>
              <w:bottom w:w="0" w:type="dxa"/>
            </w:tcMar>
            <w:vAlign w:val="center"/>
          </w:tcPr>
          <w:p>
            <w:pPr>
              <w:pStyle w:val="TableContents"/>
              <w:bidi w:val="0"/>
              <w:spacing w:before="0" w:after="283"/>
              <w:jc w:val="left"/>
              <w:rPr>
                <w:spacing w:val="-2"/>
              </w:rPr>
            </w:pPr>
            <w:r>
              <w:rPr>
                <w:spacing w:val="-2"/>
              </w:rPr>
              <w:t xml:space="preserve">Domestic C&amp;I Revenue — 25% </w:t>
              <w:br/>
              <w:t xml:space="preserve">Domestic C&amp;I PWC as % of Net Sales — 25% </w:t>
              <w:br/>
              <w:t xml:space="preserve">Consolidated Adjusted EBITDA — 50%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8" w:type="dxa"/>
            <w:tcBorders/>
            <w:tcMar>
              <w:bottom w:w="0" w:type="dxa"/>
            </w:tcMar>
            <w:vAlign w:val="center"/>
          </w:tcPr>
          <w:p>
            <w:pPr>
              <w:pStyle w:val="TableContents"/>
              <w:bidi w:val="0"/>
              <w:spacing w:before="0" w:after="283"/>
              <w:jc w:val="left"/>
              <w:rPr>
                <w:spacing w:val="-2"/>
              </w:rPr>
            </w:pPr>
            <w:r>
              <w:rPr>
                <w:spacing w:val="-2"/>
              </w:rPr>
              <w:t xml:space="preserve">Above Target </w:t>
              <w:br/>
              <w:t xml:space="preserve">Above Target </w:t>
              <w:br/>
              <w:t>Below Target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50" w:before="120" w:after="283"/>
        <w:ind w:left="11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Committee reserves the discretion to adjust annual performance bonus payouts, regardless of results against incentive bonus metrics. For 2025, the Committee made no adjustments or modifications to the financial targets or payouts. The payout for financial results is then subject to the individual performance modifier, which is a multiplicative factor that can increase or decrease the final payout. The individual performance modifier allows adjustments to each NEO’s payout against defined, measurable goals established at the commencement of the year and developed to achieve specific initiatives related to the Company’s long-term strategy. The Committee determined the individual performance modifier for the CEO and reviewed the CEO’s recommendations for the other NEOs, considering each executive’s performance. An individual performance modifier was applied to the payout for one NEO (Mr. Wilde), as shown below, based on his performance relative to business group strategic and operational results.</w:t>
      </w:r>
      <w:r>
        <w:rPr>
          <w:rFonts w:ascii="Arial;Helvetica;sans-serif" w:hAnsi="Arial;Helvetica;sans-serif"/>
          <w:b w:val="false"/>
          <w:i w:val="false"/>
          <w:caps w:val="false"/>
          <w:smallCaps w:val="false"/>
          <w:color w:val="000000"/>
          <w:spacing w:val="4"/>
          <w:sz w:val="22"/>
        </w:rPr>
        <w:t xml:space="preserve"> </w:t>
      </w:r>
    </w:p>
    <w:tbl>
      <w:tblPr>
        <w:tblW w:w="9065" w:type="dxa"/>
        <w:jc w:val="left"/>
        <w:tblInd w:w="1140" w:type="dxa"/>
        <w:tblLayout w:type="fixed"/>
        <w:tblCellMar>
          <w:top w:w="0" w:type="dxa"/>
          <w:left w:w="0" w:type="dxa"/>
          <w:bottom w:w="0" w:type="dxa"/>
          <w:right w:w="0" w:type="dxa"/>
        </w:tblCellMar>
      </w:tblPr>
      <w:tblGrid>
        <w:gridCol w:w="124"/>
        <w:gridCol w:w="2214"/>
        <w:gridCol w:w="109"/>
        <w:gridCol w:w="109"/>
        <w:gridCol w:w="109"/>
        <w:gridCol w:w="226"/>
        <w:gridCol w:w="1066"/>
        <w:gridCol w:w="109"/>
        <w:gridCol w:w="109"/>
        <w:gridCol w:w="109"/>
        <w:gridCol w:w="170"/>
        <w:gridCol w:w="170"/>
        <w:gridCol w:w="1015"/>
        <w:gridCol w:w="173"/>
        <w:gridCol w:w="109"/>
        <w:gridCol w:w="109"/>
        <w:gridCol w:w="209"/>
        <w:gridCol w:w="209"/>
        <w:gridCol w:w="697"/>
        <w:gridCol w:w="212"/>
        <w:gridCol w:w="109"/>
        <w:gridCol w:w="109"/>
        <w:gridCol w:w="109"/>
        <w:gridCol w:w="226"/>
        <w:gridCol w:w="886"/>
        <w:gridCol w:w="109"/>
        <w:gridCol w:w="160"/>
      </w:tblGrid>
      <w:tr>
        <w:trPr/>
        <w:tc>
          <w:tcPr>
            <w:tcW w:w="124" w:type="dxa"/>
            <w:tcBorders/>
            <w:shd w:fill="FF6A00" w:val="clear"/>
            <w:vAlign w:val="center"/>
          </w:tcPr>
          <w:p>
            <w:pPr>
              <w:pStyle w:val="TableContents"/>
              <w:bidi w:val="0"/>
              <w:spacing w:before="0" w:after="283"/>
              <w:jc w:val="left"/>
              <w:rPr/>
            </w:pPr>
            <w:r>
              <w:rPr/>
              <w:t>​</w:t>
            </w:r>
          </w:p>
        </w:tc>
        <w:tc>
          <w:tcPr>
            <w:tcW w:w="2214" w:type="dxa"/>
            <w:tcBorders/>
            <w:shd w:fill="FF6A00" w:val="clear"/>
            <w:vAlign w:val="center"/>
          </w:tcPr>
          <w:p>
            <w:pPr>
              <w:pStyle w:val="TableContents"/>
              <w:bidi w:val="0"/>
              <w:spacing w:before="0" w:after="0"/>
              <w:jc w:val="left"/>
              <w:rPr>
                <w:spacing w:val="-2"/>
              </w:rPr>
            </w:pPr>
            <w:r>
              <w:rPr>
                <w:spacing w:val="-2"/>
              </w:rPr>
              <w:t xml:space="preserve">Named Executive Officer </w:t>
            </w:r>
          </w:p>
        </w:tc>
        <w:tc>
          <w:tcPr>
            <w:tcW w:w="109"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510" w:type="dxa"/>
            <w:gridSpan w:val="4"/>
            <w:tcBorders/>
            <w:shd w:fill="FF6A00" w:val="clear"/>
            <w:vAlign w:val="center"/>
          </w:tcPr>
          <w:p>
            <w:pPr>
              <w:pStyle w:val="TableContents"/>
              <w:bidi w:val="0"/>
              <w:spacing w:before="0" w:after="0"/>
              <w:jc w:val="center"/>
              <w:rPr>
                <w:spacing w:val="-2"/>
              </w:rPr>
            </w:pPr>
            <w:r>
              <w:rPr>
                <w:spacing w:val="-2"/>
              </w:rPr>
              <w:t xml:space="preserve">AIP Target </w:t>
            </w:r>
          </w:p>
        </w:tc>
        <w:tc>
          <w:tcPr>
            <w:tcW w:w="109"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528" w:type="dxa"/>
            <w:gridSpan w:val="4"/>
            <w:tcBorders/>
            <w:shd w:fill="FF6A00" w:val="clear"/>
            <w:vAlign w:val="center"/>
          </w:tcPr>
          <w:p>
            <w:pPr>
              <w:pStyle w:val="TableContents"/>
              <w:bidi w:val="0"/>
              <w:spacing w:lineRule="atLeast" w:line="150" w:before="0" w:after="0"/>
              <w:jc w:val="center"/>
              <w:rPr/>
            </w:pPr>
            <w:r>
              <w:rPr>
                <w:spacing w:val="-2"/>
              </w:rPr>
              <w:t xml:space="preserve">2025 AIP </w:t>
              <w:br/>
              <w:t xml:space="preserve">Financial </w:t>
              <w:br/>
              <w:t>Achievement</w:t>
            </w:r>
            <w:r>
              <w:rPr>
                <w:spacing w:val="-2"/>
                <w:sz w:val="15"/>
              </w:rPr>
              <w:t>(1)</w:t>
            </w:r>
            <w:r>
              <w:rPr/>
              <w:t xml:space="preserve"> </w:t>
            </w:r>
          </w:p>
        </w:tc>
        <w:tc>
          <w:tcPr>
            <w:tcW w:w="109"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327" w:type="dxa"/>
            <w:gridSpan w:val="4"/>
            <w:tcBorders/>
            <w:shd w:fill="FF6A00" w:val="clear"/>
            <w:vAlign w:val="center"/>
          </w:tcPr>
          <w:p>
            <w:pPr>
              <w:pStyle w:val="TableContents"/>
              <w:bidi w:val="0"/>
              <w:spacing w:before="0" w:after="0"/>
              <w:jc w:val="center"/>
              <w:rPr>
                <w:spacing w:val="-2"/>
              </w:rPr>
            </w:pPr>
            <w:r>
              <w:rPr>
                <w:spacing w:val="-2"/>
              </w:rPr>
              <w:t xml:space="preserve">Individual </w:t>
              <w:br/>
              <w:t xml:space="preserve">Performance </w:t>
              <w:br/>
              <w:t xml:space="preserve">Modifier </w:t>
            </w:r>
          </w:p>
        </w:tc>
        <w:tc>
          <w:tcPr>
            <w:tcW w:w="109"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330" w:type="dxa"/>
            <w:gridSpan w:val="4"/>
            <w:tcBorders/>
            <w:shd w:fill="FF6A00" w:val="clear"/>
            <w:vAlign w:val="center"/>
          </w:tcPr>
          <w:p>
            <w:pPr>
              <w:pStyle w:val="TableContents"/>
              <w:bidi w:val="0"/>
              <w:spacing w:before="0" w:after="0"/>
              <w:jc w:val="center"/>
              <w:rPr>
                <w:spacing w:val="-2"/>
              </w:rPr>
            </w:pPr>
            <w:r>
              <w:rPr>
                <w:spacing w:val="-2"/>
              </w:rPr>
              <w:t xml:space="preserve">2025 AIP </w:t>
              <w:br/>
              <w:t xml:space="preserve">Payment </w:t>
            </w:r>
          </w:p>
        </w:tc>
        <w:tc>
          <w:tcPr>
            <w:tcW w:w="160" w:type="dxa"/>
            <w:tcBorders/>
            <w:shd w:fill="FF6A00"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14" w:type="dxa"/>
            <w:tcBorders/>
            <w:vAlign w:val="center"/>
          </w:tcPr>
          <w:p>
            <w:pPr>
              <w:pStyle w:val="TableContents"/>
              <w:bidi w:val="0"/>
              <w:spacing w:before="0" w:after="283"/>
              <w:jc w:val="left"/>
              <w:rPr>
                <w:spacing w:val="-2"/>
              </w:rPr>
            </w:pPr>
            <w:r>
              <w:rPr>
                <w:spacing w:val="-2"/>
              </w:rPr>
              <w:t xml:space="preserve">Aaron Jagdfeld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1,485,000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 w:type="dxa"/>
            <w:tcBorders/>
            <w:vAlign w:val="center"/>
          </w:tcPr>
          <w:p>
            <w:pPr>
              <w:pStyle w:val="TableContents"/>
              <w:bidi w:val="0"/>
              <w:spacing w:before="0" w:after="283"/>
              <w:jc w:val="left"/>
              <w:rPr/>
            </w:pPr>
            <w:r>
              <w:rPr/>
              <w:t>​</w:t>
            </w:r>
          </w:p>
        </w:tc>
        <w:tc>
          <w:tcPr>
            <w:tcW w:w="170" w:type="dxa"/>
            <w:tcBorders/>
            <w:vAlign w:val="center"/>
          </w:tcPr>
          <w:p>
            <w:pPr>
              <w:pStyle w:val="TableContents"/>
              <w:bidi w:val="0"/>
              <w:spacing w:before="0" w:after="283"/>
              <w:jc w:val="right"/>
              <w:rPr/>
            </w:pPr>
            <w:r>
              <w:rPr/>
              <w:t>​</w:t>
            </w:r>
          </w:p>
        </w:tc>
        <w:tc>
          <w:tcPr>
            <w:tcW w:w="1015" w:type="dxa"/>
            <w:tcBorders/>
            <w:vAlign w:val="center"/>
          </w:tcPr>
          <w:p>
            <w:pPr>
              <w:pStyle w:val="TableContents"/>
              <w:bidi w:val="0"/>
              <w:spacing w:before="0" w:after="283"/>
              <w:jc w:val="right"/>
              <w:rPr/>
            </w:pPr>
            <w:r>
              <w:rPr/>
              <w:t>46.0%</w:t>
            </w:r>
          </w:p>
        </w:tc>
        <w:tc>
          <w:tcPr>
            <w:tcW w:w="17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jc w:val="right"/>
              <w:rPr/>
            </w:pPr>
            <w:r>
              <w:rPr/>
              <w:t>​</w:t>
            </w:r>
          </w:p>
        </w:tc>
        <w:tc>
          <w:tcPr>
            <w:tcW w:w="697" w:type="dxa"/>
            <w:tcBorders/>
            <w:vAlign w:val="center"/>
          </w:tcPr>
          <w:p>
            <w:pPr>
              <w:pStyle w:val="TableContents"/>
              <w:bidi w:val="0"/>
              <w:spacing w:before="0" w:after="283"/>
              <w:jc w:val="right"/>
              <w:rPr/>
            </w:pPr>
            <w:r>
              <w:rPr/>
              <w:t>0%</w:t>
            </w:r>
          </w:p>
        </w:tc>
        <w:tc>
          <w:tcPr>
            <w:tcW w:w="21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683,286</w:t>
            </w:r>
          </w:p>
        </w:tc>
        <w:tc>
          <w:tcPr>
            <w:tcW w:w="109"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shd w:fill="B2B2B2" w:val="clear"/>
            <w:vAlign w:val="center"/>
          </w:tcPr>
          <w:p>
            <w:pPr>
              <w:pStyle w:val="TableContents"/>
              <w:bidi w:val="0"/>
              <w:spacing w:before="0" w:after="283"/>
              <w:jc w:val="left"/>
              <w:rPr/>
            </w:pPr>
            <w:r>
              <w:rPr/>
              <w:t>​</w:t>
            </w:r>
          </w:p>
        </w:tc>
        <w:tc>
          <w:tcPr>
            <w:tcW w:w="2214" w:type="dxa"/>
            <w:tcBorders/>
            <w:shd w:fill="B2B2B2" w:val="clear"/>
            <w:vAlign w:val="center"/>
          </w:tcPr>
          <w:p>
            <w:pPr>
              <w:pStyle w:val="TableContents"/>
              <w:bidi w:val="0"/>
              <w:spacing w:before="0" w:after="283"/>
              <w:jc w:val="left"/>
              <w:rPr>
                <w:spacing w:val="-2"/>
              </w:rPr>
            </w:pPr>
            <w:r>
              <w:rPr>
                <w:spacing w:val="-2"/>
              </w:rPr>
              <w:t xml:space="preserve">York Ragen </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226" w:type="dxa"/>
            <w:tcBorders/>
            <w:shd w:fill="B2B2B2" w:val="clear"/>
            <w:vAlign w:val="center"/>
          </w:tcPr>
          <w:p>
            <w:pPr>
              <w:pStyle w:val="TableContents"/>
              <w:bidi w:val="0"/>
              <w:spacing w:before="0" w:after="283"/>
              <w:jc w:val="right"/>
              <w:rPr/>
            </w:pPr>
            <w:r>
              <w:rPr/>
              <w:t>$</w:t>
            </w:r>
          </w:p>
        </w:tc>
        <w:tc>
          <w:tcPr>
            <w:tcW w:w="1066" w:type="dxa"/>
            <w:tcBorders/>
            <w:shd w:fill="B2B2B2" w:val="clear"/>
            <w:vAlign w:val="center"/>
          </w:tcPr>
          <w:p>
            <w:pPr>
              <w:pStyle w:val="TableContents"/>
              <w:bidi w:val="0"/>
              <w:spacing w:before="0" w:after="283"/>
              <w:jc w:val="right"/>
              <w:rPr/>
            </w:pPr>
            <w:r>
              <w:rPr/>
              <w:t>491,300</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70" w:type="dxa"/>
            <w:tcBorders/>
            <w:shd w:fill="B2B2B2" w:val="clear"/>
            <w:vAlign w:val="center"/>
          </w:tcPr>
          <w:p>
            <w:pPr>
              <w:pStyle w:val="TableContents"/>
              <w:bidi w:val="0"/>
              <w:spacing w:before="0" w:after="283"/>
              <w:jc w:val="left"/>
              <w:rPr/>
            </w:pPr>
            <w:r>
              <w:rPr/>
              <w:t>​</w:t>
            </w:r>
          </w:p>
        </w:tc>
        <w:tc>
          <w:tcPr>
            <w:tcW w:w="170" w:type="dxa"/>
            <w:tcBorders/>
            <w:shd w:fill="B2B2B2" w:val="clear"/>
            <w:vAlign w:val="center"/>
          </w:tcPr>
          <w:p>
            <w:pPr>
              <w:pStyle w:val="TableContents"/>
              <w:bidi w:val="0"/>
              <w:spacing w:before="0" w:after="283"/>
              <w:jc w:val="right"/>
              <w:rPr/>
            </w:pPr>
            <w:r>
              <w:rPr/>
              <w:t>​</w:t>
            </w:r>
          </w:p>
        </w:tc>
        <w:tc>
          <w:tcPr>
            <w:tcW w:w="1015" w:type="dxa"/>
            <w:tcBorders/>
            <w:shd w:fill="B2B2B2" w:val="clear"/>
            <w:vAlign w:val="center"/>
          </w:tcPr>
          <w:p>
            <w:pPr>
              <w:pStyle w:val="TableContents"/>
              <w:bidi w:val="0"/>
              <w:spacing w:before="0" w:after="283"/>
              <w:jc w:val="right"/>
              <w:rPr/>
            </w:pPr>
            <w:r>
              <w:rPr/>
              <w:t>46.0%</w:t>
            </w:r>
          </w:p>
        </w:tc>
        <w:tc>
          <w:tcPr>
            <w:tcW w:w="173"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209" w:type="dxa"/>
            <w:tcBorders/>
            <w:shd w:fill="B2B2B2" w:val="clear"/>
            <w:vAlign w:val="center"/>
          </w:tcPr>
          <w:p>
            <w:pPr>
              <w:pStyle w:val="TableContents"/>
              <w:bidi w:val="0"/>
              <w:spacing w:before="0" w:after="283"/>
              <w:jc w:val="left"/>
              <w:rPr/>
            </w:pPr>
            <w:r>
              <w:rPr/>
              <w:t>​</w:t>
            </w:r>
          </w:p>
        </w:tc>
        <w:tc>
          <w:tcPr>
            <w:tcW w:w="209" w:type="dxa"/>
            <w:tcBorders/>
            <w:shd w:fill="B2B2B2" w:val="clear"/>
            <w:vAlign w:val="center"/>
          </w:tcPr>
          <w:p>
            <w:pPr>
              <w:pStyle w:val="TableContents"/>
              <w:bidi w:val="0"/>
              <w:spacing w:before="0" w:after="283"/>
              <w:jc w:val="right"/>
              <w:rPr/>
            </w:pPr>
            <w:r>
              <w:rPr/>
              <w:t>​</w:t>
            </w:r>
          </w:p>
        </w:tc>
        <w:tc>
          <w:tcPr>
            <w:tcW w:w="697" w:type="dxa"/>
            <w:tcBorders/>
            <w:shd w:fill="B2B2B2" w:val="clear"/>
            <w:vAlign w:val="center"/>
          </w:tcPr>
          <w:p>
            <w:pPr>
              <w:pStyle w:val="TableContents"/>
              <w:bidi w:val="0"/>
              <w:spacing w:before="0" w:after="283"/>
              <w:jc w:val="right"/>
              <w:rPr/>
            </w:pPr>
            <w:r>
              <w:rPr/>
              <w:t>0%</w:t>
            </w:r>
          </w:p>
        </w:tc>
        <w:tc>
          <w:tcPr>
            <w:tcW w:w="212"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226" w:type="dxa"/>
            <w:tcBorders/>
            <w:shd w:fill="B2B2B2" w:val="clear"/>
            <w:vAlign w:val="center"/>
          </w:tcPr>
          <w:p>
            <w:pPr>
              <w:pStyle w:val="TableContents"/>
              <w:bidi w:val="0"/>
              <w:spacing w:before="0" w:after="283"/>
              <w:jc w:val="right"/>
              <w:rPr/>
            </w:pPr>
            <w:r>
              <w:rPr/>
              <w:t>$</w:t>
            </w:r>
          </w:p>
        </w:tc>
        <w:tc>
          <w:tcPr>
            <w:tcW w:w="886" w:type="dxa"/>
            <w:tcBorders/>
            <w:shd w:fill="B2B2B2" w:val="clear"/>
            <w:vAlign w:val="center"/>
          </w:tcPr>
          <w:p>
            <w:pPr>
              <w:pStyle w:val="TableContents"/>
              <w:bidi w:val="0"/>
              <w:spacing w:before="0" w:after="283"/>
              <w:jc w:val="right"/>
              <w:rPr/>
            </w:pPr>
            <w:r>
              <w:rPr/>
              <w:t>226,059</w:t>
            </w:r>
          </w:p>
        </w:tc>
        <w:tc>
          <w:tcPr>
            <w:tcW w:w="109" w:type="dxa"/>
            <w:tcBorders/>
            <w:shd w:fill="B2B2B2" w:val="clear"/>
            <w:vAlign w:val="center"/>
          </w:tcPr>
          <w:p>
            <w:pPr>
              <w:pStyle w:val="TableContents"/>
              <w:bidi w:val="0"/>
              <w:spacing w:before="0" w:after="283"/>
              <w:jc w:val="left"/>
              <w:rPr/>
            </w:pPr>
            <w:r>
              <w:rPr/>
              <w:t>​</w:t>
            </w:r>
          </w:p>
        </w:tc>
        <w:tc>
          <w:tcPr>
            <w:tcW w:w="160" w:type="dxa"/>
            <w:tcBorders/>
            <w:shd w:fill="B2B2B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14" w:type="dxa"/>
            <w:tcBorders/>
            <w:vAlign w:val="center"/>
          </w:tcPr>
          <w:p>
            <w:pPr>
              <w:pStyle w:val="TableContents"/>
              <w:bidi w:val="0"/>
              <w:spacing w:before="0" w:after="283"/>
              <w:jc w:val="left"/>
              <w:rPr>
                <w:spacing w:val="-2"/>
              </w:rPr>
            </w:pPr>
            <w:r>
              <w:rPr>
                <w:spacing w:val="-2"/>
              </w:rPr>
              <w:t xml:space="preserve">Norman Taffe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372,800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 w:type="dxa"/>
            <w:tcBorders/>
            <w:vAlign w:val="center"/>
          </w:tcPr>
          <w:p>
            <w:pPr>
              <w:pStyle w:val="TableContents"/>
              <w:bidi w:val="0"/>
              <w:spacing w:before="0" w:after="283"/>
              <w:jc w:val="left"/>
              <w:rPr/>
            </w:pPr>
            <w:r>
              <w:rPr/>
              <w:t>​</w:t>
            </w:r>
          </w:p>
        </w:tc>
        <w:tc>
          <w:tcPr>
            <w:tcW w:w="170" w:type="dxa"/>
            <w:tcBorders/>
            <w:vAlign w:val="center"/>
          </w:tcPr>
          <w:p>
            <w:pPr>
              <w:pStyle w:val="TableContents"/>
              <w:bidi w:val="0"/>
              <w:spacing w:before="0" w:after="283"/>
              <w:jc w:val="right"/>
              <w:rPr/>
            </w:pPr>
            <w:r>
              <w:rPr/>
              <w:t>​</w:t>
            </w:r>
          </w:p>
        </w:tc>
        <w:tc>
          <w:tcPr>
            <w:tcW w:w="1015" w:type="dxa"/>
            <w:tcBorders/>
            <w:vAlign w:val="center"/>
          </w:tcPr>
          <w:p>
            <w:pPr>
              <w:pStyle w:val="TableContents"/>
              <w:bidi w:val="0"/>
              <w:spacing w:before="0" w:after="283"/>
              <w:jc w:val="right"/>
              <w:rPr/>
            </w:pPr>
            <w:r>
              <w:rPr/>
              <w:t>104.4%</w:t>
            </w:r>
          </w:p>
        </w:tc>
        <w:tc>
          <w:tcPr>
            <w:tcW w:w="17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jc w:val="right"/>
              <w:rPr/>
            </w:pPr>
            <w:r>
              <w:rPr/>
              <w:t>​</w:t>
            </w:r>
          </w:p>
        </w:tc>
        <w:tc>
          <w:tcPr>
            <w:tcW w:w="697" w:type="dxa"/>
            <w:tcBorders/>
            <w:vAlign w:val="center"/>
          </w:tcPr>
          <w:p>
            <w:pPr>
              <w:pStyle w:val="TableContents"/>
              <w:bidi w:val="0"/>
              <w:spacing w:before="0" w:after="283"/>
              <w:jc w:val="right"/>
              <w:rPr/>
            </w:pPr>
            <w:r>
              <w:rPr/>
              <w:t>0%</w:t>
            </w:r>
          </w:p>
        </w:tc>
        <w:tc>
          <w:tcPr>
            <w:tcW w:w="21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389,203</w:t>
            </w:r>
          </w:p>
        </w:tc>
        <w:tc>
          <w:tcPr>
            <w:tcW w:w="109"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shd w:fill="B2B2B2" w:val="clear"/>
            <w:vAlign w:val="center"/>
          </w:tcPr>
          <w:p>
            <w:pPr>
              <w:pStyle w:val="TableContents"/>
              <w:bidi w:val="0"/>
              <w:spacing w:before="0" w:after="283"/>
              <w:jc w:val="left"/>
              <w:rPr/>
            </w:pPr>
            <w:r>
              <w:rPr/>
              <w:t>​</w:t>
            </w:r>
          </w:p>
        </w:tc>
        <w:tc>
          <w:tcPr>
            <w:tcW w:w="2214" w:type="dxa"/>
            <w:tcBorders/>
            <w:shd w:fill="B2B2B2" w:val="clear"/>
            <w:vAlign w:val="center"/>
          </w:tcPr>
          <w:p>
            <w:pPr>
              <w:pStyle w:val="TableContents"/>
              <w:bidi w:val="0"/>
              <w:spacing w:before="0" w:after="283"/>
              <w:jc w:val="left"/>
              <w:rPr>
                <w:spacing w:val="-2"/>
              </w:rPr>
            </w:pPr>
            <w:r>
              <w:rPr>
                <w:spacing w:val="-2"/>
              </w:rPr>
              <w:t xml:space="preserve">Erik Wilde </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226" w:type="dxa"/>
            <w:tcBorders/>
            <w:shd w:fill="B2B2B2" w:val="clear"/>
            <w:vAlign w:val="center"/>
          </w:tcPr>
          <w:p>
            <w:pPr>
              <w:pStyle w:val="TableContents"/>
              <w:bidi w:val="0"/>
              <w:spacing w:before="0" w:after="283"/>
              <w:jc w:val="right"/>
              <w:rPr/>
            </w:pPr>
            <w:r>
              <w:rPr/>
              <w:t>$</w:t>
            </w:r>
          </w:p>
        </w:tc>
        <w:tc>
          <w:tcPr>
            <w:tcW w:w="1066" w:type="dxa"/>
            <w:tcBorders/>
            <w:shd w:fill="B2B2B2" w:val="clear"/>
            <w:vAlign w:val="center"/>
          </w:tcPr>
          <w:p>
            <w:pPr>
              <w:pStyle w:val="TableContents"/>
              <w:bidi w:val="0"/>
              <w:spacing w:before="0" w:after="283"/>
              <w:jc w:val="right"/>
              <w:rPr/>
            </w:pPr>
            <w:r>
              <w:rPr/>
              <w:t>349,500</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70" w:type="dxa"/>
            <w:tcBorders/>
            <w:shd w:fill="B2B2B2" w:val="clear"/>
            <w:vAlign w:val="center"/>
          </w:tcPr>
          <w:p>
            <w:pPr>
              <w:pStyle w:val="TableContents"/>
              <w:bidi w:val="0"/>
              <w:spacing w:before="0" w:after="283"/>
              <w:jc w:val="left"/>
              <w:rPr/>
            </w:pPr>
            <w:r>
              <w:rPr/>
              <w:t>​</w:t>
            </w:r>
          </w:p>
        </w:tc>
        <w:tc>
          <w:tcPr>
            <w:tcW w:w="170" w:type="dxa"/>
            <w:tcBorders/>
            <w:shd w:fill="B2B2B2" w:val="clear"/>
            <w:vAlign w:val="center"/>
          </w:tcPr>
          <w:p>
            <w:pPr>
              <w:pStyle w:val="TableContents"/>
              <w:bidi w:val="0"/>
              <w:spacing w:before="0" w:after="283"/>
              <w:jc w:val="right"/>
              <w:rPr/>
            </w:pPr>
            <w:r>
              <w:rPr/>
              <w:t>​</w:t>
            </w:r>
          </w:p>
        </w:tc>
        <w:tc>
          <w:tcPr>
            <w:tcW w:w="1015" w:type="dxa"/>
            <w:tcBorders/>
            <w:shd w:fill="B2B2B2" w:val="clear"/>
            <w:vAlign w:val="center"/>
          </w:tcPr>
          <w:p>
            <w:pPr>
              <w:pStyle w:val="TableContents"/>
              <w:bidi w:val="0"/>
              <w:spacing w:before="0" w:after="283"/>
              <w:jc w:val="right"/>
              <w:rPr/>
            </w:pPr>
            <w:r>
              <w:rPr/>
              <w:t>98.9%</w:t>
            </w:r>
          </w:p>
        </w:tc>
        <w:tc>
          <w:tcPr>
            <w:tcW w:w="173"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209" w:type="dxa"/>
            <w:tcBorders/>
            <w:shd w:fill="B2B2B2" w:val="clear"/>
            <w:vAlign w:val="center"/>
          </w:tcPr>
          <w:p>
            <w:pPr>
              <w:pStyle w:val="TableContents"/>
              <w:bidi w:val="0"/>
              <w:spacing w:before="0" w:after="283"/>
              <w:jc w:val="left"/>
              <w:rPr/>
            </w:pPr>
            <w:r>
              <w:rPr/>
              <w:t>​</w:t>
            </w:r>
          </w:p>
        </w:tc>
        <w:tc>
          <w:tcPr>
            <w:tcW w:w="209" w:type="dxa"/>
            <w:tcBorders/>
            <w:shd w:fill="B2B2B2" w:val="clear"/>
            <w:vAlign w:val="center"/>
          </w:tcPr>
          <w:p>
            <w:pPr>
              <w:pStyle w:val="TableContents"/>
              <w:bidi w:val="0"/>
              <w:spacing w:before="0" w:after="283"/>
              <w:jc w:val="right"/>
              <w:rPr/>
            </w:pPr>
            <w:r>
              <w:rPr/>
              <w:t>​</w:t>
            </w:r>
          </w:p>
        </w:tc>
        <w:tc>
          <w:tcPr>
            <w:tcW w:w="697" w:type="dxa"/>
            <w:tcBorders/>
            <w:shd w:fill="B2B2B2" w:val="clear"/>
            <w:vAlign w:val="center"/>
          </w:tcPr>
          <w:p>
            <w:pPr>
              <w:pStyle w:val="TableContents"/>
              <w:bidi w:val="0"/>
              <w:spacing w:before="0" w:after="283"/>
              <w:jc w:val="right"/>
              <w:rPr/>
            </w:pPr>
            <w:r>
              <w:rPr/>
              <w:t>+5%</w:t>
            </w:r>
          </w:p>
        </w:tc>
        <w:tc>
          <w:tcPr>
            <w:tcW w:w="212"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226" w:type="dxa"/>
            <w:tcBorders/>
            <w:shd w:fill="B2B2B2" w:val="clear"/>
            <w:vAlign w:val="center"/>
          </w:tcPr>
          <w:p>
            <w:pPr>
              <w:pStyle w:val="TableContents"/>
              <w:bidi w:val="0"/>
              <w:spacing w:before="0" w:after="283"/>
              <w:jc w:val="right"/>
              <w:rPr/>
            </w:pPr>
            <w:r>
              <w:rPr/>
              <w:t>$</w:t>
            </w:r>
          </w:p>
        </w:tc>
        <w:tc>
          <w:tcPr>
            <w:tcW w:w="886" w:type="dxa"/>
            <w:tcBorders/>
            <w:shd w:fill="B2B2B2" w:val="clear"/>
            <w:vAlign w:val="center"/>
          </w:tcPr>
          <w:p>
            <w:pPr>
              <w:pStyle w:val="TableContents"/>
              <w:bidi w:val="0"/>
              <w:spacing w:before="0" w:after="283"/>
              <w:jc w:val="right"/>
              <w:rPr/>
            </w:pPr>
            <w:r>
              <w:rPr/>
              <w:t>362,847</w:t>
            </w:r>
          </w:p>
        </w:tc>
        <w:tc>
          <w:tcPr>
            <w:tcW w:w="109" w:type="dxa"/>
            <w:tcBorders/>
            <w:shd w:fill="B2B2B2" w:val="clear"/>
            <w:vAlign w:val="center"/>
          </w:tcPr>
          <w:p>
            <w:pPr>
              <w:pStyle w:val="TableContents"/>
              <w:bidi w:val="0"/>
              <w:spacing w:before="0" w:after="283"/>
              <w:jc w:val="left"/>
              <w:rPr/>
            </w:pPr>
            <w:r>
              <w:rPr/>
              <w:t>​</w:t>
            </w:r>
          </w:p>
        </w:tc>
        <w:tc>
          <w:tcPr>
            <w:tcW w:w="160" w:type="dxa"/>
            <w:tcBorders/>
            <w:shd w:fill="B2B2B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14" w:type="dxa"/>
            <w:tcBorders/>
            <w:vAlign w:val="center"/>
          </w:tcPr>
          <w:p>
            <w:pPr>
              <w:pStyle w:val="TableContents"/>
              <w:bidi w:val="0"/>
              <w:spacing w:before="0" w:after="283"/>
              <w:jc w:val="left"/>
              <w:rPr>
                <w:spacing w:val="-2"/>
              </w:rPr>
            </w:pPr>
            <w:r>
              <w:rPr>
                <w:spacing w:val="-2"/>
              </w:rPr>
              <w:t xml:space="preserve">Raj Kanuru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353,250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0" w:type="dxa"/>
            <w:tcBorders/>
            <w:vAlign w:val="center"/>
          </w:tcPr>
          <w:p>
            <w:pPr>
              <w:pStyle w:val="TableContents"/>
              <w:bidi w:val="0"/>
              <w:spacing w:before="0" w:after="283"/>
              <w:jc w:val="left"/>
              <w:rPr/>
            </w:pPr>
            <w:r>
              <w:rPr/>
              <w:t>​</w:t>
            </w:r>
          </w:p>
        </w:tc>
        <w:tc>
          <w:tcPr>
            <w:tcW w:w="170" w:type="dxa"/>
            <w:tcBorders/>
            <w:vAlign w:val="center"/>
          </w:tcPr>
          <w:p>
            <w:pPr>
              <w:pStyle w:val="TableContents"/>
              <w:bidi w:val="0"/>
              <w:spacing w:before="0" w:after="283"/>
              <w:jc w:val="right"/>
              <w:rPr/>
            </w:pPr>
            <w:r>
              <w:rPr/>
              <w:t>​</w:t>
            </w:r>
          </w:p>
        </w:tc>
        <w:tc>
          <w:tcPr>
            <w:tcW w:w="1015" w:type="dxa"/>
            <w:tcBorders/>
            <w:vAlign w:val="center"/>
          </w:tcPr>
          <w:p>
            <w:pPr>
              <w:pStyle w:val="TableContents"/>
              <w:bidi w:val="0"/>
              <w:spacing w:before="0" w:after="283"/>
              <w:jc w:val="right"/>
              <w:rPr/>
            </w:pPr>
            <w:r>
              <w:rPr/>
              <w:t>46.0%</w:t>
            </w:r>
          </w:p>
        </w:tc>
        <w:tc>
          <w:tcPr>
            <w:tcW w:w="17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jc w:val="left"/>
              <w:rPr/>
            </w:pPr>
            <w:r>
              <w:rPr/>
              <w:t>​</w:t>
            </w:r>
          </w:p>
        </w:tc>
        <w:tc>
          <w:tcPr>
            <w:tcW w:w="209" w:type="dxa"/>
            <w:tcBorders/>
            <w:vAlign w:val="center"/>
          </w:tcPr>
          <w:p>
            <w:pPr>
              <w:pStyle w:val="TableContents"/>
              <w:bidi w:val="0"/>
              <w:spacing w:before="0" w:after="283"/>
              <w:jc w:val="right"/>
              <w:rPr/>
            </w:pPr>
            <w:r>
              <w:rPr/>
              <w:t>​</w:t>
            </w:r>
          </w:p>
        </w:tc>
        <w:tc>
          <w:tcPr>
            <w:tcW w:w="697" w:type="dxa"/>
            <w:tcBorders/>
            <w:vAlign w:val="center"/>
          </w:tcPr>
          <w:p>
            <w:pPr>
              <w:pStyle w:val="TableContents"/>
              <w:bidi w:val="0"/>
              <w:spacing w:before="0" w:after="283"/>
              <w:jc w:val="right"/>
              <w:rPr/>
            </w:pPr>
            <w:r>
              <w:rPr/>
              <w:t>0%</w:t>
            </w:r>
          </w:p>
        </w:tc>
        <w:tc>
          <w:tcPr>
            <w:tcW w:w="21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162,539</w:t>
            </w:r>
          </w:p>
        </w:tc>
        <w:tc>
          <w:tcPr>
            <w:tcW w:w="109"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bl>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22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Achievement percentages are based on achievement of financial targets and are exclusive of the individual performance modifier.</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39700" distB="0" distL="0" distR="0" simplePos="0" locked="0" layoutInCell="1" allowOverlap="1" relativeHeight="298">
                <wp:simplePos x="0" y="0"/>
                <wp:positionH relativeFrom="column">
                  <wp:align>left</wp:align>
                </wp:positionH>
                <wp:positionV relativeFrom="line">
                  <wp:align>top</wp:align>
                </wp:positionV>
                <wp:extent cx="254000" cy="350520"/>
                <wp:effectExtent l="0" t="0" r="0" b="0"/>
                <wp:wrapSquare wrapText="right"/>
                <wp:docPr id="263" name="Frame1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6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pt;mso-wrap-distance-bottom:0pt;margin-top:11pt;mso-position-vertical:top;mso-position-vertical-relative:text;margin-left:0pt;mso-position-horizontal:left;mso-position-horizontal-relative:text">
                <v:textbox>
                  <w:txbxContent>
                    <w:p>
                      <w:pPr>
                        <w:pStyle w:val="TextBody"/>
                        <w:bidi w:val="0"/>
                        <w:spacing w:lineRule="atLeast" w:line="260"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240" w:after="283"/>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2"/>
          <w:sz w:val="22"/>
        </w:rPr>
        <w:t>Long-Term Incentives</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Generac believes that equity awards are a critical component of a competitive, comprehensive annual compensation program for NEOs and other executives.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Our long-term incentive program (“LTIP”) is designed to reward our executives for their contribution to the Company’s long-term growth and performance, and to better align the interests of our NEOs with those of our stockholders. In addition, our long-term awards are used to attract and retain critical employee talent by providing a competitive market-based opportunity. </w:t>
      </w:r>
    </w:p>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264"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86" descr=""/>
                          <pic:cNvPicPr>
                            <a:picLocks noChangeAspect="1" noChangeArrowheads="1"/>
                          </pic:cNvPicPr>
                        </pic:nvPicPr>
                        <pic:blipFill>
                          <a:blip r:embed="rId98"/>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39</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rFonts w:ascii="Arial;Helvetica;sans-serif" w:hAnsi="Arial;Helvetica;sans-serif"/>
          <w:b w:val="false"/>
          <w:i w:val="false"/>
          <w:caps w:val="false"/>
          <w:smallCaps w:val="false"/>
          <w:color w:val="FF6A00"/>
          <w:sz w:val="22"/>
        </w:rPr>
      </w:pPr>
      <w:r>
        <w:rPr>
          <w:rFonts w:ascii="Arial;Helvetica;sans-serif" w:hAnsi="Arial;Helvetica;sans-serif"/>
          <w:b w:val="false"/>
          <w:i w:val="false"/>
          <w:caps/>
          <w:color w:val="FF6A00"/>
          <w:spacing w:val="-2"/>
          <w:sz w:val="22"/>
        </w:rPr>
        <w:t>Executive Compensation</w:t>
      </w:r>
      <w:r>
        <w:rPr>
          <w:rFonts w:ascii="Arial;Helvetica;sans-serif" w:hAnsi="Arial;Helvetica;sans-serif"/>
          <w:b w:val="false"/>
          <w:i w:val="false"/>
          <w:caps w:val="false"/>
          <w:smallCaps w:val="false"/>
          <w:color w:val="FF6A00"/>
          <w:spacing w:val="-2"/>
          <w:sz w:val="22"/>
        </w:rPr>
        <w:t xml:space="preserve"> </w:t>
      </w:r>
    </w:p>
    <w:p>
      <w:pPr>
        <w:pStyle w:val="TextBody"/>
        <w:bidi w:val="0"/>
        <w:spacing w:lineRule="atLeast" w:line="250" w:before="480" w:after="283"/>
        <w:ind w:left="11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grants made in 2025 had the following terms: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2" w:before="82"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i w:val="false"/>
          <w:caps w:val="false"/>
          <w:smallCaps w:val="false"/>
          <w:color w:val="000000"/>
          <w:spacing w:val="-2"/>
          <w:sz w:val="22"/>
        </w:rPr>
        <w:t>Performance Shares. Fifty percent (50%)</w:t>
      </w:r>
      <w:r>
        <w:rPr>
          <w:rFonts w:ascii="Arial;Helvetica;sans-serif" w:hAnsi="Arial;Helvetica;sans-serif"/>
          <w:b w:val="false"/>
          <w:i w:val="false"/>
          <w:caps w:val="false"/>
          <w:smallCaps w:val="false"/>
          <w:color w:val="000000"/>
          <w:spacing w:val="-2"/>
          <w:sz w:val="22"/>
        </w:rPr>
        <w:t xml:space="preserve"> of the target award was granted in the form of performance shares, which are performance-based restricted stock units. NEOs may earn from 0% to 200% of their target performance share awards based on the achievement of specified revenue growth, EBITDA margin, and Free Cash Flow Conversion goals. Each performance share has a value equal to a share of common stock, and the number of shares that can be earned is contingent upon Company performance, over a three-year performance period, against goals approved by the Committee.</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2070" distB="0" distL="254000" distR="0" simplePos="0" locked="0" layoutInCell="1" allowOverlap="1" relativeHeight="299">
                <wp:simplePos x="0" y="0"/>
                <wp:positionH relativeFrom="column">
                  <wp:align>left</wp:align>
                </wp:positionH>
                <wp:positionV relativeFrom="line">
                  <wp:align>top</wp:align>
                </wp:positionV>
                <wp:extent cx="254000" cy="350520"/>
                <wp:effectExtent l="0" t="0" r="0" b="0"/>
                <wp:wrapSquare wrapText="right"/>
                <wp:docPr id="265" name="Frame1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spacing w:val="-2"/>
                              </w:rPr>
                              <w:t>•</w:t>
                            </w:r>
                            <w:r>
                              <w:rPr/>
                              <w:t xml:space="preserve"> </w:t>
                            </w:r>
                            <w:r>
                              <w:rPr>
                                <w:sz w:val="22"/>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1pt;mso-wrap-distance-bottom:0pt;margin-top:4.1pt;mso-position-vertical:top;mso-position-vertical-relative:text;margin-left:20pt;mso-position-horizontal:left;mso-position-horizontal-relative:text">
                <v:textbox>
                  <w:txbxContent>
                    <w:p>
                      <w:pPr>
                        <w:pStyle w:val="TextBody"/>
                        <w:bidi w:val="0"/>
                        <w:spacing w:lineRule="atLeast" w:line="252" w:before="0" w:after="283"/>
                        <w:jc w:val="left"/>
                        <w:rPr/>
                      </w:pPr>
                      <w:r>
                        <w:rPr>
                          <w:color w:val="FF6A00"/>
                          <w:spacing w:val="-2"/>
                        </w:rPr>
                        <w:t>•</w:t>
                      </w:r>
                      <w:r>
                        <w:rPr/>
                        <w:t xml:space="preserve"> </w:t>
                      </w:r>
                      <w:r>
                        <w:rPr>
                          <w:sz w:val="22"/>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52" w:before="76"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i w:val="false"/>
          <w:caps w:val="false"/>
          <w:smallCaps w:val="false"/>
          <w:color w:val="000000"/>
          <w:spacing w:val="-2"/>
          <w:sz w:val="22"/>
        </w:rPr>
        <w:t>Restricted Stock. Twenty-five percent (25%)</w:t>
      </w:r>
      <w:r>
        <w:rPr>
          <w:rFonts w:ascii="Arial;Helvetica;sans-serif" w:hAnsi="Arial;Helvetica;sans-serif"/>
          <w:b w:val="false"/>
          <w:i w:val="false"/>
          <w:caps w:val="false"/>
          <w:smallCaps w:val="false"/>
          <w:color w:val="000000"/>
          <w:spacing w:val="-2"/>
          <w:sz w:val="22"/>
        </w:rPr>
        <w:t xml:space="preserve"> of the target award was granted in the form of time-based restricted stock, with those shares vesting equally over the three annual anniversaries immediately following the date of grant.</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48260" distB="0" distL="254000" distR="0" simplePos="0" locked="0" layoutInCell="1" allowOverlap="1" relativeHeight="300">
                <wp:simplePos x="0" y="0"/>
                <wp:positionH relativeFrom="column">
                  <wp:align>left</wp:align>
                </wp:positionH>
                <wp:positionV relativeFrom="line">
                  <wp:align>top</wp:align>
                </wp:positionV>
                <wp:extent cx="254000" cy="350520"/>
                <wp:effectExtent l="0" t="0" r="0" b="0"/>
                <wp:wrapSquare wrapText="right"/>
                <wp:docPr id="266" name="Frame1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spacing w:val="-2"/>
                              </w:rPr>
                              <w:t>•</w:t>
                            </w:r>
                            <w:r>
                              <w:rPr/>
                              <w:t xml:space="preserve"> </w:t>
                            </w:r>
                            <w:r>
                              <w:rPr>
                                <w:sz w:val="22"/>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52" w:before="0" w:after="283"/>
                        <w:jc w:val="left"/>
                        <w:rPr/>
                      </w:pPr>
                      <w:r>
                        <w:rPr>
                          <w:color w:val="FF6A00"/>
                          <w:spacing w:val="-2"/>
                        </w:rPr>
                        <w:t>•</w:t>
                      </w:r>
                      <w:r>
                        <w:rPr/>
                        <w:t xml:space="preserve"> </w:t>
                      </w:r>
                      <w:r>
                        <w:rPr>
                          <w:sz w:val="22"/>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52" w:before="76"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i w:val="false"/>
          <w:caps w:val="false"/>
          <w:smallCaps w:val="false"/>
          <w:color w:val="000000"/>
          <w:spacing w:val="-2"/>
          <w:sz w:val="22"/>
        </w:rPr>
        <w:t>Stock Options. Twenty-five percent (25%)</w:t>
      </w:r>
      <w:r>
        <w:rPr>
          <w:rFonts w:ascii="Arial;Helvetica;sans-serif" w:hAnsi="Arial;Helvetica;sans-serif"/>
          <w:b w:val="false"/>
          <w:i w:val="false"/>
          <w:caps w:val="false"/>
          <w:smallCaps w:val="false"/>
          <w:color w:val="000000"/>
          <w:spacing w:val="-2"/>
          <w:sz w:val="22"/>
        </w:rPr>
        <w:t xml:space="preserve"> of the target award was granted in the form of stock options, with those options vesting equally over the four annual anniversaries immediately following the date of grant.</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48260" distB="0" distL="254000" distR="0" simplePos="0" locked="0" layoutInCell="1" allowOverlap="1" relativeHeight="301">
                <wp:simplePos x="0" y="0"/>
                <wp:positionH relativeFrom="column">
                  <wp:align>left</wp:align>
                </wp:positionH>
                <wp:positionV relativeFrom="line">
                  <wp:align>top</wp:align>
                </wp:positionV>
                <wp:extent cx="254000" cy="350520"/>
                <wp:effectExtent l="0" t="0" r="0" b="0"/>
                <wp:wrapSquare wrapText="right"/>
                <wp:docPr id="267" name="Frame1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spacing w:val="-2"/>
                              </w:rPr>
                              <w:t>•</w:t>
                            </w:r>
                            <w:r>
                              <w:rPr/>
                              <w:t xml:space="preserve"> </w:t>
                            </w:r>
                            <w:r>
                              <w:rPr>
                                <w:sz w:val="22"/>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52" w:before="0" w:after="283"/>
                        <w:jc w:val="left"/>
                        <w:rPr/>
                      </w:pPr>
                      <w:r>
                        <w:rPr>
                          <w:color w:val="FF6A00"/>
                          <w:spacing w:val="-2"/>
                        </w:rPr>
                        <w:t>•</w:t>
                      </w:r>
                      <w:r>
                        <w:rPr/>
                        <w:t xml:space="preserve"> </w:t>
                      </w:r>
                      <w:r>
                        <w:rPr>
                          <w:sz w:val="22"/>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320" w:before="240" w:after="283"/>
        <w:jc w:val="center"/>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pacing w:val="-3"/>
          <w:sz w:val="28"/>
        </w:rPr>
        <w:t>2025 Long-Term Equity Incentive Target Mix</w:t>
      </w:r>
      <w:r>
        <w:rPr>
          <w:rFonts w:ascii="Arial;Helvetica;sans-serif" w:hAnsi="Arial;Helvetica;sans-serif"/>
          <w:b/>
          <w:i w:val="false"/>
          <w:caps w:val="false"/>
          <w:smallCaps w:val="false"/>
          <w:color w:val="000000"/>
          <w:spacing w:val="6"/>
          <w:sz w:val="28"/>
        </w:rPr>
        <w:t xml:space="preserve"> </w:t>
      </w:r>
    </w:p>
    <w:p>
      <w:pPr>
        <w:pStyle w:val="TextBody"/>
        <w:bidi w:val="0"/>
        <w:spacing w:before="160" w:after="283"/>
        <w:jc w:val="center"/>
        <w:rPr>
          <w:caps w:val="false"/>
          <w:smallCaps w:val="false"/>
          <w:color w:val="000000"/>
        </w:rPr>
      </w:pPr>
      <w:r>
        <w:rPr>
          <w:caps w:val="false"/>
          <w:smallCaps w:val="false"/>
          <w:color w:val="000000"/>
        </w:rPr>
        <w:drawing>
          <wp:inline distT="0" distB="0" distL="0" distR="0">
            <wp:extent cx="4791075" cy="2238375"/>
            <wp:effectExtent l="0" t="0" r="0" b="0"/>
            <wp:docPr id="268"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87" descr=""/>
                    <pic:cNvPicPr>
                      <a:picLocks noChangeAspect="1" noChangeArrowheads="1"/>
                    </pic:cNvPicPr>
                  </pic:nvPicPr>
                  <pic:blipFill>
                    <a:blip r:embed="rId99"/>
                    <a:stretch>
                      <a:fillRect/>
                    </a:stretch>
                  </pic:blipFill>
                  <pic:spPr bwMode="auto">
                    <a:xfrm>
                      <a:off x="0" y="0"/>
                      <a:ext cx="4791075" cy="2238375"/>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354" w:after="283"/>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2025 Long-Term Equity Award Target Grant Values</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March 2025 grant date value of the LTIP awards to the NEOs were as follows:</w:t>
      </w:r>
      <w:r>
        <w:rPr>
          <w:rFonts w:ascii="Arial;Helvetica;sans-serif" w:hAnsi="Arial;Helvetica;sans-serif"/>
          <w:b w:val="false"/>
          <w:i w:val="false"/>
          <w:caps w:val="false"/>
          <w:smallCaps w:val="false"/>
          <w:color w:val="000000"/>
          <w:spacing w:val="4"/>
          <w:sz w:val="22"/>
        </w:rPr>
        <w:t xml:space="preserve"> </w:t>
      </w:r>
    </w:p>
    <w:tbl>
      <w:tblPr>
        <w:tblW w:w="9065" w:type="dxa"/>
        <w:jc w:val="left"/>
        <w:tblInd w:w="1140" w:type="dxa"/>
        <w:tblLayout w:type="fixed"/>
        <w:tblCellMar>
          <w:top w:w="0" w:type="dxa"/>
          <w:left w:w="0" w:type="dxa"/>
          <w:bottom w:w="0" w:type="dxa"/>
          <w:right w:w="0" w:type="dxa"/>
        </w:tblCellMar>
      </w:tblPr>
      <w:tblGrid>
        <w:gridCol w:w="124"/>
        <w:gridCol w:w="1706"/>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20"/>
        <w:gridCol w:w="251"/>
        <w:gridCol w:w="1186"/>
        <w:gridCol w:w="120"/>
        <w:gridCol w:w="156"/>
      </w:tblGrid>
      <w:tr>
        <w:trPr/>
        <w:tc>
          <w:tcPr>
            <w:tcW w:w="124" w:type="dxa"/>
            <w:tcBorders/>
            <w:shd w:fill="FF6A00" w:val="clear"/>
            <w:vAlign w:val="center"/>
          </w:tcPr>
          <w:p>
            <w:pPr>
              <w:pStyle w:val="TableContents"/>
              <w:bidi w:val="0"/>
              <w:spacing w:before="0" w:after="283"/>
              <w:jc w:val="left"/>
              <w:rPr/>
            </w:pPr>
            <w:r>
              <w:rPr/>
              <w:t>​</w:t>
            </w:r>
          </w:p>
        </w:tc>
        <w:tc>
          <w:tcPr>
            <w:tcW w:w="1706" w:type="dxa"/>
            <w:tcBorders/>
            <w:shd w:fill="FF6A00" w:val="clear"/>
            <w:vAlign w:val="center"/>
          </w:tcPr>
          <w:p>
            <w:pPr>
              <w:pStyle w:val="TableContents"/>
              <w:bidi w:val="0"/>
              <w:spacing w:before="0" w:after="0"/>
              <w:jc w:val="left"/>
              <w:rPr>
                <w:spacing w:val="-2"/>
              </w:rPr>
            </w:pPr>
            <w:r>
              <w:rPr>
                <w:spacing w:val="-2"/>
              </w:rPr>
              <w:t xml:space="preserve">Named Executive Officer </w:t>
            </w:r>
          </w:p>
        </w:tc>
        <w:tc>
          <w:tcPr>
            <w:tcW w:w="109"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510" w:type="dxa"/>
            <w:gridSpan w:val="4"/>
            <w:tcBorders/>
            <w:shd w:fill="FF6A00" w:val="clear"/>
            <w:vAlign w:val="center"/>
          </w:tcPr>
          <w:p>
            <w:pPr>
              <w:pStyle w:val="TableContents"/>
              <w:bidi w:val="0"/>
              <w:spacing w:before="0" w:after="0"/>
              <w:jc w:val="center"/>
              <w:rPr>
                <w:spacing w:val="-2"/>
              </w:rPr>
            </w:pPr>
            <w:r>
              <w:rPr>
                <w:spacing w:val="-2"/>
              </w:rPr>
              <w:t xml:space="preserve">Stock </w:t>
              <w:br/>
              <w:t xml:space="preserve">Options </w:t>
            </w:r>
          </w:p>
        </w:tc>
        <w:tc>
          <w:tcPr>
            <w:tcW w:w="109"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510" w:type="dxa"/>
            <w:gridSpan w:val="4"/>
            <w:tcBorders/>
            <w:shd w:fill="FF6A00" w:val="clear"/>
            <w:vAlign w:val="center"/>
          </w:tcPr>
          <w:p>
            <w:pPr>
              <w:pStyle w:val="TableContents"/>
              <w:bidi w:val="0"/>
              <w:spacing w:before="0" w:after="0"/>
              <w:jc w:val="center"/>
              <w:rPr>
                <w:spacing w:val="-2"/>
              </w:rPr>
            </w:pPr>
            <w:r>
              <w:rPr>
                <w:spacing w:val="-2"/>
              </w:rPr>
              <w:t xml:space="preserve">Restricted </w:t>
              <w:br/>
              <w:t xml:space="preserve">Stock </w:t>
            </w:r>
          </w:p>
        </w:tc>
        <w:tc>
          <w:tcPr>
            <w:tcW w:w="109"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510" w:type="dxa"/>
            <w:gridSpan w:val="4"/>
            <w:tcBorders/>
            <w:shd w:fill="FF6A00" w:val="clear"/>
            <w:vAlign w:val="center"/>
          </w:tcPr>
          <w:p>
            <w:pPr>
              <w:pStyle w:val="TableContents"/>
              <w:bidi w:val="0"/>
              <w:spacing w:before="0" w:after="0"/>
              <w:jc w:val="center"/>
              <w:rPr>
                <w:spacing w:val="-2"/>
              </w:rPr>
            </w:pPr>
            <w:r>
              <w:rPr>
                <w:spacing w:val="-2"/>
              </w:rPr>
              <w:t xml:space="preserve">Performance </w:t>
              <w:br/>
              <w:t xml:space="preserve">Shares </w:t>
            </w:r>
          </w:p>
        </w:tc>
        <w:tc>
          <w:tcPr>
            <w:tcW w:w="109"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677" w:type="dxa"/>
            <w:gridSpan w:val="4"/>
            <w:tcBorders/>
            <w:shd w:fill="FF6A00" w:val="clear"/>
            <w:vAlign w:val="center"/>
          </w:tcPr>
          <w:p>
            <w:pPr>
              <w:pStyle w:val="TableContents"/>
              <w:bidi w:val="0"/>
              <w:spacing w:before="0" w:after="0"/>
              <w:jc w:val="center"/>
              <w:rPr>
                <w:spacing w:val="-2"/>
              </w:rPr>
            </w:pPr>
            <w:r>
              <w:rPr>
                <w:spacing w:val="-2"/>
              </w:rPr>
              <w:t xml:space="preserve">Total LTIP Grants </w:t>
            </w:r>
          </w:p>
        </w:tc>
        <w:tc>
          <w:tcPr>
            <w:tcW w:w="156" w:type="dxa"/>
            <w:tcBorders/>
            <w:shd w:fill="FF6A00"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706" w:type="dxa"/>
            <w:tcBorders/>
            <w:vAlign w:val="center"/>
          </w:tcPr>
          <w:p>
            <w:pPr>
              <w:pStyle w:val="TableContents"/>
              <w:bidi w:val="0"/>
              <w:spacing w:before="0" w:after="283"/>
              <w:jc w:val="left"/>
              <w:rPr>
                <w:spacing w:val="-2"/>
              </w:rPr>
            </w:pPr>
            <w:r>
              <w:rPr>
                <w:spacing w:val="-2"/>
              </w:rPr>
              <w:t xml:space="preserve">Aaron Jagdfeld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1,750,006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1,750,062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3,500,123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51"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7,000,190</w:t>
            </w:r>
          </w:p>
        </w:tc>
        <w:tc>
          <w:tcPr>
            <w:tcW w:w="120"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shd w:fill="B2B2B2" w:val="clear"/>
            <w:vAlign w:val="center"/>
          </w:tcPr>
          <w:p>
            <w:pPr>
              <w:pStyle w:val="TableContents"/>
              <w:bidi w:val="0"/>
              <w:spacing w:before="0" w:after="283"/>
              <w:jc w:val="left"/>
              <w:rPr/>
            </w:pPr>
            <w:r>
              <w:rPr/>
              <w:t>​</w:t>
            </w:r>
          </w:p>
        </w:tc>
        <w:tc>
          <w:tcPr>
            <w:tcW w:w="1706" w:type="dxa"/>
            <w:tcBorders/>
            <w:shd w:fill="B2B2B2" w:val="clear"/>
            <w:vAlign w:val="center"/>
          </w:tcPr>
          <w:p>
            <w:pPr>
              <w:pStyle w:val="TableContents"/>
              <w:bidi w:val="0"/>
              <w:spacing w:before="0" w:after="283"/>
              <w:jc w:val="left"/>
              <w:rPr>
                <w:spacing w:val="-2"/>
              </w:rPr>
            </w:pPr>
            <w:r>
              <w:rPr>
                <w:spacing w:val="-2"/>
              </w:rPr>
              <w:t xml:space="preserve">York Ragen </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226" w:type="dxa"/>
            <w:tcBorders/>
            <w:shd w:fill="B2B2B2" w:val="clear"/>
            <w:vAlign w:val="center"/>
          </w:tcPr>
          <w:p>
            <w:pPr>
              <w:pStyle w:val="TableContents"/>
              <w:bidi w:val="0"/>
              <w:spacing w:before="0" w:after="283"/>
              <w:jc w:val="right"/>
              <w:rPr/>
            </w:pPr>
            <w:r>
              <w:rPr/>
              <w:t>$</w:t>
            </w:r>
          </w:p>
        </w:tc>
        <w:tc>
          <w:tcPr>
            <w:tcW w:w="1066" w:type="dxa"/>
            <w:tcBorders/>
            <w:shd w:fill="B2B2B2" w:val="clear"/>
            <w:vAlign w:val="center"/>
          </w:tcPr>
          <w:p>
            <w:pPr>
              <w:pStyle w:val="TableContents"/>
              <w:bidi w:val="0"/>
              <w:spacing w:before="0" w:after="283"/>
              <w:jc w:val="right"/>
              <w:rPr/>
            </w:pPr>
            <w:r>
              <w:rPr/>
              <w:t>375,027</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226" w:type="dxa"/>
            <w:tcBorders/>
            <w:shd w:fill="B2B2B2" w:val="clear"/>
            <w:vAlign w:val="center"/>
          </w:tcPr>
          <w:p>
            <w:pPr>
              <w:pStyle w:val="TableContents"/>
              <w:bidi w:val="0"/>
              <w:spacing w:before="0" w:after="283"/>
              <w:jc w:val="right"/>
              <w:rPr/>
            </w:pPr>
            <w:r>
              <w:rPr/>
              <w:t>$</w:t>
            </w:r>
          </w:p>
        </w:tc>
        <w:tc>
          <w:tcPr>
            <w:tcW w:w="1066" w:type="dxa"/>
            <w:tcBorders/>
            <w:shd w:fill="B2B2B2" w:val="clear"/>
            <w:vAlign w:val="center"/>
          </w:tcPr>
          <w:p>
            <w:pPr>
              <w:pStyle w:val="TableContents"/>
              <w:bidi w:val="0"/>
              <w:spacing w:before="0" w:after="283"/>
              <w:jc w:val="right"/>
              <w:rPr/>
            </w:pPr>
            <w:r>
              <w:rPr/>
              <w:t>375,052</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226" w:type="dxa"/>
            <w:tcBorders/>
            <w:shd w:fill="B2B2B2" w:val="clear"/>
            <w:vAlign w:val="center"/>
          </w:tcPr>
          <w:p>
            <w:pPr>
              <w:pStyle w:val="TableContents"/>
              <w:bidi w:val="0"/>
              <w:spacing w:before="0" w:after="283"/>
              <w:jc w:val="right"/>
              <w:rPr/>
            </w:pPr>
            <w:r>
              <w:rPr/>
              <w:t>$</w:t>
            </w:r>
          </w:p>
        </w:tc>
        <w:tc>
          <w:tcPr>
            <w:tcW w:w="1066" w:type="dxa"/>
            <w:tcBorders/>
            <w:shd w:fill="B2B2B2" w:val="clear"/>
            <w:vAlign w:val="center"/>
          </w:tcPr>
          <w:p>
            <w:pPr>
              <w:pStyle w:val="TableContents"/>
              <w:bidi w:val="0"/>
              <w:spacing w:before="0" w:after="283"/>
              <w:jc w:val="right"/>
              <w:rPr/>
            </w:pPr>
            <w:r>
              <w:rPr/>
              <w:t>750,104</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20" w:type="dxa"/>
            <w:tcBorders/>
            <w:shd w:fill="B2B2B2" w:val="clear"/>
            <w:vAlign w:val="center"/>
          </w:tcPr>
          <w:p>
            <w:pPr>
              <w:pStyle w:val="TableContents"/>
              <w:bidi w:val="0"/>
              <w:spacing w:before="0" w:after="283"/>
              <w:jc w:val="left"/>
              <w:rPr/>
            </w:pPr>
            <w:r>
              <w:rPr/>
              <w:t>​</w:t>
            </w:r>
          </w:p>
        </w:tc>
        <w:tc>
          <w:tcPr>
            <w:tcW w:w="251" w:type="dxa"/>
            <w:tcBorders/>
            <w:shd w:fill="B2B2B2" w:val="clear"/>
            <w:vAlign w:val="center"/>
          </w:tcPr>
          <w:p>
            <w:pPr>
              <w:pStyle w:val="TableContents"/>
              <w:bidi w:val="0"/>
              <w:spacing w:before="0" w:after="283"/>
              <w:jc w:val="right"/>
              <w:rPr/>
            </w:pPr>
            <w:r>
              <w:rPr/>
              <w:t>$</w:t>
            </w:r>
          </w:p>
        </w:tc>
        <w:tc>
          <w:tcPr>
            <w:tcW w:w="1186" w:type="dxa"/>
            <w:tcBorders/>
            <w:shd w:fill="B2B2B2" w:val="clear"/>
            <w:vAlign w:val="center"/>
          </w:tcPr>
          <w:p>
            <w:pPr>
              <w:pStyle w:val="TableContents"/>
              <w:bidi w:val="0"/>
              <w:spacing w:before="0" w:after="283"/>
              <w:jc w:val="right"/>
              <w:rPr/>
            </w:pPr>
            <w:r>
              <w:rPr/>
              <w:t>1,500,183</w:t>
            </w:r>
          </w:p>
        </w:tc>
        <w:tc>
          <w:tcPr>
            <w:tcW w:w="120" w:type="dxa"/>
            <w:tcBorders/>
            <w:shd w:fill="B2B2B2" w:val="clear"/>
            <w:vAlign w:val="center"/>
          </w:tcPr>
          <w:p>
            <w:pPr>
              <w:pStyle w:val="TableContents"/>
              <w:bidi w:val="0"/>
              <w:spacing w:before="0" w:after="283"/>
              <w:jc w:val="left"/>
              <w:rPr/>
            </w:pPr>
            <w:r>
              <w:rPr/>
              <w:t>​</w:t>
            </w:r>
          </w:p>
        </w:tc>
        <w:tc>
          <w:tcPr>
            <w:tcW w:w="156" w:type="dxa"/>
            <w:tcBorders/>
            <w:shd w:fill="B2B2B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706" w:type="dxa"/>
            <w:tcBorders/>
            <w:vAlign w:val="center"/>
          </w:tcPr>
          <w:p>
            <w:pPr>
              <w:pStyle w:val="TableContents"/>
              <w:bidi w:val="0"/>
              <w:spacing w:before="0" w:after="283"/>
              <w:jc w:val="left"/>
              <w:rPr>
                <w:spacing w:val="-2"/>
              </w:rPr>
            </w:pPr>
            <w:r>
              <w:rPr>
                <w:spacing w:val="-2"/>
              </w:rPr>
              <w:t xml:space="preserve">Norman Taffe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250,042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250,125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500,115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51"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1,000,282</w:t>
            </w:r>
          </w:p>
        </w:tc>
        <w:tc>
          <w:tcPr>
            <w:tcW w:w="120"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shd w:fill="B2B2B2" w:val="clear"/>
            <w:vAlign w:val="center"/>
          </w:tcPr>
          <w:p>
            <w:pPr>
              <w:pStyle w:val="TableContents"/>
              <w:bidi w:val="0"/>
              <w:spacing w:before="0" w:after="283"/>
              <w:jc w:val="left"/>
              <w:rPr/>
            </w:pPr>
            <w:r>
              <w:rPr/>
              <w:t>​</w:t>
            </w:r>
          </w:p>
        </w:tc>
        <w:tc>
          <w:tcPr>
            <w:tcW w:w="1706" w:type="dxa"/>
            <w:tcBorders/>
            <w:shd w:fill="B2B2B2" w:val="clear"/>
            <w:vAlign w:val="center"/>
          </w:tcPr>
          <w:p>
            <w:pPr>
              <w:pStyle w:val="TableContents"/>
              <w:bidi w:val="0"/>
              <w:spacing w:before="0" w:after="283"/>
              <w:jc w:val="left"/>
              <w:rPr>
                <w:spacing w:val="-2"/>
              </w:rPr>
            </w:pPr>
            <w:r>
              <w:rPr>
                <w:spacing w:val="-2"/>
              </w:rPr>
              <w:t xml:space="preserve">Erik Wilde </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226" w:type="dxa"/>
            <w:tcBorders/>
            <w:shd w:fill="B2B2B2" w:val="clear"/>
            <w:vAlign w:val="center"/>
          </w:tcPr>
          <w:p>
            <w:pPr>
              <w:pStyle w:val="TableContents"/>
              <w:bidi w:val="0"/>
              <w:spacing w:before="0" w:after="283"/>
              <w:jc w:val="right"/>
              <w:rPr/>
            </w:pPr>
            <w:r>
              <w:rPr/>
              <w:t>$</w:t>
            </w:r>
          </w:p>
        </w:tc>
        <w:tc>
          <w:tcPr>
            <w:tcW w:w="1066" w:type="dxa"/>
            <w:tcBorders/>
            <w:shd w:fill="B2B2B2" w:val="clear"/>
            <w:vAlign w:val="center"/>
          </w:tcPr>
          <w:p>
            <w:pPr>
              <w:pStyle w:val="TableContents"/>
              <w:bidi w:val="0"/>
              <w:spacing w:before="0" w:after="283"/>
              <w:jc w:val="right"/>
              <w:rPr/>
            </w:pPr>
            <w:r>
              <w:rPr/>
              <w:t>250,042</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226" w:type="dxa"/>
            <w:tcBorders/>
            <w:shd w:fill="B2B2B2" w:val="clear"/>
            <w:vAlign w:val="center"/>
          </w:tcPr>
          <w:p>
            <w:pPr>
              <w:pStyle w:val="TableContents"/>
              <w:bidi w:val="0"/>
              <w:spacing w:before="0" w:after="283"/>
              <w:jc w:val="right"/>
              <w:rPr/>
            </w:pPr>
            <w:r>
              <w:rPr/>
              <w:t>$</w:t>
            </w:r>
          </w:p>
        </w:tc>
        <w:tc>
          <w:tcPr>
            <w:tcW w:w="1066" w:type="dxa"/>
            <w:tcBorders/>
            <w:shd w:fill="B2B2B2" w:val="clear"/>
            <w:vAlign w:val="center"/>
          </w:tcPr>
          <w:p>
            <w:pPr>
              <w:pStyle w:val="TableContents"/>
              <w:bidi w:val="0"/>
              <w:spacing w:before="0" w:after="283"/>
              <w:jc w:val="right"/>
              <w:rPr/>
            </w:pPr>
            <w:r>
              <w:rPr/>
              <w:t>250,125</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226" w:type="dxa"/>
            <w:tcBorders/>
            <w:shd w:fill="B2B2B2" w:val="clear"/>
            <w:vAlign w:val="center"/>
          </w:tcPr>
          <w:p>
            <w:pPr>
              <w:pStyle w:val="TableContents"/>
              <w:bidi w:val="0"/>
              <w:spacing w:before="0" w:after="283"/>
              <w:jc w:val="right"/>
              <w:rPr/>
            </w:pPr>
            <w:r>
              <w:rPr/>
              <w:t>$</w:t>
            </w:r>
          </w:p>
        </w:tc>
        <w:tc>
          <w:tcPr>
            <w:tcW w:w="1066" w:type="dxa"/>
            <w:tcBorders/>
            <w:shd w:fill="B2B2B2" w:val="clear"/>
            <w:vAlign w:val="center"/>
          </w:tcPr>
          <w:p>
            <w:pPr>
              <w:pStyle w:val="TableContents"/>
              <w:bidi w:val="0"/>
              <w:spacing w:before="0" w:after="283"/>
              <w:jc w:val="right"/>
              <w:rPr/>
            </w:pPr>
            <w:r>
              <w:rPr/>
              <w:t>500,115</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20" w:type="dxa"/>
            <w:tcBorders/>
            <w:shd w:fill="B2B2B2" w:val="clear"/>
            <w:vAlign w:val="center"/>
          </w:tcPr>
          <w:p>
            <w:pPr>
              <w:pStyle w:val="TableContents"/>
              <w:bidi w:val="0"/>
              <w:spacing w:before="0" w:after="283"/>
              <w:jc w:val="left"/>
              <w:rPr/>
            </w:pPr>
            <w:r>
              <w:rPr/>
              <w:t>​</w:t>
            </w:r>
          </w:p>
        </w:tc>
        <w:tc>
          <w:tcPr>
            <w:tcW w:w="251" w:type="dxa"/>
            <w:tcBorders/>
            <w:shd w:fill="B2B2B2" w:val="clear"/>
            <w:vAlign w:val="center"/>
          </w:tcPr>
          <w:p>
            <w:pPr>
              <w:pStyle w:val="TableContents"/>
              <w:bidi w:val="0"/>
              <w:spacing w:before="0" w:after="283"/>
              <w:jc w:val="right"/>
              <w:rPr/>
            </w:pPr>
            <w:r>
              <w:rPr/>
              <w:t>$</w:t>
            </w:r>
          </w:p>
        </w:tc>
        <w:tc>
          <w:tcPr>
            <w:tcW w:w="1186" w:type="dxa"/>
            <w:tcBorders/>
            <w:shd w:fill="B2B2B2" w:val="clear"/>
            <w:vAlign w:val="center"/>
          </w:tcPr>
          <w:p>
            <w:pPr>
              <w:pStyle w:val="TableContents"/>
              <w:bidi w:val="0"/>
              <w:spacing w:before="0" w:after="283"/>
              <w:jc w:val="right"/>
              <w:rPr/>
            </w:pPr>
            <w:r>
              <w:rPr/>
              <w:t>1,000,282</w:t>
            </w:r>
          </w:p>
        </w:tc>
        <w:tc>
          <w:tcPr>
            <w:tcW w:w="120" w:type="dxa"/>
            <w:tcBorders/>
            <w:shd w:fill="B2B2B2" w:val="clear"/>
            <w:vAlign w:val="center"/>
          </w:tcPr>
          <w:p>
            <w:pPr>
              <w:pStyle w:val="TableContents"/>
              <w:bidi w:val="0"/>
              <w:spacing w:before="0" w:after="283"/>
              <w:jc w:val="left"/>
              <w:rPr/>
            </w:pPr>
            <w:r>
              <w:rPr/>
              <w:t>​</w:t>
            </w:r>
          </w:p>
        </w:tc>
        <w:tc>
          <w:tcPr>
            <w:tcW w:w="156" w:type="dxa"/>
            <w:tcBorders/>
            <w:shd w:fill="B2B2B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706" w:type="dxa"/>
            <w:tcBorders/>
            <w:vAlign w:val="center"/>
          </w:tcPr>
          <w:p>
            <w:pPr>
              <w:pStyle w:val="TableContents"/>
              <w:bidi w:val="0"/>
              <w:spacing w:before="0" w:after="283"/>
              <w:jc w:val="left"/>
              <w:rPr>
                <w:spacing w:val="-2"/>
              </w:rPr>
            </w:pPr>
            <w:r>
              <w:rPr>
                <w:spacing w:val="-2"/>
              </w:rPr>
              <w:t xml:space="preserve">Raj Kanuru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250,042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250,125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500,115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51"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1,000,282</w:t>
            </w:r>
          </w:p>
        </w:tc>
        <w:tc>
          <w:tcPr>
            <w:tcW w:w="120"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60" w:before="238" w:after="283"/>
        <w:ind w:left="1140" w:right="0" w:hanging="0"/>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2"/>
          <w:sz w:val="22"/>
        </w:rPr>
        <w:t>2023-2025 Performance Share Results — Consolidated</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The NEOs held performance shares granted in 2023 that could vest based on results during the three-year performance period covering 2023 to 2025. This grant was intended to encourage revenue growth measured in compound annual growth rate (“CAGR”), Adjusted EBITDA margin, and Free Cash Flow (“FCF”) Conversion for 2023 to 2025. Specifically, if the revenue CAGR, </w:t>
      </w:r>
    </w:p>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269"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88" descr=""/>
                          <pic:cNvPicPr>
                            <a:picLocks noChangeAspect="1" noChangeArrowheads="1"/>
                          </pic:cNvPicPr>
                        </pic:nvPicPr>
                        <pic:blipFill>
                          <a:blip r:embed="rId100"/>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40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rFonts w:ascii="Arial;Helvetica;sans-serif" w:hAnsi="Arial;Helvetica;sans-serif"/>
          <w:b w:val="false"/>
          <w:i w:val="false"/>
          <w:caps w:val="false"/>
          <w:smallCaps w:val="false"/>
          <w:color w:val="FF6A00"/>
          <w:sz w:val="22"/>
        </w:rPr>
      </w:pPr>
      <w:r>
        <w:rPr>
          <w:rFonts w:ascii="Arial;Helvetica;sans-serif" w:hAnsi="Arial;Helvetica;sans-serif"/>
          <w:b w:val="false"/>
          <w:i w:val="false"/>
          <w:caps/>
          <w:color w:val="FF6A00"/>
          <w:spacing w:val="-2"/>
          <w:sz w:val="22"/>
        </w:rPr>
        <w:t>Executive Compensation</w:t>
      </w:r>
      <w:r>
        <w:rPr>
          <w:rFonts w:ascii="Arial;Helvetica;sans-serif" w:hAnsi="Arial;Helvetica;sans-serif"/>
          <w:b w:val="false"/>
          <w:i w:val="false"/>
          <w:caps w:val="false"/>
          <w:smallCaps w:val="false"/>
          <w:color w:val="FF6A00"/>
          <w:spacing w:val="-2"/>
          <w:sz w:val="22"/>
        </w:rPr>
        <w:t xml:space="preserve"> </w:t>
      </w:r>
    </w:p>
    <w:p>
      <w:pPr>
        <w:pStyle w:val="TextBody"/>
        <w:bidi w:val="0"/>
        <w:spacing w:lineRule="atLeast" w:line="250" w:before="480" w:after="283"/>
        <w:ind w:left="11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average Adjusted EBITDA margin, and FCF Conversion for the period were achieved within the defined range on the performance matrix, the NEOs would earn between 50% and 200% of their target performance share awards. The revenue CAGR, Adjusted EBITDA margin, and FCF Conversion targets were set at levels, given business conditions at the time the awards were granted, that were designed to be challenging yet achievable with strong management performance. At the end of the three-year period, the performance share targets were measured against Generac’s actual financial results, excluding any acquisitions during the period.</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For the three-year period from 2023 to 2025, the Committee determined that the revenue CAGR and average adjusted EBITDA margin did not achieve threshold levels, while FCF Conversion exceeded the maximum level, resulting in vesting of the awards at 66.7% of Target. The Threshold, Target, and Maximum financial performance metrics and the actual results for the 2023 to 2025 performance awards are reflected in the table below:</w:t>
      </w:r>
      <w:r>
        <w:rPr>
          <w:rFonts w:ascii="Arial;Helvetica;sans-serif" w:hAnsi="Arial;Helvetica;sans-serif"/>
          <w:b w:val="false"/>
          <w:i w:val="false"/>
          <w:caps w:val="false"/>
          <w:smallCaps w:val="false"/>
          <w:color w:val="000000"/>
          <w:spacing w:val="4"/>
          <w:sz w:val="22"/>
        </w:rPr>
        <w:t xml:space="preserve"> </w:t>
      </w:r>
    </w:p>
    <w:tbl>
      <w:tblPr>
        <w:tblW w:w="9065" w:type="dxa"/>
        <w:jc w:val="left"/>
        <w:tblInd w:w="1140" w:type="dxa"/>
        <w:tblLayout w:type="fixed"/>
        <w:tblCellMar>
          <w:top w:w="0" w:type="dxa"/>
          <w:left w:w="0" w:type="dxa"/>
          <w:bottom w:w="0" w:type="dxa"/>
          <w:right w:w="0" w:type="dxa"/>
        </w:tblCellMar>
      </w:tblPr>
      <w:tblGrid>
        <w:gridCol w:w="124"/>
        <w:gridCol w:w="1622"/>
        <w:gridCol w:w="109"/>
        <w:gridCol w:w="109"/>
        <w:gridCol w:w="109"/>
        <w:gridCol w:w="109"/>
        <w:gridCol w:w="473"/>
        <w:gridCol w:w="109"/>
        <w:gridCol w:w="109"/>
        <w:gridCol w:w="109"/>
        <w:gridCol w:w="134"/>
        <w:gridCol w:w="134"/>
        <w:gridCol w:w="660"/>
        <w:gridCol w:w="135"/>
        <w:gridCol w:w="109"/>
        <w:gridCol w:w="109"/>
        <w:gridCol w:w="109"/>
        <w:gridCol w:w="109"/>
        <w:gridCol w:w="560"/>
        <w:gridCol w:w="109"/>
        <w:gridCol w:w="109"/>
        <w:gridCol w:w="109"/>
        <w:gridCol w:w="109"/>
        <w:gridCol w:w="109"/>
        <w:gridCol w:w="759"/>
        <w:gridCol w:w="109"/>
        <w:gridCol w:w="109"/>
        <w:gridCol w:w="109"/>
        <w:gridCol w:w="120"/>
        <w:gridCol w:w="120"/>
        <w:gridCol w:w="769"/>
        <w:gridCol w:w="120"/>
        <w:gridCol w:w="109"/>
        <w:gridCol w:w="109"/>
        <w:gridCol w:w="109"/>
        <w:gridCol w:w="109"/>
        <w:gridCol w:w="560"/>
        <w:gridCol w:w="109"/>
        <w:gridCol w:w="159"/>
      </w:tblGrid>
      <w:tr>
        <w:trPr/>
        <w:tc>
          <w:tcPr>
            <w:tcW w:w="124" w:type="dxa"/>
            <w:tcBorders/>
            <w:shd w:fill="FF6A00" w:val="clear"/>
            <w:vAlign w:val="center"/>
          </w:tcPr>
          <w:p>
            <w:pPr>
              <w:pStyle w:val="TableContents"/>
              <w:bidi w:val="0"/>
              <w:spacing w:before="0" w:after="283"/>
              <w:jc w:val="left"/>
              <w:rPr/>
            </w:pPr>
            <w:r>
              <w:rPr/>
              <w:t>​</w:t>
            </w:r>
          </w:p>
        </w:tc>
        <w:tc>
          <w:tcPr>
            <w:tcW w:w="1622" w:type="dxa"/>
            <w:tcBorders/>
            <w:shd w:fill="FF6A00" w:val="clear"/>
            <w:vAlign w:val="center"/>
          </w:tcPr>
          <w:p>
            <w:pPr>
              <w:pStyle w:val="TableContents"/>
              <w:bidi w:val="0"/>
              <w:spacing w:before="0" w:after="0"/>
              <w:jc w:val="left"/>
              <w:rPr>
                <w:spacing w:val="-2"/>
              </w:rPr>
            </w:pPr>
            <w:r>
              <w:rPr>
                <w:spacing w:val="-2"/>
              </w:rPr>
              <w:t xml:space="preserve">Performance Measure </w:t>
            </w:r>
          </w:p>
        </w:tc>
        <w:tc>
          <w:tcPr>
            <w:tcW w:w="109"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800" w:type="dxa"/>
            <w:gridSpan w:val="4"/>
            <w:tcBorders/>
            <w:shd w:fill="FF6A00" w:val="clear"/>
            <w:vAlign w:val="center"/>
          </w:tcPr>
          <w:p>
            <w:pPr>
              <w:pStyle w:val="TableContents"/>
              <w:bidi w:val="0"/>
              <w:spacing w:before="0" w:after="0"/>
              <w:jc w:val="center"/>
              <w:rPr>
                <w:spacing w:val="-2"/>
              </w:rPr>
            </w:pPr>
            <w:r>
              <w:rPr>
                <w:spacing w:val="-2"/>
              </w:rPr>
              <w:t xml:space="preserve">Weight </w:t>
            </w:r>
          </w:p>
        </w:tc>
        <w:tc>
          <w:tcPr>
            <w:tcW w:w="109"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063" w:type="dxa"/>
            <w:gridSpan w:val="4"/>
            <w:tcBorders/>
            <w:shd w:fill="FF6A00" w:val="clear"/>
            <w:vAlign w:val="center"/>
          </w:tcPr>
          <w:p>
            <w:pPr>
              <w:pStyle w:val="TableContents"/>
              <w:bidi w:val="0"/>
              <w:spacing w:before="0" w:after="0"/>
              <w:jc w:val="center"/>
              <w:rPr>
                <w:spacing w:val="-2"/>
              </w:rPr>
            </w:pPr>
            <w:r>
              <w:rPr>
                <w:spacing w:val="-2"/>
              </w:rPr>
              <w:t xml:space="preserve">Threshold </w:t>
            </w:r>
          </w:p>
        </w:tc>
        <w:tc>
          <w:tcPr>
            <w:tcW w:w="109"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887" w:type="dxa"/>
            <w:gridSpan w:val="4"/>
            <w:tcBorders/>
            <w:shd w:fill="FF6A00" w:val="clear"/>
            <w:vAlign w:val="center"/>
          </w:tcPr>
          <w:p>
            <w:pPr>
              <w:pStyle w:val="TableContents"/>
              <w:bidi w:val="0"/>
              <w:spacing w:before="0" w:after="0"/>
              <w:jc w:val="center"/>
              <w:rPr>
                <w:spacing w:val="-2"/>
              </w:rPr>
            </w:pPr>
            <w:r>
              <w:rPr>
                <w:spacing w:val="-2"/>
              </w:rPr>
              <w:t xml:space="preserve">Target </w:t>
            </w:r>
          </w:p>
        </w:tc>
        <w:tc>
          <w:tcPr>
            <w:tcW w:w="109"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086" w:type="dxa"/>
            <w:gridSpan w:val="4"/>
            <w:tcBorders/>
            <w:shd w:fill="FF6A00" w:val="clear"/>
            <w:vAlign w:val="center"/>
          </w:tcPr>
          <w:p>
            <w:pPr>
              <w:pStyle w:val="TableContents"/>
              <w:bidi w:val="0"/>
              <w:spacing w:before="0" w:after="0"/>
              <w:jc w:val="center"/>
              <w:rPr>
                <w:spacing w:val="-2"/>
              </w:rPr>
            </w:pPr>
            <w:r>
              <w:rPr>
                <w:spacing w:val="-2"/>
              </w:rPr>
              <w:t xml:space="preserve">Maximum </w:t>
            </w:r>
          </w:p>
        </w:tc>
        <w:tc>
          <w:tcPr>
            <w:tcW w:w="109"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129" w:type="dxa"/>
            <w:gridSpan w:val="4"/>
            <w:tcBorders/>
            <w:shd w:fill="FF6A00" w:val="clear"/>
            <w:vAlign w:val="center"/>
          </w:tcPr>
          <w:p>
            <w:pPr>
              <w:pStyle w:val="TableContents"/>
              <w:bidi w:val="0"/>
              <w:spacing w:before="0" w:after="0"/>
              <w:jc w:val="center"/>
              <w:rPr>
                <w:spacing w:val="-2"/>
              </w:rPr>
            </w:pPr>
            <w:r>
              <w:rPr>
                <w:spacing w:val="-2"/>
              </w:rPr>
              <w:t xml:space="preserve">Actual 2023-2025 </w:t>
              <w:br/>
              <w:t xml:space="preserve">Cycle Results </w:t>
            </w:r>
          </w:p>
        </w:tc>
        <w:tc>
          <w:tcPr>
            <w:tcW w:w="109"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887" w:type="dxa"/>
            <w:gridSpan w:val="4"/>
            <w:tcBorders/>
            <w:shd w:fill="FF6A00" w:val="clear"/>
            <w:vAlign w:val="center"/>
          </w:tcPr>
          <w:p>
            <w:pPr>
              <w:pStyle w:val="TableContents"/>
              <w:bidi w:val="0"/>
              <w:spacing w:before="0" w:after="0"/>
              <w:jc w:val="center"/>
              <w:rPr>
                <w:spacing w:val="-2"/>
              </w:rPr>
            </w:pPr>
            <w:r>
              <w:rPr>
                <w:spacing w:val="-2"/>
              </w:rPr>
              <w:t xml:space="preserve">Final </w:t>
              <w:br/>
              <w:t xml:space="preserve">Vesting </w:t>
            </w:r>
          </w:p>
        </w:tc>
        <w:tc>
          <w:tcPr>
            <w:tcW w:w="159" w:type="dxa"/>
            <w:tcBorders/>
            <w:shd w:fill="FF6A00"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622" w:type="dxa"/>
            <w:tcBorders/>
            <w:vAlign w:val="center"/>
          </w:tcPr>
          <w:p>
            <w:pPr>
              <w:pStyle w:val="TableContents"/>
              <w:bidi w:val="0"/>
              <w:spacing w:before="0" w:after="0"/>
              <w:jc w:val="left"/>
              <w:rPr>
                <w:b/>
              </w:rPr>
            </w:pPr>
            <w:r>
              <w:rPr>
                <w:b/>
                <w:spacing w:val="-2"/>
              </w:rPr>
              <w:t>Revenue Growth (CAGR)</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73" w:type="dxa"/>
            <w:tcBorders/>
            <w:vAlign w:val="center"/>
          </w:tcPr>
          <w:p>
            <w:pPr>
              <w:pStyle w:val="TableContents"/>
              <w:bidi w:val="0"/>
              <w:spacing w:before="0" w:after="283"/>
              <w:jc w:val="right"/>
              <w:rPr/>
            </w:pPr>
            <w:r>
              <w:rPr/>
              <w:t>33%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4" w:type="dxa"/>
            <w:tcBorders/>
            <w:vAlign w:val="center"/>
          </w:tcPr>
          <w:p>
            <w:pPr>
              <w:pStyle w:val="TableContents"/>
              <w:bidi w:val="0"/>
              <w:spacing w:before="0" w:after="283"/>
              <w:jc w:val="left"/>
              <w:rPr/>
            </w:pPr>
            <w:r>
              <w:rPr/>
              <w:t>​</w:t>
            </w:r>
          </w:p>
        </w:tc>
        <w:tc>
          <w:tcPr>
            <w:tcW w:w="134" w:type="dxa"/>
            <w:tcBorders/>
            <w:vAlign w:val="center"/>
          </w:tcPr>
          <w:p>
            <w:pPr>
              <w:pStyle w:val="TableContents"/>
              <w:bidi w:val="0"/>
              <w:spacing w:before="0" w:after="283"/>
              <w:jc w:val="right"/>
              <w:rPr/>
            </w:pPr>
            <w:r>
              <w:rPr/>
              <w:t>​</w:t>
            </w:r>
          </w:p>
        </w:tc>
        <w:tc>
          <w:tcPr>
            <w:tcW w:w="660" w:type="dxa"/>
            <w:tcBorders/>
            <w:vAlign w:val="center"/>
          </w:tcPr>
          <w:p>
            <w:pPr>
              <w:pStyle w:val="TableContents"/>
              <w:bidi w:val="0"/>
              <w:spacing w:before="0" w:after="283"/>
              <w:jc w:val="right"/>
              <w:rPr/>
            </w:pPr>
            <w:r>
              <w:rPr/>
              <w:t>6.0%</w:t>
            </w:r>
          </w:p>
        </w:tc>
        <w:tc>
          <w:tcPr>
            <w:tcW w:w="13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60" w:type="dxa"/>
            <w:tcBorders/>
            <w:vAlign w:val="center"/>
          </w:tcPr>
          <w:p>
            <w:pPr>
              <w:pStyle w:val="TableContents"/>
              <w:bidi w:val="0"/>
              <w:spacing w:before="0" w:after="283"/>
              <w:jc w:val="right"/>
              <w:rPr/>
            </w:pPr>
            <w:r>
              <w:rPr/>
              <w:t>9.0%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59" w:type="dxa"/>
            <w:tcBorders/>
            <w:vAlign w:val="center"/>
          </w:tcPr>
          <w:p>
            <w:pPr>
              <w:pStyle w:val="TableContents"/>
              <w:bidi w:val="0"/>
              <w:spacing w:before="0" w:after="283"/>
              <w:jc w:val="right"/>
              <w:rPr/>
            </w:pPr>
            <w:r>
              <w:rPr/>
              <w:t>12.0%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right"/>
              <w:rPr/>
            </w:pPr>
            <w:r>
              <w:rPr/>
              <w:t>​</w:t>
            </w:r>
          </w:p>
        </w:tc>
        <w:tc>
          <w:tcPr>
            <w:tcW w:w="769" w:type="dxa"/>
            <w:tcBorders/>
            <w:vAlign w:val="center"/>
          </w:tcPr>
          <w:p>
            <w:pPr>
              <w:pStyle w:val="TableContents"/>
              <w:bidi w:val="0"/>
              <w:spacing w:before="0" w:after="283"/>
              <w:jc w:val="right"/>
              <w:rPr/>
            </w:pPr>
            <w:r>
              <w:rPr/>
              <w:t>-2.7%</w:t>
            </w:r>
          </w:p>
        </w:tc>
        <w:tc>
          <w:tcPr>
            <w:tcW w:w="12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right"/>
              <w:rPr/>
            </w:pPr>
            <w:r>
              <w:rPr/>
              <w:t>​</w:t>
            </w:r>
          </w:p>
        </w:tc>
        <w:tc>
          <w:tcPr>
            <w:tcW w:w="560" w:type="dxa"/>
            <w:tcBorders/>
            <w:shd w:fill="B2B2B2" w:val="clear"/>
            <w:vAlign w:val="center"/>
          </w:tcPr>
          <w:p>
            <w:pPr>
              <w:pStyle w:val="TableContents"/>
              <w:bidi w:val="0"/>
              <w:spacing w:before="0" w:after="283"/>
              <w:jc w:val="right"/>
              <w:rPr/>
            </w:pPr>
            <w:r>
              <w:rPr/>
              <w:t>​</w:t>
            </w:r>
          </w:p>
        </w:tc>
        <w:tc>
          <w:tcPr>
            <w:tcW w:w="109" w:type="dxa"/>
            <w:tcBorders/>
            <w:shd w:fill="B2B2B2" w:val="clear"/>
            <w:vAlign w:val="center"/>
          </w:tcPr>
          <w:p>
            <w:pPr>
              <w:pStyle w:val="TableContents"/>
              <w:bidi w:val="0"/>
              <w:spacing w:before="0" w:after="283"/>
              <w:jc w:val="left"/>
              <w:rPr/>
            </w:pPr>
            <w:r>
              <w:rPr/>
              <w:t>​</w:t>
            </w:r>
          </w:p>
        </w:tc>
        <w:tc>
          <w:tcPr>
            <w:tcW w:w="159" w:type="dxa"/>
            <w:tcBorders/>
            <w:shd w:fill="B2B2B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622" w:type="dxa"/>
            <w:tcBorders/>
            <w:vAlign w:val="center"/>
          </w:tcPr>
          <w:p>
            <w:pPr>
              <w:pStyle w:val="TableContents"/>
              <w:bidi w:val="0"/>
              <w:spacing w:before="0" w:after="0"/>
              <w:jc w:val="left"/>
              <w:rPr>
                <w:b/>
              </w:rPr>
            </w:pPr>
            <w:r>
              <w:rPr>
                <w:b/>
                <w:spacing w:val="-2"/>
              </w:rPr>
              <w:t>Adjusted EBITDA Margin %</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73" w:type="dxa"/>
            <w:tcBorders/>
            <w:vAlign w:val="center"/>
          </w:tcPr>
          <w:p>
            <w:pPr>
              <w:pStyle w:val="TableContents"/>
              <w:bidi w:val="0"/>
              <w:spacing w:before="0" w:after="283"/>
              <w:jc w:val="right"/>
              <w:rPr/>
            </w:pPr>
            <w:r>
              <w:rPr/>
              <w:t>33%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4" w:type="dxa"/>
            <w:tcBorders/>
            <w:vAlign w:val="center"/>
          </w:tcPr>
          <w:p>
            <w:pPr>
              <w:pStyle w:val="TableContents"/>
              <w:bidi w:val="0"/>
              <w:spacing w:before="0" w:after="283"/>
              <w:jc w:val="left"/>
              <w:rPr/>
            </w:pPr>
            <w:r>
              <w:rPr/>
              <w:t>​</w:t>
            </w:r>
          </w:p>
        </w:tc>
        <w:tc>
          <w:tcPr>
            <w:tcW w:w="134" w:type="dxa"/>
            <w:tcBorders/>
            <w:vAlign w:val="center"/>
          </w:tcPr>
          <w:p>
            <w:pPr>
              <w:pStyle w:val="TableContents"/>
              <w:bidi w:val="0"/>
              <w:spacing w:before="0" w:after="283"/>
              <w:jc w:val="right"/>
              <w:rPr/>
            </w:pPr>
            <w:r>
              <w:rPr/>
              <w:t>​</w:t>
            </w:r>
          </w:p>
        </w:tc>
        <w:tc>
          <w:tcPr>
            <w:tcW w:w="660" w:type="dxa"/>
            <w:tcBorders/>
            <w:vAlign w:val="center"/>
          </w:tcPr>
          <w:p>
            <w:pPr>
              <w:pStyle w:val="TableContents"/>
              <w:bidi w:val="0"/>
              <w:spacing w:before="0" w:after="283"/>
              <w:jc w:val="right"/>
              <w:rPr/>
            </w:pPr>
            <w:r>
              <w:rPr/>
              <w:t>19.0%</w:t>
            </w:r>
          </w:p>
        </w:tc>
        <w:tc>
          <w:tcPr>
            <w:tcW w:w="13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60" w:type="dxa"/>
            <w:tcBorders/>
            <w:vAlign w:val="center"/>
          </w:tcPr>
          <w:p>
            <w:pPr>
              <w:pStyle w:val="TableContents"/>
              <w:bidi w:val="0"/>
              <w:spacing w:before="0" w:after="283"/>
              <w:jc w:val="right"/>
              <w:rPr/>
            </w:pPr>
            <w:r>
              <w:rPr/>
              <w:t>20.5%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59" w:type="dxa"/>
            <w:tcBorders/>
            <w:vAlign w:val="center"/>
          </w:tcPr>
          <w:p>
            <w:pPr>
              <w:pStyle w:val="TableContents"/>
              <w:bidi w:val="0"/>
              <w:spacing w:before="0" w:after="283"/>
              <w:jc w:val="right"/>
              <w:rPr/>
            </w:pPr>
            <w:r>
              <w:rPr/>
              <w:t>22.0%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right"/>
              <w:rPr/>
            </w:pPr>
            <w:r>
              <w:rPr/>
              <w:t>​</w:t>
            </w:r>
          </w:p>
        </w:tc>
        <w:tc>
          <w:tcPr>
            <w:tcW w:w="769" w:type="dxa"/>
            <w:tcBorders/>
            <w:vAlign w:val="center"/>
          </w:tcPr>
          <w:p>
            <w:pPr>
              <w:pStyle w:val="TableContents"/>
              <w:bidi w:val="0"/>
              <w:spacing w:before="0" w:after="283"/>
              <w:jc w:val="right"/>
              <w:rPr/>
            </w:pPr>
            <w:r>
              <w:rPr/>
              <w:t>17.1%</w:t>
            </w:r>
          </w:p>
        </w:tc>
        <w:tc>
          <w:tcPr>
            <w:tcW w:w="12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right"/>
              <w:rPr/>
            </w:pPr>
            <w:r>
              <w:rPr/>
              <w:t>​</w:t>
            </w:r>
          </w:p>
        </w:tc>
        <w:tc>
          <w:tcPr>
            <w:tcW w:w="560" w:type="dxa"/>
            <w:tcBorders/>
            <w:shd w:fill="B2B2B2" w:val="clear"/>
            <w:vAlign w:val="center"/>
          </w:tcPr>
          <w:p>
            <w:pPr>
              <w:pStyle w:val="TableContents"/>
              <w:bidi w:val="0"/>
              <w:spacing w:before="0" w:after="283"/>
              <w:jc w:val="right"/>
              <w:rPr/>
            </w:pPr>
            <w:r>
              <w:rPr/>
              <w:t>66.7%</w:t>
            </w:r>
          </w:p>
        </w:tc>
        <w:tc>
          <w:tcPr>
            <w:tcW w:w="109" w:type="dxa"/>
            <w:tcBorders/>
            <w:shd w:fill="B2B2B2" w:val="clear"/>
            <w:vAlign w:val="center"/>
          </w:tcPr>
          <w:p>
            <w:pPr>
              <w:pStyle w:val="TableContents"/>
              <w:bidi w:val="0"/>
              <w:spacing w:before="0" w:after="283"/>
              <w:jc w:val="left"/>
              <w:rPr/>
            </w:pPr>
            <w:r>
              <w:rPr/>
              <w:t>​</w:t>
            </w:r>
          </w:p>
        </w:tc>
        <w:tc>
          <w:tcPr>
            <w:tcW w:w="159" w:type="dxa"/>
            <w:tcBorders/>
            <w:shd w:fill="B2B2B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622" w:type="dxa"/>
            <w:tcBorders/>
            <w:vAlign w:val="center"/>
          </w:tcPr>
          <w:p>
            <w:pPr>
              <w:pStyle w:val="TableContents"/>
              <w:bidi w:val="0"/>
              <w:spacing w:before="0" w:after="0"/>
              <w:jc w:val="left"/>
              <w:rPr>
                <w:b/>
              </w:rPr>
            </w:pPr>
            <w:r>
              <w:rPr>
                <w:b/>
                <w:spacing w:val="-2"/>
              </w:rPr>
              <w:t>FCF Conversion %</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73" w:type="dxa"/>
            <w:tcBorders/>
            <w:vAlign w:val="center"/>
          </w:tcPr>
          <w:p>
            <w:pPr>
              <w:pStyle w:val="TableContents"/>
              <w:bidi w:val="0"/>
              <w:spacing w:before="0" w:after="283"/>
              <w:jc w:val="right"/>
              <w:rPr/>
            </w:pPr>
            <w:r>
              <w:rPr/>
              <w:t>33%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4" w:type="dxa"/>
            <w:tcBorders/>
            <w:vAlign w:val="center"/>
          </w:tcPr>
          <w:p>
            <w:pPr>
              <w:pStyle w:val="TableContents"/>
              <w:bidi w:val="0"/>
              <w:spacing w:before="0" w:after="283"/>
              <w:jc w:val="left"/>
              <w:rPr/>
            </w:pPr>
            <w:r>
              <w:rPr/>
              <w:t>​</w:t>
            </w:r>
          </w:p>
        </w:tc>
        <w:tc>
          <w:tcPr>
            <w:tcW w:w="134" w:type="dxa"/>
            <w:tcBorders/>
            <w:vAlign w:val="center"/>
          </w:tcPr>
          <w:p>
            <w:pPr>
              <w:pStyle w:val="TableContents"/>
              <w:bidi w:val="0"/>
              <w:spacing w:before="0" w:after="283"/>
              <w:jc w:val="right"/>
              <w:rPr/>
            </w:pPr>
            <w:r>
              <w:rPr/>
              <w:t>​</w:t>
            </w:r>
          </w:p>
        </w:tc>
        <w:tc>
          <w:tcPr>
            <w:tcW w:w="660" w:type="dxa"/>
            <w:tcBorders/>
            <w:vAlign w:val="center"/>
          </w:tcPr>
          <w:p>
            <w:pPr>
              <w:pStyle w:val="TableContents"/>
              <w:bidi w:val="0"/>
              <w:spacing w:before="0" w:after="283"/>
              <w:jc w:val="right"/>
              <w:rPr/>
            </w:pPr>
            <w:r>
              <w:rPr/>
              <w:t>90.0%</w:t>
            </w:r>
          </w:p>
        </w:tc>
        <w:tc>
          <w:tcPr>
            <w:tcW w:w="13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60" w:type="dxa"/>
            <w:tcBorders/>
            <w:vAlign w:val="center"/>
          </w:tcPr>
          <w:p>
            <w:pPr>
              <w:pStyle w:val="TableContents"/>
              <w:bidi w:val="0"/>
              <w:spacing w:before="0" w:after="283"/>
              <w:jc w:val="right"/>
              <w:rPr/>
            </w:pPr>
            <w:r>
              <w:rPr/>
              <w:t>95.0%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759" w:type="dxa"/>
            <w:tcBorders/>
            <w:vAlign w:val="center"/>
          </w:tcPr>
          <w:p>
            <w:pPr>
              <w:pStyle w:val="TableContents"/>
              <w:bidi w:val="0"/>
              <w:spacing w:before="0" w:after="283"/>
              <w:jc w:val="right"/>
              <w:rPr/>
            </w:pPr>
            <w:r>
              <w:rPr/>
              <w:t>100.0%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right"/>
              <w:rPr/>
            </w:pPr>
            <w:r>
              <w:rPr/>
              <w:t>​</w:t>
            </w:r>
          </w:p>
        </w:tc>
        <w:tc>
          <w:tcPr>
            <w:tcW w:w="769" w:type="dxa"/>
            <w:tcBorders/>
            <w:vAlign w:val="center"/>
          </w:tcPr>
          <w:p>
            <w:pPr>
              <w:pStyle w:val="TableContents"/>
              <w:bidi w:val="0"/>
              <w:spacing w:before="0" w:after="283"/>
              <w:jc w:val="right"/>
              <w:rPr/>
            </w:pPr>
            <w:r>
              <w:rPr/>
              <w:t>110.3%</w:t>
            </w:r>
          </w:p>
        </w:tc>
        <w:tc>
          <w:tcPr>
            <w:tcW w:w="12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right"/>
              <w:rPr/>
            </w:pPr>
            <w:r>
              <w:rPr/>
              <w:t>​</w:t>
            </w:r>
          </w:p>
        </w:tc>
        <w:tc>
          <w:tcPr>
            <w:tcW w:w="560" w:type="dxa"/>
            <w:tcBorders/>
            <w:shd w:fill="B2B2B2" w:val="clear"/>
            <w:vAlign w:val="center"/>
          </w:tcPr>
          <w:p>
            <w:pPr>
              <w:pStyle w:val="TableContents"/>
              <w:bidi w:val="0"/>
              <w:spacing w:before="0" w:after="283"/>
              <w:jc w:val="right"/>
              <w:rPr/>
            </w:pPr>
            <w:r>
              <w:rPr/>
              <w:t>​</w:t>
            </w:r>
          </w:p>
        </w:tc>
        <w:tc>
          <w:tcPr>
            <w:tcW w:w="109" w:type="dxa"/>
            <w:tcBorders/>
            <w:shd w:fill="B2B2B2" w:val="clear"/>
            <w:vAlign w:val="center"/>
          </w:tcPr>
          <w:p>
            <w:pPr>
              <w:pStyle w:val="TableContents"/>
              <w:bidi w:val="0"/>
              <w:spacing w:before="0" w:after="283"/>
              <w:jc w:val="left"/>
              <w:rPr/>
            </w:pPr>
            <w:r>
              <w:rPr/>
              <w:t>​</w:t>
            </w:r>
          </w:p>
        </w:tc>
        <w:tc>
          <w:tcPr>
            <w:tcW w:w="159" w:type="dxa"/>
            <w:tcBorders/>
            <w:shd w:fill="B2B2B2" w:val="clear"/>
            <w:vAlign w:val="center"/>
          </w:tcPr>
          <w:p>
            <w:pPr>
              <w:pStyle w:val="TableContents"/>
              <w:bidi w:val="0"/>
              <w:spacing w:before="0" w:after="283"/>
              <w:jc w:val="left"/>
              <w:rPr/>
            </w:pPr>
            <w:r>
              <w:rPr/>
              <w:t>​</w:t>
            </w:r>
          </w:p>
        </w:tc>
      </w:tr>
    </w:tbl>
    <w:p>
      <w:pPr>
        <w:pStyle w:val="TextBody"/>
        <w:bidi w:val="0"/>
        <w:spacing w:lineRule="atLeast" w:line="260" w:before="240" w:after="283"/>
        <w:ind w:left="1140" w:right="0" w:hanging="0"/>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2"/>
          <w:sz w:val="22"/>
        </w:rPr>
        <w:t>2023-2025 Performance Share Results — Energy Technology</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In September 2022, the Committee granted Mr. Taffe a supplemental performance share award with a target value of $1,500,000, designed to vest based on business group performance for the period January 1, 2023 through December 31, 2025. The performance metrics for this award are financial and operational goals associated with the Company’s Energy Technology business group. Consistent with our longstanding practice, performance goals and results at the business group level are considered highly sensitive competitive information and therefore are not disclosed. All other terms of this supplemental award are consistent with the performance share awards granted to other executives in 2023. The Committee approved this supplemental grant to motivate and retain Mr. Taffe during a period of significant strategic execution and to further link compensation to long-term value creation.</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For the three-year period from 2023 to 2025, the Committee determined that the revenue CAGR and average adjusted EBITDA margin did not achieve threshold levels, and Inventory dollars at December 31, 2025 results were between the threshold and target levels. The actual results for the 2023 to 2025 performance awards granted to Mr. Taffe are reflected in the table below:</w:t>
      </w:r>
      <w:r>
        <w:rPr>
          <w:rFonts w:ascii="Arial;Helvetica;sans-serif" w:hAnsi="Arial;Helvetica;sans-serif"/>
          <w:b w:val="false"/>
          <w:i w:val="false"/>
          <w:caps w:val="false"/>
          <w:smallCaps w:val="false"/>
          <w:color w:val="000000"/>
          <w:spacing w:val="4"/>
          <w:sz w:val="22"/>
        </w:rPr>
        <w:t xml:space="preserve"> </w:t>
      </w:r>
    </w:p>
    <w:tbl>
      <w:tblPr>
        <w:tblW w:w="9065" w:type="dxa"/>
        <w:jc w:val="left"/>
        <w:tblInd w:w="1140" w:type="dxa"/>
        <w:tblLayout w:type="fixed"/>
        <w:tblCellMar>
          <w:top w:w="0" w:type="dxa"/>
          <w:left w:w="0" w:type="dxa"/>
          <w:bottom w:w="28" w:type="dxa"/>
          <w:right w:w="0" w:type="dxa"/>
        </w:tblCellMar>
      </w:tblPr>
      <w:tblGrid>
        <w:gridCol w:w="124"/>
        <w:gridCol w:w="1479"/>
        <w:gridCol w:w="109"/>
        <w:gridCol w:w="109"/>
        <w:gridCol w:w="3642"/>
        <w:gridCol w:w="109"/>
        <w:gridCol w:w="109"/>
        <w:gridCol w:w="1773"/>
        <w:gridCol w:w="109"/>
        <w:gridCol w:w="109"/>
        <w:gridCol w:w="1238"/>
        <w:gridCol w:w="155"/>
      </w:tblGrid>
      <w:tr>
        <w:trPr/>
        <w:tc>
          <w:tcPr>
            <w:tcW w:w="124" w:type="dxa"/>
            <w:tcBorders>
              <w:bottom w:val="single" w:sz="2" w:space="0" w:color="000000"/>
            </w:tcBorders>
            <w:vAlign w:val="center"/>
          </w:tcPr>
          <w:p>
            <w:pPr>
              <w:pStyle w:val="TableContents"/>
              <w:bidi w:val="0"/>
              <w:spacing w:before="0" w:after="283"/>
              <w:jc w:val="left"/>
              <w:rPr/>
            </w:pPr>
            <w:r>
              <w:rPr/>
              <w:t>​</w:t>
            </w:r>
          </w:p>
        </w:tc>
        <w:tc>
          <w:tcPr>
            <w:tcW w:w="1479" w:type="dxa"/>
            <w:tcBorders>
              <w:bottom w:val="single" w:sz="2" w:space="0" w:color="000000"/>
            </w:tcBorders>
            <w:tcMar>
              <w:bottom w:w="50" w:type="dxa"/>
            </w:tcMar>
            <w:vAlign w:val="center"/>
          </w:tcPr>
          <w:p>
            <w:pPr>
              <w:pStyle w:val="TableContents"/>
              <w:bidi w:val="0"/>
              <w:spacing w:before="0" w:after="0"/>
              <w:jc w:val="left"/>
              <w:rPr>
                <w:spacing w:val="-2"/>
              </w:rPr>
            </w:pPr>
            <w:r>
              <w:rPr>
                <w:spacing w:val="-2"/>
              </w:rPr>
              <w:t xml:space="preserve">NEO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3642" w:type="dxa"/>
            <w:tcBorders>
              <w:bottom w:val="single" w:sz="2" w:space="0" w:color="000000"/>
            </w:tcBorders>
            <w:tcMar>
              <w:bottom w:w="50" w:type="dxa"/>
            </w:tcMar>
            <w:vAlign w:val="center"/>
          </w:tcPr>
          <w:p>
            <w:pPr>
              <w:pStyle w:val="TableContents"/>
              <w:bidi w:val="0"/>
              <w:spacing w:before="0" w:after="0"/>
              <w:jc w:val="left"/>
              <w:rPr>
                <w:spacing w:val="-2"/>
              </w:rPr>
            </w:pPr>
            <w:r>
              <w:rPr>
                <w:spacing w:val="-2"/>
              </w:rPr>
              <w:t xml:space="preserve">Metrics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773" w:type="dxa"/>
            <w:tcBorders>
              <w:bottom w:val="single" w:sz="2" w:space="0" w:color="000000"/>
            </w:tcBorders>
            <w:tcMar>
              <w:bottom w:w="50" w:type="dxa"/>
            </w:tcMar>
            <w:vAlign w:val="center"/>
          </w:tcPr>
          <w:p>
            <w:pPr>
              <w:pStyle w:val="TableContents"/>
              <w:bidi w:val="0"/>
              <w:spacing w:before="0" w:after="0"/>
              <w:jc w:val="left"/>
              <w:rPr>
                <w:spacing w:val="-2"/>
              </w:rPr>
            </w:pPr>
            <w:r>
              <w:rPr>
                <w:spacing w:val="-2"/>
              </w:rPr>
              <w:t xml:space="preserve">Results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38" w:type="dxa"/>
            <w:tcBorders>
              <w:bottom w:val="single" w:sz="2" w:space="0" w:color="000000"/>
            </w:tcBorders>
            <w:tcMar>
              <w:bottom w:w="50" w:type="dxa"/>
            </w:tcMar>
            <w:vAlign w:val="center"/>
          </w:tcPr>
          <w:p>
            <w:pPr>
              <w:pStyle w:val="TableContents"/>
              <w:bidi w:val="0"/>
              <w:spacing w:before="0" w:after="0"/>
              <w:jc w:val="left"/>
              <w:rPr>
                <w:spacing w:val="-2"/>
              </w:rPr>
            </w:pPr>
            <w:r>
              <w:rPr>
                <w:spacing w:val="-2"/>
              </w:rPr>
              <w:t xml:space="preserve">Final Vesting </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24" w:type="dxa"/>
            <w:tcBorders/>
            <w:shd w:fill="B2B2B2" w:val="clear"/>
            <w:tcMar>
              <w:bottom w:w="0" w:type="dxa"/>
            </w:tcMar>
            <w:vAlign w:val="center"/>
          </w:tcPr>
          <w:p>
            <w:pPr>
              <w:pStyle w:val="TableContents"/>
              <w:bidi w:val="0"/>
              <w:spacing w:before="0" w:after="283"/>
              <w:jc w:val="left"/>
              <w:rPr/>
            </w:pPr>
            <w:r>
              <w:rPr/>
              <w:t>​</w:t>
            </w:r>
          </w:p>
        </w:tc>
        <w:tc>
          <w:tcPr>
            <w:tcW w:w="1479" w:type="dxa"/>
            <w:tcBorders/>
            <w:shd w:fill="B2B2B2" w:val="clear"/>
            <w:tcMar>
              <w:bottom w:w="0" w:type="dxa"/>
            </w:tcMar>
            <w:vAlign w:val="center"/>
          </w:tcPr>
          <w:p>
            <w:pPr>
              <w:pStyle w:val="TableContents"/>
              <w:bidi w:val="0"/>
              <w:spacing w:before="0" w:after="283"/>
              <w:jc w:val="left"/>
              <w:rPr>
                <w:spacing w:val="-2"/>
              </w:rPr>
            </w:pPr>
            <w:r>
              <w:rPr>
                <w:spacing w:val="-2"/>
              </w:rPr>
              <w:t xml:space="preserve">Norman Taffe </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3642" w:type="dxa"/>
            <w:tcBorders/>
            <w:shd w:fill="B2B2B2" w:val="clear"/>
            <w:tcMar>
              <w:bottom w:w="0" w:type="dxa"/>
            </w:tcMar>
            <w:vAlign w:val="center"/>
          </w:tcPr>
          <w:p>
            <w:pPr>
              <w:pStyle w:val="TableContents"/>
              <w:bidi w:val="0"/>
              <w:spacing w:before="0" w:after="283"/>
              <w:jc w:val="left"/>
              <w:rPr>
                <w:spacing w:val="-2"/>
              </w:rPr>
            </w:pPr>
            <w:r>
              <w:rPr>
                <w:spacing w:val="-2"/>
              </w:rPr>
              <w:t xml:space="preserve">Revenue Growth (CAGR) — 33% </w:t>
              <w:br/>
              <w:t xml:space="preserve">Average EBITDA Margin % — 33% </w:t>
              <w:br/>
              <w:t xml:space="preserve">Inventory dollars at December 31, 2025 — 33% </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773" w:type="dxa"/>
            <w:tcBorders/>
            <w:shd w:fill="B2B2B2" w:val="clear"/>
            <w:tcMar>
              <w:bottom w:w="0" w:type="dxa"/>
            </w:tcMar>
            <w:vAlign w:val="center"/>
          </w:tcPr>
          <w:p>
            <w:pPr>
              <w:pStyle w:val="TableContents"/>
              <w:bidi w:val="0"/>
              <w:spacing w:before="0" w:after="283"/>
              <w:jc w:val="left"/>
              <w:rPr>
                <w:spacing w:val="-2"/>
              </w:rPr>
            </w:pPr>
            <w:r>
              <w:rPr>
                <w:spacing w:val="-2"/>
              </w:rPr>
              <w:t xml:space="preserve">Below Threshold </w:t>
              <w:br/>
              <w:t xml:space="preserve">Below Threshold </w:t>
              <w:br/>
              <w:t>Below Target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238" w:type="dxa"/>
            <w:tcBorders/>
            <w:shd w:fill="B2B2B2" w:val="clear"/>
            <w:tcMar>
              <w:bottom w:w="0" w:type="dxa"/>
            </w:tcMar>
            <w:vAlign w:val="center"/>
          </w:tcPr>
          <w:p>
            <w:pPr>
              <w:pStyle w:val="TableContents"/>
              <w:bidi w:val="0"/>
              <w:spacing w:before="0" w:after="0"/>
              <w:jc w:val="center"/>
              <w:rPr/>
            </w:pPr>
            <w:r>
              <w:rPr>
                <w:spacing w:val="-2"/>
              </w:rPr>
              <w:t>27.2%</w:t>
            </w:r>
            <w:r>
              <w:rPr/>
              <w:t xml:space="preserve"> </w:t>
            </w:r>
          </w:p>
        </w:tc>
        <w:tc>
          <w:tcPr>
            <w:tcW w:w="155" w:type="dxa"/>
            <w:tcBorders/>
            <w:shd w:fill="B2B2B2"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270"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89" descr=""/>
                          <pic:cNvPicPr>
                            <a:picLocks noChangeAspect="1" noChangeArrowheads="1"/>
                          </pic:cNvPicPr>
                        </pic:nvPicPr>
                        <pic:blipFill>
                          <a:blip r:embed="rId101"/>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41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rFonts w:ascii="Arial;Helvetica;sans-serif" w:hAnsi="Arial;Helvetica;sans-serif"/>
          <w:b w:val="false"/>
          <w:i w:val="false"/>
          <w:caps w:val="false"/>
          <w:smallCaps w:val="false"/>
          <w:color w:val="FF6A00"/>
          <w:sz w:val="22"/>
        </w:rPr>
      </w:pPr>
      <w:r>
        <w:rPr>
          <w:rFonts w:ascii="Arial;Helvetica;sans-serif" w:hAnsi="Arial;Helvetica;sans-serif"/>
          <w:b w:val="false"/>
          <w:i w:val="false"/>
          <w:caps/>
          <w:color w:val="FF6A00"/>
          <w:spacing w:val="-2"/>
          <w:sz w:val="22"/>
        </w:rPr>
        <w:t>Executive Compensation</w:t>
      </w:r>
      <w:r>
        <w:rPr>
          <w:rFonts w:ascii="Arial;Helvetica;sans-serif" w:hAnsi="Arial;Helvetica;sans-serif"/>
          <w:b w:val="false"/>
          <w:i w:val="false"/>
          <w:caps w:val="false"/>
          <w:smallCaps w:val="false"/>
          <w:color w:val="FF6A00"/>
          <w:spacing w:val="-2"/>
          <w:sz w:val="22"/>
        </w:rPr>
        <w:t xml:space="preserve"> </w:t>
      </w:r>
    </w:p>
    <w:p>
      <w:pPr>
        <w:pStyle w:val="TextBody"/>
        <w:bidi w:val="0"/>
        <w:spacing w:lineRule="atLeast" w:line="400" w:before="480" w:after="283"/>
        <w:ind w:left="1140" w:right="0" w:hanging="0"/>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Key 2026 Compensation Decisions</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For 2026, no significant changes were made to the design of the Company’s annual compensation programs; however, the business group weighting and metrics will be based on Business Group Revenue (25%), Business Group EBITDA (25%), and Consolidated Bonus Plan Results, which are based on Consolidated Adjusted EBITDA and PWC as a% of Net Sales, (50%) to create a more balanced, internally aligned framework. These updates reward both business-level execution and achievement of Company-wide performance goals.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On March 20, 2026, the Committee approved certain incremental equity awards for Mr. Taffe and Mr. Wilde, which were granted April 1, 2026. The equity award for Mr. Taffe includes an award of performance shares with a target value of $1 million that vests on the second anniversary of the grant date, subject to the achievement of certain performance metrics with a performance period ending December 31, 2027. The equity award for Mr. Wilde includes an award of performance shares with a target value of $2 million that vests on the third anniversary of the grant date, subject to the achievement of certain performance metrics with a performance period ending December 31, 2028. Messrs. Taffe and Wilde may earn 0% to 200% of the target performance share award based on the achievement of specified performance conditions unique to each award that were established by the Committee. Such awards are intended to align the interests of Messrs. Taffe and Wilde with the Company’s Generac Home and Domestic C&amp;I initiatives, respectively. </w:t>
      </w:r>
    </w:p>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271"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90" descr=""/>
                          <pic:cNvPicPr>
                            <a:picLocks noChangeAspect="1" noChangeArrowheads="1"/>
                          </pic:cNvPicPr>
                        </pic:nvPicPr>
                        <pic:blipFill>
                          <a:blip r:embed="rId102"/>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42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rFonts w:ascii="Arial;Helvetica;sans-serif" w:hAnsi="Arial;Helvetica;sans-serif"/>
          <w:b w:val="false"/>
          <w:i w:val="false"/>
          <w:caps w:val="false"/>
          <w:smallCaps w:val="false"/>
          <w:color w:val="FF6A00"/>
          <w:sz w:val="22"/>
        </w:rPr>
      </w:pPr>
      <w:r>
        <w:rPr>
          <w:rFonts w:ascii="Arial;Helvetica;sans-serif" w:hAnsi="Arial;Helvetica;sans-serif"/>
          <w:b w:val="false"/>
          <w:i w:val="false"/>
          <w:caps/>
          <w:color w:val="FF6A00"/>
          <w:spacing w:val="-2"/>
          <w:sz w:val="22"/>
        </w:rPr>
        <w:t>Executive Compensation</w:t>
      </w:r>
      <w:r>
        <w:rPr>
          <w:rFonts w:ascii="Arial;Helvetica;sans-serif" w:hAnsi="Arial;Helvetica;sans-serif"/>
          <w:b w:val="false"/>
          <w:i w:val="false"/>
          <w:caps w:val="false"/>
          <w:smallCaps w:val="false"/>
          <w:color w:val="FF6A00"/>
          <w:spacing w:val="-2"/>
          <w:sz w:val="22"/>
        </w:rPr>
        <w:t xml:space="preserve"> </w:t>
      </w:r>
    </w:p>
    <w:p>
      <w:pPr>
        <w:pStyle w:val="TextBody"/>
        <w:bidi w:val="0"/>
        <w:spacing w:lineRule="atLeast" w:line="400" w:before="480" w:after="283"/>
        <w:ind w:left="1140" w:right="0" w:hanging="0"/>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OTHER PRACTICES, POLICIES &amp; GUIDELINES</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60" w:before="80" w:after="283"/>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2"/>
          <w:sz w:val="22"/>
        </w:rPr>
        <w:t>Clawback Policies</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Company maintains a clawback policy that allows for the recoupment of incentive compensation from the CEO, CFO and other key members of executive management (collectively, Covered Employees) in the event of an accounting restatement, as required under SEC and NYSE rules. Under this policy, the Company will recover erroneously awarded incentive-based compensation received by Covered Employees that exceeds what would have been received based on the restated financial results. Recovery will occur in a reasonable and prompt manner using any lawful method, subject to limited exceptions permitted by NYSE listing standards.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In addition to the SEC- and NYSE-mandated requirements, the Company also maintains a second policy that permits the recoupment or forfeiture of certain incentive compensation from Covered Employees in cases of gross negligence, misconduct, or violations of law or Company policy that result in significant financial or reputational harm.</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60" w:before="240" w:after="283"/>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2"/>
          <w:sz w:val="22"/>
        </w:rPr>
        <w:t>Stock Ownership and Retention Guidelines</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Committee believes that it is in the best interest of Generac and its stockholders to align the financial interests of the Company’s officers and directors with those of Generac’s stockholders by requiring officers and directors to establish and maintain a permanent minimum ownership position in Company stock (based on the market value of our common stock), and by limiting the ability to sell Company stock until guideline ownership levels have been achieved. In addition, the Committee believes that the investment community values stock ownership by such officers and that share ownership demonstrates a commitment to and belief in the long-term strategic direction of Generac. Accordingly, the following stock ownership guidelines have been established for the Company’s officers and directors, including all the NEOs.</w:t>
      </w:r>
      <w:r>
        <w:rPr>
          <w:rFonts w:ascii="Arial;Helvetica;sans-serif" w:hAnsi="Arial;Helvetica;sans-serif"/>
          <w:b w:val="false"/>
          <w:i w:val="false"/>
          <w:caps w:val="false"/>
          <w:smallCaps w:val="false"/>
          <w:color w:val="000000"/>
          <w:spacing w:val="4"/>
          <w:sz w:val="22"/>
        </w:rPr>
        <w:t xml:space="preserve"> </w:t>
      </w:r>
    </w:p>
    <w:tbl>
      <w:tblPr>
        <w:tblW w:w="6144" w:type="dxa"/>
        <w:jc w:val="left"/>
        <w:tblInd w:w="1140" w:type="dxa"/>
        <w:tblLayout w:type="fixed"/>
        <w:tblCellMar>
          <w:top w:w="0" w:type="dxa"/>
          <w:left w:w="0" w:type="dxa"/>
          <w:bottom w:w="28" w:type="dxa"/>
          <w:right w:w="0" w:type="dxa"/>
        </w:tblCellMar>
      </w:tblPr>
      <w:tblGrid>
        <w:gridCol w:w="124"/>
        <w:gridCol w:w="2513"/>
        <w:gridCol w:w="109"/>
        <w:gridCol w:w="109"/>
        <w:gridCol w:w="3135"/>
        <w:gridCol w:w="154"/>
      </w:tblGrid>
      <w:tr>
        <w:trPr/>
        <w:tc>
          <w:tcPr>
            <w:tcW w:w="124" w:type="dxa"/>
            <w:tcBorders>
              <w:bottom w:val="single" w:sz="2" w:space="0" w:color="000000"/>
            </w:tcBorders>
            <w:vAlign w:val="center"/>
          </w:tcPr>
          <w:p>
            <w:pPr>
              <w:pStyle w:val="TableContents"/>
              <w:bidi w:val="0"/>
              <w:spacing w:before="0" w:after="283"/>
              <w:jc w:val="left"/>
              <w:rPr/>
            </w:pPr>
            <w:r>
              <w:rPr/>
              <w:t>​</w:t>
            </w:r>
          </w:p>
        </w:tc>
        <w:tc>
          <w:tcPr>
            <w:tcW w:w="2513" w:type="dxa"/>
            <w:tcBorders>
              <w:bottom w:val="single" w:sz="2" w:space="0" w:color="000000"/>
            </w:tcBorders>
            <w:tcMar>
              <w:bottom w:w="50" w:type="dxa"/>
            </w:tcMar>
            <w:vAlign w:val="center"/>
          </w:tcPr>
          <w:p>
            <w:pPr>
              <w:pStyle w:val="TableContents"/>
              <w:bidi w:val="0"/>
              <w:spacing w:before="0" w:after="0"/>
              <w:jc w:val="left"/>
              <w:rPr>
                <w:spacing w:val="-2"/>
              </w:rPr>
            </w:pPr>
            <w:r>
              <w:rPr>
                <w:spacing w:val="-2"/>
              </w:rPr>
              <w:t xml:space="preserve">Position/Level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3135" w:type="dxa"/>
            <w:tcBorders>
              <w:bottom w:val="single" w:sz="2" w:space="0" w:color="000000"/>
            </w:tcBorders>
            <w:tcMar>
              <w:bottom w:w="50" w:type="dxa"/>
            </w:tcMar>
            <w:vAlign w:val="center"/>
          </w:tcPr>
          <w:p>
            <w:pPr>
              <w:pStyle w:val="TableContents"/>
              <w:bidi w:val="0"/>
              <w:spacing w:before="0" w:after="0"/>
              <w:jc w:val="left"/>
              <w:rPr>
                <w:spacing w:val="-2"/>
              </w:rPr>
            </w:pPr>
            <w:r>
              <w:rPr>
                <w:spacing w:val="-2"/>
              </w:rPr>
              <w:t xml:space="preserve">Stock Ownership Requirements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tcBorders/>
            <w:shd w:fill="B2B2B2" w:val="clear"/>
            <w:tcMar>
              <w:bottom w:w="0" w:type="dxa"/>
            </w:tcMar>
            <w:vAlign w:val="center"/>
          </w:tcPr>
          <w:p>
            <w:pPr>
              <w:pStyle w:val="TableContents"/>
              <w:bidi w:val="0"/>
              <w:spacing w:before="0" w:after="283"/>
              <w:jc w:val="left"/>
              <w:rPr/>
            </w:pPr>
            <w:r>
              <w:rPr/>
              <w:t>​</w:t>
            </w:r>
          </w:p>
        </w:tc>
        <w:tc>
          <w:tcPr>
            <w:tcW w:w="2513" w:type="dxa"/>
            <w:tcBorders/>
            <w:shd w:fill="B2B2B2" w:val="clear"/>
            <w:tcMar>
              <w:bottom w:w="0" w:type="dxa"/>
            </w:tcMar>
            <w:vAlign w:val="center"/>
          </w:tcPr>
          <w:p>
            <w:pPr>
              <w:pStyle w:val="TableContents"/>
              <w:bidi w:val="0"/>
              <w:spacing w:before="0" w:after="283"/>
              <w:jc w:val="left"/>
              <w:rPr>
                <w:spacing w:val="-2"/>
              </w:rPr>
            </w:pPr>
            <w:r>
              <w:rPr>
                <w:spacing w:val="-2"/>
              </w:rPr>
              <w:t xml:space="preserve">Non-Employee Directors </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3135" w:type="dxa"/>
            <w:tcBorders/>
            <w:shd w:fill="B2B2B2" w:val="clear"/>
            <w:tcMar>
              <w:bottom w:w="0" w:type="dxa"/>
            </w:tcMar>
            <w:vAlign w:val="center"/>
          </w:tcPr>
          <w:p>
            <w:pPr>
              <w:pStyle w:val="TableContents"/>
              <w:bidi w:val="0"/>
              <w:spacing w:before="0" w:after="283"/>
              <w:jc w:val="left"/>
              <w:rPr>
                <w:spacing w:val="-2"/>
              </w:rPr>
            </w:pPr>
            <w:r>
              <w:rPr>
                <w:spacing w:val="-2"/>
              </w:rPr>
              <w:t xml:space="preserve">5 times annual retainer </w:t>
            </w:r>
          </w:p>
        </w:tc>
        <w:tc>
          <w:tcPr>
            <w:tcW w:w="154" w:type="dxa"/>
            <w:tcBorders/>
            <w:shd w:fill="B2B2B2"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13" w:type="dxa"/>
            <w:tcBorders/>
            <w:tcMar>
              <w:bottom w:w="0" w:type="dxa"/>
            </w:tcMar>
            <w:vAlign w:val="center"/>
          </w:tcPr>
          <w:p>
            <w:pPr>
              <w:pStyle w:val="TableContents"/>
              <w:bidi w:val="0"/>
              <w:spacing w:before="0" w:after="283"/>
              <w:jc w:val="left"/>
              <w:rPr>
                <w:spacing w:val="-2"/>
              </w:rPr>
            </w:pPr>
            <w:r>
              <w:rPr>
                <w:spacing w:val="-2"/>
              </w:rPr>
              <w:t xml:space="preserve">Chief Executive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35" w:type="dxa"/>
            <w:tcBorders/>
            <w:tcMar>
              <w:bottom w:w="0" w:type="dxa"/>
            </w:tcMar>
            <w:vAlign w:val="center"/>
          </w:tcPr>
          <w:p>
            <w:pPr>
              <w:pStyle w:val="TableContents"/>
              <w:bidi w:val="0"/>
              <w:spacing w:before="0" w:after="283"/>
              <w:jc w:val="left"/>
              <w:rPr>
                <w:spacing w:val="-2"/>
              </w:rPr>
            </w:pPr>
            <w:r>
              <w:rPr>
                <w:spacing w:val="-2"/>
              </w:rPr>
              <w:t xml:space="preserve">6 times annual base salary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B2B2B2" w:val="clear"/>
            <w:tcMar>
              <w:bottom w:w="0" w:type="dxa"/>
            </w:tcMar>
            <w:vAlign w:val="center"/>
          </w:tcPr>
          <w:p>
            <w:pPr>
              <w:pStyle w:val="TableContents"/>
              <w:bidi w:val="0"/>
              <w:spacing w:before="0" w:after="283"/>
              <w:jc w:val="left"/>
              <w:rPr/>
            </w:pPr>
            <w:r>
              <w:rPr/>
              <w:t>​</w:t>
            </w:r>
          </w:p>
        </w:tc>
        <w:tc>
          <w:tcPr>
            <w:tcW w:w="2513" w:type="dxa"/>
            <w:tcBorders/>
            <w:shd w:fill="B2B2B2" w:val="clear"/>
            <w:tcMar>
              <w:bottom w:w="0" w:type="dxa"/>
            </w:tcMar>
            <w:vAlign w:val="center"/>
          </w:tcPr>
          <w:p>
            <w:pPr>
              <w:pStyle w:val="TableContents"/>
              <w:bidi w:val="0"/>
              <w:spacing w:before="0" w:after="283"/>
              <w:jc w:val="left"/>
              <w:rPr>
                <w:spacing w:val="-2"/>
              </w:rPr>
            </w:pPr>
            <w:r>
              <w:rPr>
                <w:spacing w:val="-2"/>
              </w:rPr>
              <w:t xml:space="preserve">Top Executives </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3135" w:type="dxa"/>
            <w:tcBorders/>
            <w:shd w:fill="B2B2B2" w:val="clear"/>
            <w:tcMar>
              <w:bottom w:w="0" w:type="dxa"/>
            </w:tcMar>
            <w:vAlign w:val="center"/>
          </w:tcPr>
          <w:p>
            <w:pPr>
              <w:pStyle w:val="TableContents"/>
              <w:bidi w:val="0"/>
              <w:spacing w:before="0" w:after="283"/>
              <w:jc w:val="left"/>
              <w:rPr/>
            </w:pPr>
            <w:r>
              <w:rPr>
                <w:spacing w:val="-2"/>
              </w:rPr>
              <w:t>3 times annual base salary</w:t>
            </w:r>
            <w:r>
              <w:rPr/>
              <w:t xml:space="preserve"> </w:t>
            </w:r>
          </w:p>
        </w:tc>
        <w:tc>
          <w:tcPr>
            <w:tcW w:w="154" w:type="dxa"/>
            <w:tcBorders/>
            <w:shd w:fill="B2B2B2" w:val="clear"/>
            <w:tcMar>
              <w:bottom w:w="0" w:type="dxa"/>
            </w:tcMar>
            <w:vAlign w:val="center"/>
          </w:tcPr>
          <w:p>
            <w:pPr>
              <w:pStyle w:val="TableContents"/>
              <w:bidi w:val="0"/>
              <w:spacing w:before="0" w:after="283"/>
              <w:jc w:val="left"/>
              <w:rPr/>
            </w:pPr>
            <w:r>
              <w:rPr/>
              <w:t>​</w:t>
            </w:r>
          </w:p>
        </w:tc>
      </w:tr>
    </w:tbl>
    <w:p>
      <w:pPr>
        <w:pStyle w:val="TextBody"/>
        <w:bidi w:val="0"/>
        <w:spacing w:lineRule="atLeast" w:line="250" w:before="194" w:after="283"/>
        <w:ind w:left="11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Executives are expected to build ownership value over time because of their performance and participation in the Company’s equity compensation programs. Under the guidelines, no period is specified for compliance by new officers and the Board of Directors, however executives have retention requirements to remain in compliance until the stock ownership guidelines are met. In the event of a promotion to a new level or a significant reduction in stock price, executives have three years to meet the applicable new minimum ownership requirement. The Committee reviewed a market analysis of stock ownership guidelines and approved changes at the September 2025 meeting. Specifically, it simplified the retention ratios to be 50% of after-tax shares received from compensatory equity awards; however, if an executive is not in compliance after 5 years, the retention ratio is 100% of after-tax shares. As of March 31, 2026, all NEOs have met their ownership requirements.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60" w:before="240" w:after="283"/>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2"/>
          <w:sz w:val="22"/>
        </w:rPr>
        <w:t>Long-Term Equity Award Grant Timing</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The Committee generally makes grants of long-term equity awards to our NEOs at the first Committee meeting of our fiscal year, which is the same meeting at which the Committee takes other compensation actions and performs its annual performance evaluation of management. Annual long-term equity awards for our officers occur on the same date as long-term equity awards for our other professional and managerial employees, which is typically on March 1 of </w:t>
      </w:r>
    </w:p>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272"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91" descr=""/>
                          <pic:cNvPicPr>
                            <a:picLocks noChangeAspect="1" noChangeArrowheads="1"/>
                          </pic:cNvPicPr>
                        </pic:nvPicPr>
                        <pic:blipFill>
                          <a:blip r:embed="rId103"/>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43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rFonts w:ascii="Arial;Helvetica;sans-serif" w:hAnsi="Arial;Helvetica;sans-serif"/>
          <w:b w:val="false"/>
          <w:i w:val="false"/>
          <w:caps w:val="false"/>
          <w:smallCaps w:val="false"/>
          <w:color w:val="FF6A00"/>
          <w:sz w:val="22"/>
        </w:rPr>
      </w:pPr>
      <w:r>
        <w:rPr>
          <w:rFonts w:ascii="Arial;Helvetica;sans-serif" w:hAnsi="Arial;Helvetica;sans-serif"/>
          <w:b w:val="false"/>
          <w:i w:val="false"/>
          <w:caps/>
          <w:color w:val="FF6A00"/>
          <w:spacing w:val="-2"/>
          <w:sz w:val="22"/>
        </w:rPr>
        <w:t>Executive Compensation</w:t>
      </w:r>
      <w:r>
        <w:rPr>
          <w:rFonts w:ascii="Arial;Helvetica;sans-serif" w:hAnsi="Arial;Helvetica;sans-serif"/>
          <w:b w:val="false"/>
          <w:i w:val="false"/>
          <w:caps w:val="false"/>
          <w:smallCaps w:val="false"/>
          <w:color w:val="FF6A00"/>
          <w:spacing w:val="-2"/>
          <w:sz w:val="22"/>
        </w:rPr>
        <w:t xml:space="preserve"> </w:t>
      </w:r>
    </w:p>
    <w:p>
      <w:pPr>
        <w:pStyle w:val="TextBody"/>
        <w:bidi w:val="0"/>
        <w:spacing w:lineRule="atLeast" w:line="250" w:before="480" w:after="283"/>
        <w:ind w:left="11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fiscal year. Awards are neither timed to relate to the price of our stock nor to correspond with the release of material non-public information, although grants are generally made when our trading window is open. We may make grants to new employees, including potential NEOs, upon hire. Awards for NEOs are made following committee approval and typically occur in the quarter following the employee’s start date.</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During 2025, we did not award stock options or stock appreciation rights to any of our NEOs in the period beginning four business days before our filing of a Form 10-Q or Form 10-K, or the filing or furnishing of a Form 8-K that disclosed material nonpublic information, and ending one business day after the filing or furnishing of such report.</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60" w:before="240" w:after="283"/>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2"/>
          <w:sz w:val="22"/>
        </w:rPr>
        <w:t>Benefits and Perquisites</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Generac does not provide special medical, dental, insurance or disability benefits for the NEOs beyond that offered to all employees. In addition, Generac does not offer special perquisites for any of the NEOs.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60" w:before="240" w:after="283"/>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2"/>
          <w:sz w:val="22"/>
        </w:rPr>
        <w:t>Retirement Plans</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NEOs are eligible to participate in the Generac Power Systems, Inc. Employees 401(k) Savings Plan on the same terms as other participating employees.</w:t>
      </w:r>
      <w:r>
        <w:rPr>
          <w:rFonts w:ascii="Arial;Helvetica;sans-serif" w:hAnsi="Arial;Helvetica;sans-serif"/>
          <w:b w:val="false"/>
          <w:i w:val="false"/>
          <w:caps w:val="false"/>
          <w:smallCaps w:val="false"/>
          <w:color w:val="000000"/>
          <w:sz w:val="22"/>
        </w:rPr>
        <w:t xml:space="preserve"> </w:t>
      </w:r>
    </w:p>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273"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92" descr=""/>
                          <pic:cNvPicPr>
                            <a:picLocks noChangeAspect="1" noChangeArrowheads="1"/>
                          </pic:cNvPicPr>
                        </pic:nvPicPr>
                        <pic:blipFill>
                          <a:blip r:embed="rId104"/>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44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ROTH"/>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520" w:before="740" w:after="283"/>
        <w:ind w:left="1140" w:right="0" w:hanging="0"/>
        <w:jc w:val="left"/>
        <w:rPr>
          <w:rFonts w:ascii="Arial;Helvetica;sans-serif" w:hAnsi="Arial;Helvetica;sans-serif"/>
          <w:b w:val="false"/>
          <w:i w:val="false"/>
          <w:caps w:val="false"/>
          <w:smallCaps w:val="false"/>
          <w:color w:val="000000"/>
          <w:sz w:val="48"/>
        </w:rPr>
      </w:pPr>
      <w:r>
        <w:rPr>
          <w:rFonts w:ascii="Arial;Helvetica;sans-serif" w:hAnsi="Arial;Helvetica;sans-serif"/>
          <w:b w:val="false"/>
          <w:i w:val="false"/>
          <w:caps w:val="false"/>
          <w:smallCaps w:val="false"/>
          <w:color w:val="000000"/>
          <w:spacing w:val="-5"/>
          <w:sz w:val="48"/>
        </w:rPr>
        <w:t>Report of the Human Capital and Compensation Committee</w:t>
      </w:r>
      <w:r>
        <w:rPr>
          <w:rFonts w:ascii="Arial;Helvetica;sans-serif" w:hAnsi="Arial;Helvetica;sans-serif"/>
          <w:b w:val="false"/>
          <w:i w:val="false"/>
          <w:caps w:val="false"/>
          <w:smallCaps w:val="false"/>
          <w:color w:val="000000"/>
          <w:spacing w:val="10"/>
          <w:sz w:val="48"/>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Human Capital and Compensation Committee has reviewed and discussed the Compensation Discussion and Analysis section with our management. Based upon this review and discussion, the Human Capital and Compensation Committee recommended to the Board of Directors that the Compensation Discussion and Analysis section be included in this Proxy Statement, which has been incorporated by reference in our Annual Report on Form 10-K for the fiscal year ended December 31, 2025.</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caps w:val="false"/>
          <w:smallCaps w:val="false"/>
          <w:color w:val="000000"/>
          <w:sz w:val="22"/>
        </w:rPr>
      </w:pPr>
      <w:r>
        <w:rPr>
          <w:rFonts w:ascii="Arial;Helvetica;sans-serif" w:hAnsi="Arial;Helvetica;sans-serif"/>
          <w:b w:val="false"/>
          <w:i/>
          <w:caps w:val="false"/>
          <w:smallCaps w:val="false"/>
          <w:color w:val="000000"/>
          <w:sz w:val="22"/>
        </w:rPr>
        <w:t>Respectfully submitted by the Human Capital and Compensation Committee of the Board of Directors.</w:t>
      </w:r>
      <w:r>
        <w:rPr>
          <w:rFonts w:ascii="Arial;Helvetica;sans-serif" w:hAnsi="Arial;Helvetica;sans-serif"/>
          <w:b w:val="false"/>
          <w:i/>
          <w:caps w:val="false"/>
          <w:smallCaps w:val="false"/>
          <w:color w:val="000000"/>
          <w:spacing w:val="4"/>
          <w:sz w:val="22"/>
        </w:rPr>
        <w:t xml:space="preserve"> </w:t>
      </w:r>
    </w:p>
    <w:p>
      <w:pPr>
        <w:pStyle w:val="TextBody"/>
        <w:bidi w:val="0"/>
        <w:spacing w:lineRule="atLeast" w:line="250" w:before="120" w:after="283"/>
        <w:ind w:left="5940" w:right="0" w:hanging="0"/>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Marcia Avedon, Chair </w:t>
        <w:br/>
        <w:t xml:space="preserve">William Jenkins </w:t>
        <w:br/>
        <w:t>Nam Nguyen</w:t>
        <w:br/>
        <w:t>Bennett Morgan</w:t>
        <w:br/>
        <w:t xml:space="preserve">Dominick Zarcone </w:t>
      </w:r>
    </w:p>
    <w:p>
      <w:pPr>
        <w:pStyle w:val="TextBody"/>
        <w:bidi w:val="0"/>
        <w:spacing w:lineRule="atLeast" w:line="240" w:before="78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274"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93" descr=""/>
                          <pic:cNvPicPr>
                            <a:picLocks noChangeAspect="1" noChangeArrowheads="1"/>
                          </pic:cNvPicPr>
                        </pic:nvPicPr>
                        <pic:blipFill>
                          <a:blip r:embed="rId105"/>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45</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caps w:val="false"/>
          <w:smallCaps w:val="false"/>
          <w:color w:val="FF6A00"/>
        </w:rPr>
      </w:pPr>
      <w:r>
        <w:rPr>
          <w:caps w:val="false"/>
          <w:smallCaps w:val="false"/>
          <w:color w:val="FF6A00"/>
          <w:spacing w:val="-2"/>
        </w:rPr>
        <w:t> </w:t>
      </w:r>
      <w:r>
        <w:rPr>
          <w:caps w:val="false"/>
          <w:smallCaps w:val="false"/>
          <w:color w:val="FF6A00"/>
        </w:rPr>
        <w:t xml:space="preserve"> </w:t>
      </w:r>
    </w:p>
    <w:p>
      <w:pPr>
        <w:pStyle w:val="TextBody"/>
        <w:bidi w:val="0"/>
        <w:spacing w:lineRule="atLeast" w:line="400" w:before="480" w:after="283"/>
        <w:ind w:left="1140" w:right="0" w:hanging="0"/>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2025 Summary Compensation Table</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following table shows compensation information for 2023, 2024 and 2025 for our named executive officers.</w:t>
      </w:r>
      <w:r>
        <w:rPr>
          <w:rFonts w:ascii="Arial;Helvetica;sans-serif" w:hAnsi="Arial;Helvetica;sans-serif"/>
          <w:b w:val="false"/>
          <w:i w:val="false"/>
          <w:caps w:val="false"/>
          <w:smallCaps w:val="false"/>
          <w:color w:val="000000"/>
          <w:spacing w:val="4"/>
          <w:sz w:val="22"/>
        </w:rPr>
        <w:t xml:space="preserve"> </w:t>
      </w:r>
    </w:p>
    <w:tbl>
      <w:tblPr>
        <w:tblW w:w="13970" w:type="dxa"/>
        <w:jc w:val="left"/>
        <w:tblInd w:w="1140" w:type="dxa"/>
        <w:tblLayout w:type="fixed"/>
        <w:tblCellMar>
          <w:top w:w="0" w:type="dxa"/>
          <w:left w:w="0" w:type="dxa"/>
          <w:bottom w:w="0" w:type="dxa"/>
          <w:right w:w="0" w:type="dxa"/>
        </w:tblCellMar>
      </w:tblPr>
      <w:tblGrid>
        <w:gridCol w:w="124"/>
        <w:gridCol w:w="1946"/>
        <w:gridCol w:w="109"/>
        <w:gridCol w:w="109"/>
        <w:gridCol w:w="109"/>
        <w:gridCol w:w="109"/>
        <w:gridCol w:w="586"/>
        <w:gridCol w:w="109"/>
        <w:gridCol w:w="109"/>
        <w:gridCol w:w="109"/>
        <w:gridCol w:w="109"/>
        <w:gridCol w:w="109"/>
        <w:gridCol w:w="1066"/>
        <w:gridCol w:w="109"/>
        <w:gridCol w:w="109"/>
        <w:gridCol w:w="109"/>
        <w:gridCol w:w="116"/>
        <w:gridCol w:w="116"/>
        <w:gridCol w:w="368"/>
        <w:gridCol w:w="117"/>
        <w:gridCol w:w="109"/>
        <w:gridCol w:w="109"/>
        <w:gridCol w:w="109"/>
        <w:gridCol w:w="109"/>
        <w:gridCol w:w="1066"/>
        <w:gridCol w:w="109"/>
        <w:gridCol w:w="109"/>
        <w:gridCol w:w="109"/>
        <w:gridCol w:w="109"/>
        <w:gridCol w:w="109"/>
        <w:gridCol w:w="1066"/>
        <w:gridCol w:w="109"/>
        <w:gridCol w:w="109"/>
        <w:gridCol w:w="109"/>
        <w:gridCol w:w="109"/>
        <w:gridCol w:w="109"/>
        <w:gridCol w:w="1071"/>
        <w:gridCol w:w="111"/>
        <w:gridCol w:w="109"/>
        <w:gridCol w:w="109"/>
        <w:gridCol w:w="139"/>
        <w:gridCol w:w="139"/>
        <w:gridCol w:w="981"/>
        <w:gridCol w:w="141"/>
        <w:gridCol w:w="109"/>
        <w:gridCol w:w="109"/>
        <w:gridCol w:w="109"/>
        <w:gridCol w:w="109"/>
        <w:gridCol w:w="1066"/>
        <w:gridCol w:w="109"/>
        <w:gridCol w:w="154"/>
      </w:tblGrid>
      <w:tr>
        <w:trPr/>
        <w:tc>
          <w:tcPr>
            <w:tcW w:w="124" w:type="dxa"/>
            <w:tcBorders/>
            <w:shd w:fill="FF6A00" w:val="clear"/>
            <w:vAlign w:val="center"/>
          </w:tcPr>
          <w:p>
            <w:pPr>
              <w:pStyle w:val="TableContents"/>
              <w:bidi w:val="0"/>
              <w:spacing w:before="0" w:after="283"/>
              <w:jc w:val="left"/>
              <w:rPr/>
            </w:pPr>
            <w:r>
              <w:rPr/>
              <w:t>​</w:t>
            </w:r>
          </w:p>
        </w:tc>
        <w:tc>
          <w:tcPr>
            <w:tcW w:w="1946" w:type="dxa"/>
            <w:tcBorders/>
            <w:shd w:fill="FF6A00" w:val="clear"/>
            <w:vAlign w:val="center"/>
          </w:tcPr>
          <w:p>
            <w:pPr>
              <w:pStyle w:val="TableContents"/>
              <w:bidi w:val="0"/>
              <w:spacing w:before="0" w:after="0"/>
              <w:jc w:val="left"/>
              <w:rPr>
                <w:spacing w:val="-1"/>
              </w:rPr>
            </w:pPr>
            <w:r>
              <w:rPr>
                <w:spacing w:val="-1"/>
              </w:rPr>
              <w:t xml:space="preserve">Name and principal position </w:t>
            </w:r>
          </w:p>
        </w:tc>
        <w:tc>
          <w:tcPr>
            <w:tcW w:w="109"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913" w:type="dxa"/>
            <w:gridSpan w:val="4"/>
            <w:tcBorders/>
            <w:shd w:fill="FF6A00" w:val="clear"/>
            <w:vAlign w:val="center"/>
          </w:tcPr>
          <w:p>
            <w:pPr>
              <w:pStyle w:val="TableContents"/>
              <w:bidi w:val="0"/>
              <w:spacing w:before="0" w:after="0"/>
              <w:jc w:val="center"/>
              <w:rPr>
                <w:spacing w:val="-1"/>
              </w:rPr>
            </w:pPr>
            <w:r>
              <w:rPr>
                <w:spacing w:val="-1"/>
              </w:rPr>
              <w:t xml:space="preserve">Year </w:t>
            </w:r>
          </w:p>
        </w:tc>
        <w:tc>
          <w:tcPr>
            <w:tcW w:w="109"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393" w:type="dxa"/>
            <w:gridSpan w:val="4"/>
            <w:tcBorders/>
            <w:shd w:fill="FF6A00" w:val="clear"/>
            <w:vAlign w:val="center"/>
          </w:tcPr>
          <w:p>
            <w:pPr>
              <w:pStyle w:val="TableContents"/>
              <w:bidi w:val="0"/>
              <w:spacing w:before="0" w:after="0"/>
              <w:jc w:val="center"/>
              <w:rPr>
                <w:spacing w:val="-1"/>
              </w:rPr>
            </w:pPr>
            <w:r>
              <w:rPr>
                <w:spacing w:val="-1"/>
              </w:rPr>
              <w:t xml:space="preserve">Salary </w:t>
              <w:br/>
              <w:t xml:space="preserve">($) </w:t>
            </w:r>
          </w:p>
        </w:tc>
        <w:tc>
          <w:tcPr>
            <w:tcW w:w="109"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717" w:type="dxa"/>
            <w:gridSpan w:val="4"/>
            <w:tcBorders/>
            <w:shd w:fill="FF6A00" w:val="clear"/>
            <w:vAlign w:val="center"/>
          </w:tcPr>
          <w:p>
            <w:pPr>
              <w:pStyle w:val="TableContents"/>
              <w:bidi w:val="0"/>
              <w:spacing w:before="0" w:after="0"/>
              <w:jc w:val="center"/>
              <w:rPr>
                <w:spacing w:val="-1"/>
              </w:rPr>
            </w:pPr>
            <w:r>
              <w:rPr>
                <w:spacing w:val="-1"/>
              </w:rPr>
              <w:t xml:space="preserve">Bonus </w:t>
              <w:br/>
              <w:t xml:space="preserve">($) </w:t>
            </w:r>
          </w:p>
        </w:tc>
        <w:tc>
          <w:tcPr>
            <w:tcW w:w="109"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393" w:type="dxa"/>
            <w:gridSpan w:val="4"/>
            <w:tcBorders/>
            <w:shd w:fill="FF6A00" w:val="clear"/>
            <w:vAlign w:val="center"/>
          </w:tcPr>
          <w:p>
            <w:pPr>
              <w:pStyle w:val="TableContents"/>
              <w:bidi w:val="0"/>
              <w:spacing w:lineRule="atLeast" w:line="142" w:before="0" w:after="0"/>
              <w:jc w:val="center"/>
              <w:rPr/>
            </w:pPr>
            <w:r>
              <w:rPr>
                <w:spacing w:val="-1"/>
              </w:rPr>
              <w:t xml:space="preserve">Stock </w:t>
              <w:br/>
              <w:t xml:space="preserve">awards </w:t>
              <w:br/>
              <w:t>($)</w:t>
            </w:r>
            <w:r>
              <w:rPr>
                <w:spacing w:val="-1"/>
                <w:sz w:val="9"/>
              </w:rPr>
              <w:t>(1)</w:t>
            </w:r>
            <w:r>
              <w:rPr/>
              <w:t xml:space="preserve"> </w:t>
            </w:r>
          </w:p>
        </w:tc>
        <w:tc>
          <w:tcPr>
            <w:tcW w:w="109"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393" w:type="dxa"/>
            <w:gridSpan w:val="4"/>
            <w:tcBorders/>
            <w:shd w:fill="FF6A00" w:val="clear"/>
            <w:vAlign w:val="center"/>
          </w:tcPr>
          <w:p>
            <w:pPr>
              <w:pStyle w:val="TableContents"/>
              <w:bidi w:val="0"/>
              <w:spacing w:lineRule="atLeast" w:line="142" w:before="0" w:after="0"/>
              <w:jc w:val="center"/>
              <w:rPr/>
            </w:pPr>
            <w:r>
              <w:rPr>
                <w:spacing w:val="-1"/>
              </w:rPr>
              <w:t xml:space="preserve">Option </w:t>
              <w:br/>
              <w:t xml:space="preserve">awards </w:t>
              <w:br/>
              <w:t>($)</w:t>
            </w:r>
            <w:r>
              <w:rPr>
                <w:spacing w:val="-1"/>
                <w:sz w:val="9"/>
              </w:rPr>
              <w:t>(1)</w:t>
            </w:r>
            <w:r>
              <w:rPr/>
              <w:t xml:space="preserve"> </w:t>
            </w:r>
          </w:p>
        </w:tc>
        <w:tc>
          <w:tcPr>
            <w:tcW w:w="109"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400" w:type="dxa"/>
            <w:gridSpan w:val="4"/>
            <w:tcBorders/>
            <w:shd w:fill="FF6A00" w:val="clear"/>
            <w:vAlign w:val="center"/>
          </w:tcPr>
          <w:p>
            <w:pPr>
              <w:pStyle w:val="TableContents"/>
              <w:bidi w:val="0"/>
              <w:spacing w:lineRule="atLeast" w:line="142" w:before="0" w:after="0"/>
              <w:jc w:val="center"/>
              <w:rPr/>
            </w:pPr>
            <w:r>
              <w:rPr>
                <w:spacing w:val="-1"/>
              </w:rPr>
              <w:t xml:space="preserve">Non-equity </w:t>
              <w:br/>
              <w:t xml:space="preserve">incentive plan </w:t>
              <w:br/>
              <w:t xml:space="preserve">compensation </w:t>
              <w:br/>
              <w:t>($)</w:t>
            </w:r>
            <w:r>
              <w:rPr>
                <w:spacing w:val="-1"/>
                <w:sz w:val="9"/>
              </w:rPr>
              <w:t>(2)</w:t>
            </w:r>
            <w:r>
              <w:rPr/>
              <w:t xml:space="preserve"> </w:t>
            </w:r>
          </w:p>
        </w:tc>
        <w:tc>
          <w:tcPr>
            <w:tcW w:w="109"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400" w:type="dxa"/>
            <w:gridSpan w:val="4"/>
            <w:tcBorders/>
            <w:shd w:fill="FF6A00" w:val="clear"/>
            <w:vAlign w:val="center"/>
          </w:tcPr>
          <w:p>
            <w:pPr>
              <w:pStyle w:val="TableContents"/>
              <w:bidi w:val="0"/>
              <w:spacing w:lineRule="atLeast" w:line="142" w:before="0" w:after="0"/>
              <w:jc w:val="center"/>
              <w:rPr/>
            </w:pPr>
            <w:r>
              <w:rPr>
                <w:spacing w:val="-1"/>
              </w:rPr>
              <w:t xml:space="preserve">All other </w:t>
              <w:br/>
              <w:t xml:space="preserve">compensation </w:t>
              <w:br/>
              <w:t>($)</w:t>
            </w:r>
            <w:r>
              <w:rPr>
                <w:spacing w:val="-1"/>
                <w:sz w:val="9"/>
              </w:rPr>
              <w:t>(3)</w:t>
            </w:r>
            <w:r>
              <w:rPr/>
              <w:t xml:space="preserve"> </w:t>
            </w:r>
          </w:p>
        </w:tc>
        <w:tc>
          <w:tcPr>
            <w:tcW w:w="109"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393" w:type="dxa"/>
            <w:gridSpan w:val="4"/>
            <w:tcBorders/>
            <w:shd w:fill="FF6A00" w:val="clear"/>
            <w:vAlign w:val="center"/>
          </w:tcPr>
          <w:p>
            <w:pPr>
              <w:pStyle w:val="TableContents"/>
              <w:bidi w:val="0"/>
              <w:spacing w:before="0" w:after="0"/>
              <w:jc w:val="center"/>
              <w:rPr>
                <w:spacing w:val="-1"/>
              </w:rPr>
            </w:pPr>
            <w:r>
              <w:rPr>
                <w:spacing w:val="-1"/>
              </w:rPr>
              <w:t xml:space="preserve">Total </w:t>
              <w:br/>
              <w:t xml:space="preserve">($) </w:t>
            </w:r>
          </w:p>
        </w:tc>
        <w:tc>
          <w:tcPr>
            <w:tcW w:w="154" w:type="dxa"/>
            <w:tcBorders/>
            <w:shd w:fill="FF6A00" w:val="clear"/>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946" w:type="dxa"/>
            <w:vMerge w:val="restart"/>
            <w:tcBorders/>
            <w:vAlign w:val="center"/>
          </w:tcPr>
          <w:p>
            <w:pPr>
              <w:pStyle w:val="TableContents"/>
              <w:bidi w:val="0"/>
              <w:spacing w:lineRule="atLeast" w:line="220" w:before="0" w:after="0"/>
              <w:ind w:left="140" w:right="0" w:hanging="140"/>
              <w:jc w:val="left"/>
              <w:rPr>
                <w:i/>
              </w:rPr>
            </w:pPr>
            <w:r>
              <w:rPr>
                <w:b/>
                <w:i w:val="false"/>
                <w:caps w:val="false"/>
                <w:smallCaps w:val="false"/>
                <w:spacing w:val="-1"/>
              </w:rPr>
              <w:t>Aaron Jagdfeld</w:t>
            </w:r>
            <w:r>
              <w:rPr>
                <w:i/>
              </w:rPr>
              <w:t xml:space="preserve"> </w:t>
              <w:br/>
              <w:t>Chairman, President and Chief Executive Officer</w:t>
            </w:r>
          </w:p>
        </w:tc>
        <w:tc>
          <w:tcPr>
            <w:tcW w:w="109" w:type="dxa"/>
            <w:vMerge w:val="restart"/>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20" w:before="0" w:after="283"/>
              <w:jc w:val="right"/>
              <w:rPr/>
            </w:pPr>
            <w:r>
              <w:rPr/>
              <w:t>​</w:t>
            </w:r>
          </w:p>
        </w:tc>
        <w:tc>
          <w:tcPr>
            <w:tcW w:w="586" w:type="dxa"/>
            <w:tcBorders/>
            <w:vAlign w:val="center"/>
          </w:tcPr>
          <w:p>
            <w:pPr>
              <w:pStyle w:val="TableContents"/>
              <w:bidi w:val="0"/>
              <w:spacing w:lineRule="atLeast" w:line="220" w:before="0" w:after="283"/>
              <w:jc w:val="right"/>
              <w:rPr/>
            </w:pPr>
            <w:r>
              <w:rPr/>
              <w:t>2025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20" w:before="0" w:after="283"/>
              <w:jc w:val="right"/>
              <w:rPr/>
            </w:pPr>
            <w:r>
              <w:rPr/>
              <w:t>​</w:t>
            </w:r>
          </w:p>
        </w:tc>
        <w:tc>
          <w:tcPr>
            <w:tcW w:w="1066" w:type="dxa"/>
            <w:tcBorders/>
            <w:vAlign w:val="center"/>
          </w:tcPr>
          <w:p>
            <w:pPr>
              <w:pStyle w:val="TableContents"/>
              <w:bidi w:val="0"/>
              <w:spacing w:lineRule="atLeast" w:line="220" w:before="0" w:after="283"/>
              <w:jc w:val="right"/>
              <w:rPr/>
            </w:pPr>
            <w:r>
              <w:rPr/>
              <w:t>1,090,548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lineRule="atLeast" w:line="220" w:before="0" w:after="283"/>
              <w:jc w:val="right"/>
              <w:rPr/>
            </w:pPr>
            <w:r>
              <w:rPr/>
              <w:t>​</w:t>
            </w:r>
          </w:p>
        </w:tc>
        <w:tc>
          <w:tcPr>
            <w:tcW w:w="368" w:type="dxa"/>
            <w:tcBorders/>
            <w:vAlign w:val="center"/>
          </w:tcPr>
          <w:p>
            <w:pPr>
              <w:pStyle w:val="TableContents"/>
              <w:bidi w:val="0"/>
              <w:spacing w:lineRule="atLeast" w:line="220" w:before="0" w:after="283"/>
              <w:jc w:val="right"/>
              <w:rPr/>
            </w:pPr>
            <w:r>
              <w:rPr/>
              <w:t>—</w:t>
            </w:r>
          </w:p>
        </w:tc>
        <w:tc>
          <w:tcPr>
            <w:tcW w:w="11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20" w:before="0" w:after="283"/>
              <w:jc w:val="right"/>
              <w:rPr/>
            </w:pPr>
            <w:r>
              <w:rPr/>
              <w:t>​</w:t>
            </w:r>
          </w:p>
        </w:tc>
        <w:tc>
          <w:tcPr>
            <w:tcW w:w="1066" w:type="dxa"/>
            <w:tcBorders/>
            <w:vAlign w:val="center"/>
          </w:tcPr>
          <w:p>
            <w:pPr>
              <w:pStyle w:val="TableContents"/>
              <w:bidi w:val="0"/>
              <w:spacing w:lineRule="atLeast" w:line="220" w:before="0" w:after="283"/>
              <w:jc w:val="right"/>
              <w:rPr/>
            </w:pPr>
            <w:r>
              <w:rPr/>
              <w:t>5,250,185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20" w:before="0" w:after="283"/>
              <w:jc w:val="right"/>
              <w:rPr/>
            </w:pPr>
            <w:r>
              <w:rPr/>
              <w:t>​</w:t>
            </w:r>
          </w:p>
        </w:tc>
        <w:tc>
          <w:tcPr>
            <w:tcW w:w="1066" w:type="dxa"/>
            <w:tcBorders/>
            <w:vAlign w:val="center"/>
          </w:tcPr>
          <w:p>
            <w:pPr>
              <w:pStyle w:val="TableContents"/>
              <w:bidi w:val="0"/>
              <w:spacing w:lineRule="atLeast" w:line="220" w:before="0" w:after="283"/>
              <w:jc w:val="right"/>
              <w:rPr/>
            </w:pPr>
            <w:r>
              <w:rPr/>
              <w:t>1,750,006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20" w:before="0" w:after="283"/>
              <w:jc w:val="right"/>
              <w:rPr/>
            </w:pPr>
            <w:r>
              <w:rPr/>
              <w:t>​</w:t>
            </w:r>
          </w:p>
        </w:tc>
        <w:tc>
          <w:tcPr>
            <w:tcW w:w="1071" w:type="dxa"/>
            <w:tcBorders/>
            <w:vAlign w:val="center"/>
          </w:tcPr>
          <w:p>
            <w:pPr>
              <w:pStyle w:val="TableContents"/>
              <w:bidi w:val="0"/>
              <w:spacing w:lineRule="atLeast" w:line="220" w:before="0" w:after="283"/>
              <w:jc w:val="right"/>
              <w:rPr/>
            </w:pPr>
            <w:r>
              <w:rPr/>
              <w:t>683,286</w:t>
            </w:r>
          </w:p>
        </w:tc>
        <w:tc>
          <w:tcPr>
            <w:tcW w:w="11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9" w:type="dxa"/>
            <w:tcBorders/>
            <w:vAlign w:val="center"/>
          </w:tcPr>
          <w:p>
            <w:pPr>
              <w:pStyle w:val="TableContents"/>
              <w:bidi w:val="0"/>
              <w:spacing w:before="0" w:after="283"/>
              <w:jc w:val="left"/>
              <w:rPr/>
            </w:pPr>
            <w:r>
              <w:rPr/>
              <w:t>​</w:t>
            </w:r>
          </w:p>
        </w:tc>
        <w:tc>
          <w:tcPr>
            <w:tcW w:w="139" w:type="dxa"/>
            <w:tcBorders/>
            <w:vAlign w:val="center"/>
          </w:tcPr>
          <w:p>
            <w:pPr>
              <w:pStyle w:val="TableContents"/>
              <w:bidi w:val="0"/>
              <w:spacing w:lineRule="atLeast" w:line="220" w:before="0" w:after="283"/>
              <w:jc w:val="right"/>
              <w:rPr/>
            </w:pPr>
            <w:r>
              <w:rPr/>
              <w:t>​</w:t>
            </w:r>
          </w:p>
        </w:tc>
        <w:tc>
          <w:tcPr>
            <w:tcW w:w="981" w:type="dxa"/>
            <w:tcBorders/>
            <w:vAlign w:val="center"/>
          </w:tcPr>
          <w:p>
            <w:pPr>
              <w:pStyle w:val="TableContents"/>
              <w:bidi w:val="0"/>
              <w:spacing w:lineRule="atLeast" w:line="220" w:before="0" w:after="283"/>
              <w:jc w:val="right"/>
              <w:rPr/>
            </w:pPr>
            <w:r>
              <w:rPr/>
              <w:t>35,740</w:t>
            </w:r>
          </w:p>
        </w:tc>
        <w:tc>
          <w:tcPr>
            <w:tcW w:w="14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20" w:before="0" w:after="283"/>
              <w:jc w:val="right"/>
              <w:rPr/>
            </w:pPr>
            <w:r>
              <w:rPr/>
              <w:t>​</w:t>
            </w:r>
          </w:p>
        </w:tc>
        <w:tc>
          <w:tcPr>
            <w:tcW w:w="1066" w:type="dxa"/>
            <w:tcBorders/>
            <w:vAlign w:val="center"/>
          </w:tcPr>
          <w:p>
            <w:pPr>
              <w:pStyle w:val="TableContents"/>
              <w:bidi w:val="0"/>
              <w:spacing w:lineRule="atLeast" w:line="220" w:before="0" w:after="283"/>
              <w:jc w:val="right"/>
              <w:rPr/>
            </w:pPr>
            <w:r>
              <w:rPr/>
              <w:t>8,809,765</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94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6" w:type="dxa"/>
            <w:tcBorders/>
            <w:vAlign w:val="center"/>
          </w:tcPr>
          <w:p>
            <w:pPr>
              <w:pStyle w:val="TableContents"/>
              <w:bidi w:val="0"/>
              <w:spacing w:before="0" w:after="283"/>
              <w:jc w:val="right"/>
              <w:rPr/>
            </w:pPr>
            <w:r>
              <w:rPr/>
              <w:t>2024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1,050,000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right"/>
              <w:rPr/>
            </w:pPr>
            <w:r>
              <w:rPr/>
              <w:t>​</w:t>
            </w:r>
          </w:p>
        </w:tc>
        <w:tc>
          <w:tcPr>
            <w:tcW w:w="368" w:type="dxa"/>
            <w:tcBorders/>
            <w:vAlign w:val="center"/>
          </w:tcPr>
          <w:p>
            <w:pPr>
              <w:pStyle w:val="TableContents"/>
              <w:bidi w:val="0"/>
              <w:spacing w:before="0" w:after="283"/>
              <w:jc w:val="right"/>
              <w:rPr/>
            </w:pPr>
            <w:r>
              <w:rPr/>
              <w:t>—</w:t>
            </w:r>
          </w:p>
        </w:tc>
        <w:tc>
          <w:tcPr>
            <w:tcW w:w="11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4,687,703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1,562,539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71" w:type="dxa"/>
            <w:tcBorders/>
            <w:vAlign w:val="center"/>
          </w:tcPr>
          <w:p>
            <w:pPr>
              <w:pStyle w:val="TableContents"/>
              <w:bidi w:val="0"/>
              <w:spacing w:before="0" w:after="283"/>
              <w:jc w:val="right"/>
              <w:rPr/>
            </w:pPr>
            <w:r>
              <w:rPr/>
              <w:t>1,963,553</w:t>
            </w:r>
          </w:p>
        </w:tc>
        <w:tc>
          <w:tcPr>
            <w:tcW w:w="11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9" w:type="dxa"/>
            <w:tcBorders/>
            <w:vAlign w:val="center"/>
          </w:tcPr>
          <w:p>
            <w:pPr>
              <w:pStyle w:val="TableContents"/>
              <w:bidi w:val="0"/>
              <w:spacing w:before="0" w:after="283"/>
              <w:jc w:val="left"/>
              <w:rPr/>
            </w:pPr>
            <w:r>
              <w:rPr/>
              <w:t>​</w:t>
            </w:r>
          </w:p>
        </w:tc>
        <w:tc>
          <w:tcPr>
            <w:tcW w:w="139" w:type="dxa"/>
            <w:tcBorders/>
            <w:vAlign w:val="center"/>
          </w:tcPr>
          <w:p>
            <w:pPr>
              <w:pStyle w:val="TableContents"/>
              <w:bidi w:val="0"/>
              <w:spacing w:before="0" w:after="283"/>
              <w:jc w:val="right"/>
              <w:rPr/>
            </w:pPr>
            <w:r>
              <w:rPr/>
              <w:t>​</w:t>
            </w:r>
          </w:p>
        </w:tc>
        <w:tc>
          <w:tcPr>
            <w:tcW w:w="981" w:type="dxa"/>
            <w:tcBorders/>
            <w:vAlign w:val="center"/>
          </w:tcPr>
          <w:p>
            <w:pPr>
              <w:pStyle w:val="TableContents"/>
              <w:bidi w:val="0"/>
              <w:spacing w:before="0" w:after="283"/>
              <w:jc w:val="right"/>
              <w:rPr/>
            </w:pPr>
            <w:r>
              <w:rPr/>
              <w:t>34,171</w:t>
            </w:r>
          </w:p>
        </w:tc>
        <w:tc>
          <w:tcPr>
            <w:tcW w:w="14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9,297,966</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94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6" w:type="dxa"/>
            <w:tcBorders/>
            <w:vAlign w:val="center"/>
          </w:tcPr>
          <w:p>
            <w:pPr>
              <w:pStyle w:val="TableContents"/>
              <w:bidi w:val="0"/>
              <w:spacing w:before="0" w:after="283"/>
              <w:jc w:val="right"/>
              <w:rPr/>
            </w:pPr>
            <w:r>
              <w:rPr/>
              <w:t>2023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1,050,000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right"/>
              <w:rPr/>
            </w:pPr>
            <w:r>
              <w:rPr/>
              <w:t>​</w:t>
            </w:r>
          </w:p>
        </w:tc>
        <w:tc>
          <w:tcPr>
            <w:tcW w:w="368" w:type="dxa"/>
            <w:tcBorders/>
            <w:vAlign w:val="center"/>
          </w:tcPr>
          <w:p>
            <w:pPr>
              <w:pStyle w:val="TableContents"/>
              <w:bidi w:val="0"/>
              <w:spacing w:before="0" w:after="283"/>
              <w:jc w:val="right"/>
              <w:rPr/>
            </w:pPr>
            <w:r>
              <w:rPr/>
              <w:t>—</w:t>
            </w:r>
          </w:p>
        </w:tc>
        <w:tc>
          <w:tcPr>
            <w:tcW w:w="11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3,996,222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2,004,001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71" w:type="dxa"/>
            <w:tcBorders/>
            <w:vAlign w:val="center"/>
          </w:tcPr>
          <w:p>
            <w:pPr>
              <w:pStyle w:val="TableContents"/>
              <w:bidi w:val="0"/>
              <w:spacing w:before="0" w:after="283"/>
              <w:jc w:val="right"/>
              <w:rPr/>
            </w:pPr>
            <w:r>
              <w:rPr/>
              <w:t>—</w:t>
            </w:r>
          </w:p>
        </w:tc>
        <w:tc>
          <w:tcPr>
            <w:tcW w:w="11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9" w:type="dxa"/>
            <w:tcBorders/>
            <w:vAlign w:val="center"/>
          </w:tcPr>
          <w:p>
            <w:pPr>
              <w:pStyle w:val="TableContents"/>
              <w:bidi w:val="0"/>
              <w:spacing w:before="0" w:after="283"/>
              <w:jc w:val="left"/>
              <w:rPr/>
            </w:pPr>
            <w:r>
              <w:rPr/>
              <w:t>​</w:t>
            </w:r>
          </w:p>
        </w:tc>
        <w:tc>
          <w:tcPr>
            <w:tcW w:w="139" w:type="dxa"/>
            <w:tcBorders/>
            <w:vAlign w:val="center"/>
          </w:tcPr>
          <w:p>
            <w:pPr>
              <w:pStyle w:val="TableContents"/>
              <w:bidi w:val="0"/>
              <w:spacing w:before="0" w:after="283"/>
              <w:jc w:val="right"/>
              <w:rPr/>
            </w:pPr>
            <w:r>
              <w:rPr/>
              <w:t>​</w:t>
            </w:r>
          </w:p>
        </w:tc>
        <w:tc>
          <w:tcPr>
            <w:tcW w:w="981" w:type="dxa"/>
            <w:tcBorders/>
            <w:vAlign w:val="center"/>
          </w:tcPr>
          <w:p>
            <w:pPr>
              <w:pStyle w:val="TableContents"/>
              <w:bidi w:val="0"/>
              <w:spacing w:before="0" w:after="283"/>
              <w:jc w:val="right"/>
              <w:rPr/>
            </w:pPr>
            <w:r>
              <w:rPr/>
              <w:t>34,742</w:t>
            </w:r>
          </w:p>
        </w:tc>
        <w:tc>
          <w:tcPr>
            <w:tcW w:w="14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7,084,966</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restart"/>
            <w:tcBorders/>
            <w:shd w:fill="B2B2B2" w:val="clear"/>
            <w:vAlign w:val="center"/>
          </w:tcPr>
          <w:p>
            <w:pPr>
              <w:pStyle w:val="TableContents"/>
              <w:bidi w:val="0"/>
              <w:spacing w:before="0" w:after="283"/>
              <w:jc w:val="left"/>
              <w:rPr/>
            </w:pPr>
            <w:r>
              <w:rPr/>
              <w:t>​</w:t>
            </w:r>
          </w:p>
        </w:tc>
        <w:tc>
          <w:tcPr>
            <w:tcW w:w="1946" w:type="dxa"/>
            <w:vMerge w:val="restart"/>
            <w:tcBorders/>
            <w:shd w:fill="B2B2B2" w:val="clear"/>
            <w:vAlign w:val="center"/>
          </w:tcPr>
          <w:p>
            <w:pPr>
              <w:pStyle w:val="TableContents"/>
              <w:bidi w:val="0"/>
              <w:spacing w:lineRule="atLeast" w:line="220" w:before="0" w:after="0"/>
              <w:ind w:left="140" w:right="0" w:hanging="140"/>
              <w:jc w:val="left"/>
              <w:rPr>
                <w:b/>
              </w:rPr>
            </w:pPr>
            <w:r>
              <w:rPr>
                <w:b/>
                <w:spacing w:val="-1"/>
              </w:rPr>
              <w:t>York Ragen</w:t>
            </w:r>
            <w:r>
              <w:rPr>
                <w:b/>
              </w:rPr>
              <w:t xml:space="preserve"> </w:t>
              <w:br/>
            </w:r>
            <w:r>
              <w:rPr>
                <w:b w:val="false"/>
                <w:i/>
              </w:rPr>
              <w:t>Chief Financial Officer</w:t>
            </w:r>
            <w:r>
              <w:rPr>
                <w:b/>
              </w:rPr>
              <w:t xml:space="preserve"> </w:t>
            </w:r>
          </w:p>
        </w:tc>
        <w:tc>
          <w:tcPr>
            <w:tcW w:w="109" w:type="dxa"/>
            <w:vMerge w:val="restart"/>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lineRule="atLeast" w:line="220" w:before="0" w:after="283"/>
              <w:jc w:val="right"/>
              <w:rPr/>
            </w:pPr>
            <w:r>
              <w:rPr/>
              <w:t>​</w:t>
            </w:r>
          </w:p>
        </w:tc>
        <w:tc>
          <w:tcPr>
            <w:tcW w:w="586" w:type="dxa"/>
            <w:tcBorders/>
            <w:shd w:fill="B2B2B2" w:val="clear"/>
            <w:vAlign w:val="center"/>
          </w:tcPr>
          <w:p>
            <w:pPr>
              <w:pStyle w:val="TableContents"/>
              <w:bidi w:val="0"/>
              <w:spacing w:lineRule="atLeast" w:line="220" w:before="0" w:after="283"/>
              <w:jc w:val="right"/>
              <w:rPr/>
            </w:pPr>
            <w:r>
              <w:rPr/>
              <w:t>2025</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lineRule="atLeast" w:line="220" w:before="0" w:after="283"/>
              <w:jc w:val="right"/>
              <w:rPr/>
            </w:pPr>
            <w:r>
              <w:rPr/>
              <w:t>​</w:t>
            </w:r>
          </w:p>
        </w:tc>
        <w:tc>
          <w:tcPr>
            <w:tcW w:w="1066" w:type="dxa"/>
            <w:tcBorders/>
            <w:shd w:fill="B2B2B2" w:val="clear"/>
            <w:vAlign w:val="center"/>
          </w:tcPr>
          <w:p>
            <w:pPr>
              <w:pStyle w:val="TableContents"/>
              <w:bidi w:val="0"/>
              <w:spacing w:lineRule="atLeast" w:line="220" w:before="0" w:after="283"/>
              <w:jc w:val="right"/>
              <w:rPr/>
            </w:pPr>
            <w:r>
              <w:rPr/>
              <w:t>572,707</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16" w:type="dxa"/>
            <w:tcBorders/>
            <w:shd w:fill="B2B2B2" w:val="clear"/>
            <w:vAlign w:val="center"/>
          </w:tcPr>
          <w:p>
            <w:pPr>
              <w:pStyle w:val="TableContents"/>
              <w:bidi w:val="0"/>
              <w:spacing w:before="0" w:after="283"/>
              <w:jc w:val="left"/>
              <w:rPr/>
            </w:pPr>
            <w:r>
              <w:rPr/>
              <w:t>​</w:t>
            </w:r>
          </w:p>
        </w:tc>
        <w:tc>
          <w:tcPr>
            <w:tcW w:w="116" w:type="dxa"/>
            <w:tcBorders/>
            <w:shd w:fill="B2B2B2" w:val="clear"/>
            <w:vAlign w:val="center"/>
          </w:tcPr>
          <w:p>
            <w:pPr>
              <w:pStyle w:val="TableContents"/>
              <w:bidi w:val="0"/>
              <w:spacing w:lineRule="atLeast" w:line="220" w:before="0" w:after="283"/>
              <w:jc w:val="right"/>
              <w:rPr/>
            </w:pPr>
            <w:r>
              <w:rPr/>
              <w:t>​</w:t>
            </w:r>
          </w:p>
        </w:tc>
        <w:tc>
          <w:tcPr>
            <w:tcW w:w="368" w:type="dxa"/>
            <w:tcBorders/>
            <w:shd w:fill="B2B2B2" w:val="clear"/>
            <w:vAlign w:val="center"/>
          </w:tcPr>
          <w:p>
            <w:pPr>
              <w:pStyle w:val="TableContents"/>
              <w:bidi w:val="0"/>
              <w:spacing w:lineRule="atLeast" w:line="220" w:before="0" w:after="283"/>
              <w:jc w:val="right"/>
              <w:rPr/>
            </w:pPr>
            <w:r>
              <w:rPr/>
              <w:t>—</w:t>
            </w:r>
          </w:p>
        </w:tc>
        <w:tc>
          <w:tcPr>
            <w:tcW w:w="117"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lineRule="atLeast" w:line="220" w:before="0" w:after="283"/>
              <w:jc w:val="right"/>
              <w:rPr/>
            </w:pPr>
            <w:r>
              <w:rPr/>
              <w:t>​</w:t>
            </w:r>
          </w:p>
        </w:tc>
        <w:tc>
          <w:tcPr>
            <w:tcW w:w="1066" w:type="dxa"/>
            <w:tcBorders/>
            <w:shd w:fill="B2B2B2" w:val="clear"/>
            <w:vAlign w:val="center"/>
          </w:tcPr>
          <w:p>
            <w:pPr>
              <w:pStyle w:val="TableContents"/>
              <w:bidi w:val="0"/>
              <w:spacing w:lineRule="atLeast" w:line="220" w:before="0" w:after="283"/>
              <w:jc w:val="right"/>
              <w:rPr/>
            </w:pPr>
            <w:r>
              <w:rPr/>
              <w:t>1,125,156</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lineRule="atLeast" w:line="220" w:before="0" w:after="283"/>
              <w:jc w:val="right"/>
              <w:rPr/>
            </w:pPr>
            <w:r>
              <w:rPr/>
              <w:t>​</w:t>
            </w:r>
          </w:p>
        </w:tc>
        <w:tc>
          <w:tcPr>
            <w:tcW w:w="1066" w:type="dxa"/>
            <w:tcBorders/>
            <w:shd w:fill="B2B2B2" w:val="clear"/>
            <w:vAlign w:val="center"/>
          </w:tcPr>
          <w:p>
            <w:pPr>
              <w:pStyle w:val="TableContents"/>
              <w:bidi w:val="0"/>
              <w:spacing w:lineRule="atLeast" w:line="220" w:before="0" w:after="283"/>
              <w:jc w:val="right"/>
              <w:rPr/>
            </w:pPr>
            <w:r>
              <w:rPr/>
              <w:t>375,027</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lineRule="atLeast" w:line="220" w:before="0" w:after="283"/>
              <w:jc w:val="right"/>
              <w:rPr/>
            </w:pPr>
            <w:r>
              <w:rPr/>
              <w:t>​</w:t>
            </w:r>
          </w:p>
        </w:tc>
        <w:tc>
          <w:tcPr>
            <w:tcW w:w="1071" w:type="dxa"/>
            <w:tcBorders/>
            <w:shd w:fill="B2B2B2" w:val="clear"/>
            <w:vAlign w:val="center"/>
          </w:tcPr>
          <w:p>
            <w:pPr>
              <w:pStyle w:val="TableContents"/>
              <w:bidi w:val="0"/>
              <w:spacing w:lineRule="atLeast" w:line="220" w:before="0" w:after="283"/>
              <w:jc w:val="right"/>
              <w:rPr/>
            </w:pPr>
            <w:r>
              <w:rPr/>
              <w:t>226,059</w:t>
            </w:r>
          </w:p>
        </w:tc>
        <w:tc>
          <w:tcPr>
            <w:tcW w:w="111"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39" w:type="dxa"/>
            <w:tcBorders/>
            <w:shd w:fill="B2B2B2" w:val="clear"/>
            <w:vAlign w:val="center"/>
          </w:tcPr>
          <w:p>
            <w:pPr>
              <w:pStyle w:val="TableContents"/>
              <w:bidi w:val="0"/>
              <w:spacing w:before="0" w:after="283"/>
              <w:jc w:val="left"/>
              <w:rPr/>
            </w:pPr>
            <w:r>
              <w:rPr/>
              <w:t>​</w:t>
            </w:r>
          </w:p>
        </w:tc>
        <w:tc>
          <w:tcPr>
            <w:tcW w:w="139" w:type="dxa"/>
            <w:tcBorders/>
            <w:shd w:fill="B2B2B2" w:val="clear"/>
            <w:vAlign w:val="center"/>
          </w:tcPr>
          <w:p>
            <w:pPr>
              <w:pStyle w:val="TableContents"/>
              <w:bidi w:val="0"/>
              <w:spacing w:lineRule="atLeast" w:line="220" w:before="0" w:after="283"/>
              <w:jc w:val="right"/>
              <w:rPr/>
            </w:pPr>
            <w:r>
              <w:rPr/>
              <w:t>​</w:t>
            </w:r>
          </w:p>
        </w:tc>
        <w:tc>
          <w:tcPr>
            <w:tcW w:w="981" w:type="dxa"/>
            <w:tcBorders/>
            <w:shd w:fill="B2B2B2" w:val="clear"/>
            <w:vAlign w:val="center"/>
          </w:tcPr>
          <w:p>
            <w:pPr>
              <w:pStyle w:val="TableContents"/>
              <w:bidi w:val="0"/>
              <w:spacing w:lineRule="atLeast" w:line="220" w:before="0" w:after="283"/>
              <w:jc w:val="right"/>
              <w:rPr/>
            </w:pPr>
            <w:r>
              <w:rPr/>
              <w:t>22,758</w:t>
            </w:r>
          </w:p>
        </w:tc>
        <w:tc>
          <w:tcPr>
            <w:tcW w:w="141"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lineRule="atLeast" w:line="220" w:before="0" w:after="283"/>
              <w:jc w:val="right"/>
              <w:rPr/>
            </w:pPr>
            <w:r>
              <w:rPr/>
              <w:t>​</w:t>
            </w:r>
          </w:p>
        </w:tc>
        <w:tc>
          <w:tcPr>
            <w:tcW w:w="1066" w:type="dxa"/>
            <w:tcBorders/>
            <w:shd w:fill="B2B2B2" w:val="clear"/>
            <w:vAlign w:val="center"/>
          </w:tcPr>
          <w:p>
            <w:pPr>
              <w:pStyle w:val="TableContents"/>
              <w:bidi w:val="0"/>
              <w:spacing w:lineRule="atLeast" w:line="220" w:before="0" w:after="283"/>
              <w:jc w:val="right"/>
              <w:rPr/>
            </w:pPr>
            <w:r>
              <w:rPr/>
              <w:t>2,321,707</w:t>
            </w:r>
          </w:p>
        </w:tc>
        <w:tc>
          <w:tcPr>
            <w:tcW w:w="109" w:type="dxa"/>
            <w:tcBorders/>
            <w:shd w:fill="B2B2B2" w:val="clear"/>
            <w:vAlign w:val="center"/>
          </w:tcPr>
          <w:p>
            <w:pPr>
              <w:pStyle w:val="TableContents"/>
              <w:bidi w:val="0"/>
              <w:spacing w:before="0" w:after="283"/>
              <w:jc w:val="left"/>
              <w:rPr/>
            </w:pPr>
            <w:r>
              <w:rPr/>
              <w:t>​</w:t>
            </w:r>
          </w:p>
        </w:tc>
        <w:tc>
          <w:tcPr>
            <w:tcW w:w="154" w:type="dxa"/>
            <w:tcBorders/>
            <w:shd w:fill="B2B2B2" w:val="clear"/>
            <w:vAlign w:val="center"/>
          </w:tcPr>
          <w:p>
            <w:pPr>
              <w:pStyle w:val="TableContents"/>
              <w:bidi w:val="0"/>
              <w:spacing w:before="0" w:after="283"/>
              <w:jc w:val="left"/>
              <w:rPr/>
            </w:pPr>
            <w:r>
              <w:rPr/>
              <w:t>​</w:t>
            </w:r>
          </w:p>
        </w:tc>
      </w:tr>
      <w:tr>
        <w:trPr/>
        <w:tc>
          <w:tcPr>
            <w:tcW w:w="124" w:type="dxa"/>
            <w:vMerge w:val="continue"/>
            <w:tcBorders/>
            <w:shd w:fill="B2B2B2" w:val="clear"/>
            <w:vAlign w:val="center"/>
          </w:tcPr>
          <w:p>
            <w:pPr>
              <w:pStyle w:val="Normal"/>
              <w:bidi w:val="0"/>
              <w:jc w:val="left"/>
              <w:rPr/>
            </w:pPr>
            <w:r>
              <w:rPr/>
            </w:r>
          </w:p>
        </w:tc>
        <w:tc>
          <w:tcPr>
            <w:tcW w:w="1946" w:type="dxa"/>
            <w:vMerge w:val="continue"/>
            <w:tcBorders/>
            <w:shd w:fill="B2B2B2" w:val="clear"/>
            <w:vAlign w:val="center"/>
          </w:tcPr>
          <w:p>
            <w:pPr>
              <w:pStyle w:val="Normal"/>
              <w:bidi w:val="0"/>
              <w:jc w:val="left"/>
              <w:rPr/>
            </w:pPr>
            <w:r>
              <w:rPr/>
            </w:r>
          </w:p>
        </w:tc>
        <w:tc>
          <w:tcPr>
            <w:tcW w:w="109" w:type="dxa"/>
            <w:vMerge w:val="continue"/>
            <w:tcBorders/>
            <w:shd w:fill="B2B2B2" w:val="clear"/>
            <w:vAlign w:val="center"/>
          </w:tcPr>
          <w:p>
            <w:pPr>
              <w:pStyle w:val="Normal"/>
              <w:bidi w:val="0"/>
              <w:jc w:val="left"/>
              <w:rPr/>
            </w:pPr>
            <w:r>
              <w:rPr/>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right"/>
              <w:rPr/>
            </w:pPr>
            <w:r>
              <w:rPr/>
              <w:t>​</w:t>
            </w:r>
          </w:p>
        </w:tc>
        <w:tc>
          <w:tcPr>
            <w:tcW w:w="586" w:type="dxa"/>
            <w:tcBorders/>
            <w:shd w:fill="B2B2B2" w:val="clear"/>
            <w:vAlign w:val="center"/>
          </w:tcPr>
          <w:p>
            <w:pPr>
              <w:pStyle w:val="TableContents"/>
              <w:bidi w:val="0"/>
              <w:spacing w:before="0" w:after="283"/>
              <w:jc w:val="right"/>
              <w:rPr/>
            </w:pPr>
            <w:r>
              <w:rPr/>
              <w:t>2024</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right"/>
              <w:rPr/>
            </w:pPr>
            <w:r>
              <w:rPr/>
              <w:t>​</w:t>
            </w:r>
          </w:p>
        </w:tc>
        <w:tc>
          <w:tcPr>
            <w:tcW w:w="1066" w:type="dxa"/>
            <w:tcBorders/>
            <w:shd w:fill="B2B2B2" w:val="clear"/>
            <w:vAlign w:val="center"/>
          </w:tcPr>
          <w:p>
            <w:pPr>
              <w:pStyle w:val="TableContents"/>
              <w:bidi w:val="0"/>
              <w:spacing w:before="0" w:after="283"/>
              <w:jc w:val="right"/>
              <w:rPr/>
            </w:pPr>
            <w:r>
              <w:rPr/>
              <w:t>545,150</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16" w:type="dxa"/>
            <w:tcBorders/>
            <w:shd w:fill="B2B2B2" w:val="clear"/>
            <w:vAlign w:val="center"/>
          </w:tcPr>
          <w:p>
            <w:pPr>
              <w:pStyle w:val="TableContents"/>
              <w:bidi w:val="0"/>
              <w:spacing w:before="0" w:after="283"/>
              <w:jc w:val="left"/>
              <w:rPr/>
            </w:pPr>
            <w:r>
              <w:rPr/>
              <w:t>​</w:t>
            </w:r>
          </w:p>
        </w:tc>
        <w:tc>
          <w:tcPr>
            <w:tcW w:w="116" w:type="dxa"/>
            <w:tcBorders/>
            <w:shd w:fill="B2B2B2" w:val="clear"/>
            <w:vAlign w:val="center"/>
          </w:tcPr>
          <w:p>
            <w:pPr>
              <w:pStyle w:val="TableContents"/>
              <w:bidi w:val="0"/>
              <w:spacing w:before="0" w:after="283"/>
              <w:jc w:val="right"/>
              <w:rPr/>
            </w:pPr>
            <w:r>
              <w:rPr/>
              <w:t>​</w:t>
            </w:r>
          </w:p>
        </w:tc>
        <w:tc>
          <w:tcPr>
            <w:tcW w:w="368" w:type="dxa"/>
            <w:tcBorders/>
            <w:shd w:fill="B2B2B2" w:val="clear"/>
            <w:vAlign w:val="center"/>
          </w:tcPr>
          <w:p>
            <w:pPr>
              <w:pStyle w:val="TableContents"/>
              <w:bidi w:val="0"/>
              <w:spacing w:before="0" w:after="283"/>
              <w:jc w:val="right"/>
              <w:rPr/>
            </w:pPr>
            <w:r>
              <w:rPr/>
              <w:t>—</w:t>
            </w:r>
          </w:p>
        </w:tc>
        <w:tc>
          <w:tcPr>
            <w:tcW w:w="117"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right"/>
              <w:rPr/>
            </w:pPr>
            <w:r>
              <w:rPr/>
              <w:t>​</w:t>
            </w:r>
          </w:p>
        </w:tc>
        <w:tc>
          <w:tcPr>
            <w:tcW w:w="1066" w:type="dxa"/>
            <w:tcBorders/>
            <w:shd w:fill="B2B2B2" w:val="clear"/>
            <w:vAlign w:val="center"/>
          </w:tcPr>
          <w:p>
            <w:pPr>
              <w:pStyle w:val="TableContents"/>
              <w:bidi w:val="0"/>
              <w:spacing w:before="0" w:after="283"/>
              <w:jc w:val="right"/>
              <w:rPr/>
            </w:pPr>
            <w:r>
              <w:rPr/>
              <w:t>984,387</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right"/>
              <w:rPr/>
            </w:pPr>
            <w:r>
              <w:rPr/>
              <w:t>​</w:t>
            </w:r>
          </w:p>
        </w:tc>
        <w:tc>
          <w:tcPr>
            <w:tcW w:w="1066" w:type="dxa"/>
            <w:tcBorders/>
            <w:shd w:fill="B2B2B2" w:val="clear"/>
            <w:vAlign w:val="center"/>
          </w:tcPr>
          <w:p>
            <w:pPr>
              <w:pStyle w:val="TableContents"/>
              <w:bidi w:val="0"/>
              <w:spacing w:before="0" w:after="283"/>
              <w:jc w:val="right"/>
              <w:rPr/>
            </w:pPr>
            <w:r>
              <w:rPr/>
              <w:t>328,138</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right"/>
              <w:rPr/>
            </w:pPr>
            <w:r>
              <w:rPr/>
              <w:t>​</w:t>
            </w:r>
          </w:p>
        </w:tc>
        <w:tc>
          <w:tcPr>
            <w:tcW w:w="1071" w:type="dxa"/>
            <w:tcBorders/>
            <w:shd w:fill="B2B2B2" w:val="clear"/>
            <w:vAlign w:val="center"/>
          </w:tcPr>
          <w:p>
            <w:pPr>
              <w:pStyle w:val="TableContents"/>
              <w:bidi w:val="0"/>
              <w:spacing w:before="0" w:after="283"/>
              <w:jc w:val="right"/>
              <w:rPr/>
            </w:pPr>
            <w:r>
              <w:rPr/>
              <w:t>632,936</w:t>
            </w:r>
          </w:p>
        </w:tc>
        <w:tc>
          <w:tcPr>
            <w:tcW w:w="111"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39" w:type="dxa"/>
            <w:tcBorders/>
            <w:shd w:fill="B2B2B2" w:val="clear"/>
            <w:vAlign w:val="center"/>
          </w:tcPr>
          <w:p>
            <w:pPr>
              <w:pStyle w:val="TableContents"/>
              <w:bidi w:val="0"/>
              <w:spacing w:before="0" w:after="283"/>
              <w:jc w:val="left"/>
              <w:rPr/>
            </w:pPr>
            <w:r>
              <w:rPr/>
              <w:t>​</w:t>
            </w:r>
          </w:p>
        </w:tc>
        <w:tc>
          <w:tcPr>
            <w:tcW w:w="139" w:type="dxa"/>
            <w:tcBorders/>
            <w:shd w:fill="B2B2B2" w:val="clear"/>
            <w:vAlign w:val="center"/>
          </w:tcPr>
          <w:p>
            <w:pPr>
              <w:pStyle w:val="TableContents"/>
              <w:bidi w:val="0"/>
              <w:spacing w:before="0" w:after="283"/>
              <w:jc w:val="right"/>
              <w:rPr/>
            </w:pPr>
            <w:r>
              <w:rPr/>
              <w:t>​</w:t>
            </w:r>
          </w:p>
        </w:tc>
        <w:tc>
          <w:tcPr>
            <w:tcW w:w="981" w:type="dxa"/>
            <w:tcBorders/>
            <w:shd w:fill="B2B2B2" w:val="clear"/>
            <w:vAlign w:val="center"/>
          </w:tcPr>
          <w:p>
            <w:pPr>
              <w:pStyle w:val="TableContents"/>
              <w:bidi w:val="0"/>
              <w:spacing w:before="0" w:after="283"/>
              <w:jc w:val="right"/>
              <w:rPr/>
            </w:pPr>
            <w:r>
              <w:rPr/>
              <w:t>21,433</w:t>
            </w:r>
          </w:p>
        </w:tc>
        <w:tc>
          <w:tcPr>
            <w:tcW w:w="141"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right"/>
              <w:rPr/>
            </w:pPr>
            <w:r>
              <w:rPr/>
              <w:t>​</w:t>
            </w:r>
          </w:p>
        </w:tc>
        <w:tc>
          <w:tcPr>
            <w:tcW w:w="1066" w:type="dxa"/>
            <w:tcBorders/>
            <w:shd w:fill="B2B2B2" w:val="clear"/>
            <w:vAlign w:val="center"/>
          </w:tcPr>
          <w:p>
            <w:pPr>
              <w:pStyle w:val="TableContents"/>
              <w:bidi w:val="0"/>
              <w:spacing w:before="0" w:after="283"/>
              <w:jc w:val="right"/>
              <w:rPr/>
            </w:pPr>
            <w:r>
              <w:rPr/>
              <w:t>2,512,044</w:t>
            </w:r>
          </w:p>
        </w:tc>
        <w:tc>
          <w:tcPr>
            <w:tcW w:w="109" w:type="dxa"/>
            <w:tcBorders/>
            <w:shd w:fill="B2B2B2" w:val="clear"/>
            <w:vAlign w:val="center"/>
          </w:tcPr>
          <w:p>
            <w:pPr>
              <w:pStyle w:val="TableContents"/>
              <w:bidi w:val="0"/>
              <w:spacing w:before="0" w:after="283"/>
              <w:jc w:val="left"/>
              <w:rPr/>
            </w:pPr>
            <w:r>
              <w:rPr/>
              <w:t>​</w:t>
            </w:r>
          </w:p>
        </w:tc>
        <w:tc>
          <w:tcPr>
            <w:tcW w:w="154" w:type="dxa"/>
            <w:tcBorders/>
            <w:shd w:fill="B2B2B2" w:val="clear"/>
            <w:vAlign w:val="center"/>
          </w:tcPr>
          <w:p>
            <w:pPr>
              <w:pStyle w:val="TableContents"/>
              <w:bidi w:val="0"/>
              <w:spacing w:before="0" w:after="283"/>
              <w:jc w:val="left"/>
              <w:rPr/>
            </w:pPr>
            <w:r>
              <w:rPr/>
              <w:t>​</w:t>
            </w:r>
          </w:p>
        </w:tc>
      </w:tr>
      <w:tr>
        <w:trPr/>
        <w:tc>
          <w:tcPr>
            <w:tcW w:w="124" w:type="dxa"/>
            <w:vMerge w:val="continue"/>
            <w:tcBorders/>
            <w:shd w:fill="B2B2B2" w:val="clear"/>
            <w:vAlign w:val="center"/>
          </w:tcPr>
          <w:p>
            <w:pPr>
              <w:pStyle w:val="Normal"/>
              <w:bidi w:val="0"/>
              <w:jc w:val="left"/>
              <w:rPr/>
            </w:pPr>
            <w:r>
              <w:rPr/>
            </w:r>
          </w:p>
        </w:tc>
        <w:tc>
          <w:tcPr>
            <w:tcW w:w="1946" w:type="dxa"/>
            <w:vMerge w:val="continue"/>
            <w:tcBorders/>
            <w:shd w:fill="B2B2B2" w:val="clear"/>
            <w:vAlign w:val="center"/>
          </w:tcPr>
          <w:p>
            <w:pPr>
              <w:pStyle w:val="Normal"/>
              <w:bidi w:val="0"/>
              <w:jc w:val="left"/>
              <w:rPr/>
            </w:pPr>
            <w:r>
              <w:rPr/>
            </w:r>
          </w:p>
        </w:tc>
        <w:tc>
          <w:tcPr>
            <w:tcW w:w="109" w:type="dxa"/>
            <w:vMerge w:val="continue"/>
            <w:tcBorders/>
            <w:shd w:fill="B2B2B2" w:val="clear"/>
            <w:vAlign w:val="center"/>
          </w:tcPr>
          <w:p>
            <w:pPr>
              <w:pStyle w:val="Normal"/>
              <w:bidi w:val="0"/>
              <w:jc w:val="left"/>
              <w:rPr/>
            </w:pPr>
            <w:r>
              <w:rPr/>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right"/>
              <w:rPr/>
            </w:pPr>
            <w:r>
              <w:rPr/>
              <w:t>​</w:t>
            </w:r>
          </w:p>
        </w:tc>
        <w:tc>
          <w:tcPr>
            <w:tcW w:w="586" w:type="dxa"/>
            <w:tcBorders/>
            <w:shd w:fill="B2B2B2" w:val="clear"/>
            <w:vAlign w:val="center"/>
          </w:tcPr>
          <w:p>
            <w:pPr>
              <w:pStyle w:val="TableContents"/>
              <w:bidi w:val="0"/>
              <w:spacing w:before="0" w:after="283"/>
              <w:jc w:val="right"/>
              <w:rPr/>
            </w:pPr>
            <w:r>
              <w:rPr/>
              <w:t>2023</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right"/>
              <w:rPr/>
            </w:pPr>
            <w:r>
              <w:rPr/>
              <w:t>​</w:t>
            </w:r>
          </w:p>
        </w:tc>
        <w:tc>
          <w:tcPr>
            <w:tcW w:w="1066" w:type="dxa"/>
            <w:tcBorders/>
            <w:shd w:fill="B2B2B2" w:val="clear"/>
            <w:vAlign w:val="center"/>
          </w:tcPr>
          <w:p>
            <w:pPr>
              <w:pStyle w:val="TableContents"/>
              <w:bidi w:val="0"/>
              <w:spacing w:before="0" w:after="283"/>
              <w:jc w:val="right"/>
              <w:rPr/>
            </w:pPr>
            <w:r>
              <w:rPr/>
              <w:t>525,000</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16" w:type="dxa"/>
            <w:tcBorders/>
            <w:shd w:fill="B2B2B2" w:val="clear"/>
            <w:vAlign w:val="center"/>
          </w:tcPr>
          <w:p>
            <w:pPr>
              <w:pStyle w:val="TableContents"/>
              <w:bidi w:val="0"/>
              <w:spacing w:before="0" w:after="283"/>
              <w:jc w:val="left"/>
              <w:rPr/>
            </w:pPr>
            <w:r>
              <w:rPr/>
              <w:t>​</w:t>
            </w:r>
          </w:p>
        </w:tc>
        <w:tc>
          <w:tcPr>
            <w:tcW w:w="116" w:type="dxa"/>
            <w:tcBorders/>
            <w:shd w:fill="B2B2B2" w:val="clear"/>
            <w:vAlign w:val="center"/>
          </w:tcPr>
          <w:p>
            <w:pPr>
              <w:pStyle w:val="TableContents"/>
              <w:bidi w:val="0"/>
              <w:spacing w:before="0" w:after="283"/>
              <w:jc w:val="right"/>
              <w:rPr/>
            </w:pPr>
            <w:r>
              <w:rPr/>
              <w:t>​</w:t>
            </w:r>
          </w:p>
        </w:tc>
        <w:tc>
          <w:tcPr>
            <w:tcW w:w="368" w:type="dxa"/>
            <w:tcBorders/>
            <w:shd w:fill="B2B2B2" w:val="clear"/>
            <w:vAlign w:val="center"/>
          </w:tcPr>
          <w:p>
            <w:pPr>
              <w:pStyle w:val="TableContents"/>
              <w:bidi w:val="0"/>
              <w:spacing w:before="0" w:after="283"/>
              <w:jc w:val="right"/>
              <w:rPr/>
            </w:pPr>
            <w:r>
              <w:rPr/>
              <w:t>—</w:t>
            </w:r>
          </w:p>
        </w:tc>
        <w:tc>
          <w:tcPr>
            <w:tcW w:w="117"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right"/>
              <w:rPr/>
            </w:pPr>
            <w:r>
              <w:rPr/>
              <w:t>​</w:t>
            </w:r>
          </w:p>
        </w:tc>
        <w:tc>
          <w:tcPr>
            <w:tcW w:w="1066" w:type="dxa"/>
            <w:tcBorders/>
            <w:shd w:fill="B2B2B2" w:val="clear"/>
            <w:vAlign w:val="center"/>
          </w:tcPr>
          <w:p>
            <w:pPr>
              <w:pStyle w:val="TableContents"/>
              <w:bidi w:val="0"/>
              <w:spacing w:before="0" w:after="283"/>
              <w:jc w:val="right"/>
              <w:rPr/>
            </w:pPr>
            <w:r>
              <w:rPr/>
              <w:t>874,316</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right"/>
              <w:rPr/>
            </w:pPr>
            <w:r>
              <w:rPr/>
              <w:t>​</w:t>
            </w:r>
          </w:p>
        </w:tc>
        <w:tc>
          <w:tcPr>
            <w:tcW w:w="1066" w:type="dxa"/>
            <w:tcBorders/>
            <w:shd w:fill="B2B2B2" w:val="clear"/>
            <w:vAlign w:val="center"/>
          </w:tcPr>
          <w:p>
            <w:pPr>
              <w:pStyle w:val="TableContents"/>
              <w:bidi w:val="0"/>
              <w:spacing w:before="0" w:after="283"/>
              <w:jc w:val="right"/>
              <w:rPr/>
            </w:pPr>
            <w:r>
              <w:rPr/>
              <w:t>438,418</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right"/>
              <w:rPr/>
            </w:pPr>
            <w:r>
              <w:rPr/>
              <w:t>​</w:t>
            </w:r>
          </w:p>
        </w:tc>
        <w:tc>
          <w:tcPr>
            <w:tcW w:w="1071" w:type="dxa"/>
            <w:tcBorders/>
            <w:shd w:fill="B2B2B2" w:val="clear"/>
            <w:vAlign w:val="center"/>
          </w:tcPr>
          <w:p>
            <w:pPr>
              <w:pStyle w:val="TableContents"/>
              <w:bidi w:val="0"/>
              <w:spacing w:before="0" w:after="283"/>
              <w:jc w:val="right"/>
              <w:rPr/>
            </w:pPr>
            <w:r>
              <w:rPr/>
              <w:t>—</w:t>
            </w:r>
          </w:p>
        </w:tc>
        <w:tc>
          <w:tcPr>
            <w:tcW w:w="111"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39" w:type="dxa"/>
            <w:tcBorders/>
            <w:shd w:fill="B2B2B2" w:val="clear"/>
            <w:vAlign w:val="center"/>
          </w:tcPr>
          <w:p>
            <w:pPr>
              <w:pStyle w:val="TableContents"/>
              <w:bidi w:val="0"/>
              <w:spacing w:before="0" w:after="283"/>
              <w:jc w:val="left"/>
              <w:rPr/>
            </w:pPr>
            <w:r>
              <w:rPr/>
              <w:t>​</w:t>
            </w:r>
          </w:p>
        </w:tc>
        <w:tc>
          <w:tcPr>
            <w:tcW w:w="139" w:type="dxa"/>
            <w:tcBorders/>
            <w:shd w:fill="B2B2B2" w:val="clear"/>
            <w:vAlign w:val="center"/>
          </w:tcPr>
          <w:p>
            <w:pPr>
              <w:pStyle w:val="TableContents"/>
              <w:bidi w:val="0"/>
              <w:spacing w:before="0" w:after="283"/>
              <w:jc w:val="right"/>
              <w:rPr/>
            </w:pPr>
            <w:r>
              <w:rPr/>
              <w:t>​</w:t>
            </w:r>
          </w:p>
        </w:tc>
        <w:tc>
          <w:tcPr>
            <w:tcW w:w="981" w:type="dxa"/>
            <w:tcBorders/>
            <w:shd w:fill="B2B2B2" w:val="clear"/>
            <w:vAlign w:val="center"/>
          </w:tcPr>
          <w:p>
            <w:pPr>
              <w:pStyle w:val="TableContents"/>
              <w:bidi w:val="0"/>
              <w:spacing w:before="0" w:after="283"/>
              <w:jc w:val="right"/>
              <w:rPr/>
            </w:pPr>
            <w:r>
              <w:rPr/>
              <w:t>19,846</w:t>
            </w:r>
          </w:p>
        </w:tc>
        <w:tc>
          <w:tcPr>
            <w:tcW w:w="141"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right"/>
              <w:rPr/>
            </w:pPr>
            <w:r>
              <w:rPr/>
              <w:t>​</w:t>
            </w:r>
          </w:p>
        </w:tc>
        <w:tc>
          <w:tcPr>
            <w:tcW w:w="1066" w:type="dxa"/>
            <w:tcBorders/>
            <w:shd w:fill="B2B2B2" w:val="clear"/>
            <w:vAlign w:val="center"/>
          </w:tcPr>
          <w:p>
            <w:pPr>
              <w:pStyle w:val="TableContents"/>
              <w:bidi w:val="0"/>
              <w:spacing w:before="0" w:after="283"/>
              <w:jc w:val="right"/>
              <w:rPr/>
            </w:pPr>
            <w:r>
              <w:rPr/>
              <w:t>1,857,580</w:t>
            </w:r>
          </w:p>
        </w:tc>
        <w:tc>
          <w:tcPr>
            <w:tcW w:w="109" w:type="dxa"/>
            <w:tcBorders/>
            <w:shd w:fill="B2B2B2" w:val="clear"/>
            <w:vAlign w:val="center"/>
          </w:tcPr>
          <w:p>
            <w:pPr>
              <w:pStyle w:val="TableContents"/>
              <w:bidi w:val="0"/>
              <w:spacing w:before="0" w:after="283"/>
              <w:jc w:val="left"/>
              <w:rPr/>
            </w:pPr>
            <w:r>
              <w:rPr/>
              <w:t>​</w:t>
            </w:r>
          </w:p>
        </w:tc>
        <w:tc>
          <w:tcPr>
            <w:tcW w:w="154" w:type="dxa"/>
            <w:tcBorders/>
            <w:shd w:fill="B2B2B2" w:val="clear"/>
            <w:vAlign w:val="center"/>
          </w:tcPr>
          <w:p>
            <w:pPr>
              <w:pStyle w:val="TableContents"/>
              <w:bidi w:val="0"/>
              <w:spacing w:before="0" w:after="283"/>
              <w:jc w:val="left"/>
              <w:rPr/>
            </w:pPr>
            <w:r>
              <w:rPr/>
              <w:t>​</w:t>
            </w:r>
          </w:p>
        </w:tc>
      </w:tr>
      <w:tr>
        <w:trPr/>
        <w:tc>
          <w:tcPr>
            <w:tcW w:w="124" w:type="dxa"/>
            <w:vMerge w:val="restart"/>
            <w:tcBorders/>
            <w:vAlign w:val="center"/>
          </w:tcPr>
          <w:p>
            <w:pPr>
              <w:pStyle w:val="TableContents"/>
              <w:bidi w:val="0"/>
              <w:spacing w:before="0" w:after="283"/>
              <w:jc w:val="left"/>
              <w:rPr/>
            </w:pPr>
            <w:r>
              <w:rPr/>
              <w:t>​</w:t>
            </w:r>
          </w:p>
        </w:tc>
        <w:tc>
          <w:tcPr>
            <w:tcW w:w="1946" w:type="dxa"/>
            <w:vMerge w:val="restart"/>
            <w:tcBorders/>
            <w:vAlign w:val="center"/>
          </w:tcPr>
          <w:p>
            <w:pPr>
              <w:pStyle w:val="TableContents"/>
              <w:bidi w:val="0"/>
              <w:spacing w:lineRule="atLeast" w:line="220" w:before="0" w:after="0"/>
              <w:ind w:left="140" w:right="0" w:hanging="140"/>
              <w:jc w:val="left"/>
              <w:rPr>
                <w:i/>
              </w:rPr>
            </w:pPr>
            <w:r>
              <w:rPr>
                <w:b/>
                <w:i w:val="false"/>
                <w:caps w:val="false"/>
                <w:smallCaps w:val="false"/>
                <w:spacing w:val="-1"/>
              </w:rPr>
              <w:t>Norman Taffe</w:t>
            </w:r>
            <w:r>
              <w:rPr>
                <w:i/>
              </w:rPr>
              <w:t xml:space="preserve"> </w:t>
              <w:br/>
              <w:t>President, Generac Home</w:t>
            </w:r>
          </w:p>
        </w:tc>
        <w:tc>
          <w:tcPr>
            <w:tcW w:w="109" w:type="dxa"/>
            <w:vMerge w:val="restart"/>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20" w:before="0" w:after="283"/>
              <w:jc w:val="right"/>
              <w:rPr/>
            </w:pPr>
            <w:r>
              <w:rPr/>
              <w:t>​</w:t>
            </w:r>
          </w:p>
        </w:tc>
        <w:tc>
          <w:tcPr>
            <w:tcW w:w="586" w:type="dxa"/>
            <w:tcBorders/>
            <w:vAlign w:val="center"/>
          </w:tcPr>
          <w:p>
            <w:pPr>
              <w:pStyle w:val="TableContents"/>
              <w:bidi w:val="0"/>
              <w:spacing w:lineRule="atLeast" w:line="220" w:before="0" w:after="283"/>
              <w:jc w:val="right"/>
              <w:rPr/>
            </w:pPr>
            <w:r>
              <w:rPr/>
              <w:t>2025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20" w:before="0" w:after="283"/>
              <w:jc w:val="right"/>
              <w:rPr/>
            </w:pPr>
            <w:r>
              <w:rPr/>
              <w:t>​</w:t>
            </w:r>
          </w:p>
        </w:tc>
        <w:tc>
          <w:tcPr>
            <w:tcW w:w="1066" w:type="dxa"/>
            <w:tcBorders/>
            <w:vAlign w:val="center"/>
          </w:tcPr>
          <w:p>
            <w:pPr>
              <w:pStyle w:val="TableContents"/>
              <w:bidi w:val="0"/>
              <w:spacing w:lineRule="atLeast" w:line="220" w:before="0" w:after="283"/>
              <w:jc w:val="right"/>
              <w:rPr/>
            </w:pPr>
            <w:r>
              <w:rPr/>
              <w:t>462,975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lineRule="atLeast" w:line="220" w:before="0" w:after="283"/>
              <w:jc w:val="right"/>
              <w:rPr/>
            </w:pPr>
            <w:r>
              <w:rPr/>
              <w:t>​</w:t>
            </w:r>
          </w:p>
        </w:tc>
        <w:tc>
          <w:tcPr>
            <w:tcW w:w="368" w:type="dxa"/>
            <w:tcBorders/>
            <w:vAlign w:val="center"/>
          </w:tcPr>
          <w:p>
            <w:pPr>
              <w:pStyle w:val="TableContents"/>
              <w:bidi w:val="0"/>
              <w:spacing w:lineRule="atLeast" w:line="220" w:before="0" w:after="283"/>
              <w:jc w:val="right"/>
              <w:rPr/>
            </w:pPr>
            <w:r>
              <w:rPr/>
              <w:t>—</w:t>
            </w:r>
          </w:p>
        </w:tc>
        <w:tc>
          <w:tcPr>
            <w:tcW w:w="11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20" w:before="0" w:after="283"/>
              <w:jc w:val="right"/>
              <w:rPr/>
            </w:pPr>
            <w:r>
              <w:rPr/>
              <w:t>​</w:t>
            </w:r>
          </w:p>
        </w:tc>
        <w:tc>
          <w:tcPr>
            <w:tcW w:w="1066" w:type="dxa"/>
            <w:tcBorders/>
            <w:vAlign w:val="center"/>
          </w:tcPr>
          <w:p>
            <w:pPr>
              <w:pStyle w:val="TableContents"/>
              <w:bidi w:val="0"/>
              <w:spacing w:lineRule="atLeast" w:line="220" w:before="0" w:after="283"/>
              <w:jc w:val="right"/>
              <w:rPr/>
            </w:pPr>
            <w:r>
              <w:rPr/>
              <w:t>750,240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20" w:before="0" w:after="283"/>
              <w:jc w:val="right"/>
              <w:rPr/>
            </w:pPr>
            <w:r>
              <w:rPr/>
              <w:t>​</w:t>
            </w:r>
          </w:p>
        </w:tc>
        <w:tc>
          <w:tcPr>
            <w:tcW w:w="1066" w:type="dxa"/>
            <w:tcBorders/>
            <w:vAlign w:val="center"/>
          </w:tcPr>
          <w:p>
            <w:pPr>
              <w:pStyle w:val="TableContents"/>
              <w:bidi w:val="0"/>
              <w:spacing w:lineRule="atLeast" w:line="220" w:before="0" w:after="283"/>
              <w:jc w:val="right"/>
              <w:rPr/>
            </w:pPr>
            <w:r>
              <w:rPr/>
              <w:t>250,042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20" w:before="0" w:after="283"/>
              <w:jc w:val="right"/>
              <w:rPr/>
            </w:pPr>
            <w:r>
              <w:rPr/>
              <w:t>​</w:t>
            </w:r>
          </w:p>
        </w:tc>
        <w:tc>
          <w:tcPr>
            <w:tcW w:w="1071" w:type="dxa"/>
            <w:tcBorders/>
            <w:vAlign w:val="center"/>
          </w:tcPr>
          <w:p>
            <w:pPr>
              <w:pStyle w:val="TableContents"/>
              <w:bidi w:val="0"/>
              <w:spacing w:lineRule="atLeast" w:line="220" w:before="0" w:after="283"/>
              <w:jc w:val="right"/>
              <w:rPr/>
            </w:pPr>
            <w:r>
              <w:rPr/>
              <w:t>389,203</w:t>
            </w:r>
          </w:p>
        </w:tc>
        <w:tc>
          <w:tcPr>
            <w:tcW w:w="11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9" w:type="dxa"/>
            <w:tcBorders/>
            <w:vAlign w:val="center"/>
          </w:tcPr>
          <w:p>
            <w:pPr>
              <w:pStyle w:val="TableContents"/>
              <w:bidi w:val="0"/>
              <w:spacing w:before="0" w:after="283"/>
              <w:jc w:val="left"/>
              <w:rPr/>
            </w:pPr>
            <w:r>
              <w:rPr/>
              <w:t>​</w:t>
            </w:r>
          </w:p>
        </w:tc>
        <w:tc>
          <w:tcPr>
            <w:tcW w:w="139" w:type="dxa"/>
            <w:tcBorders/>
            <w:vAlign w:val="center"/>
          </w:tcPr>
          <w:p>
            <w:pPr>
              <w:pStyle w:val="TableContents"/>
              <w:bidi w:val="0"/>
              <w:spacing w:lineRule="atLeast" w:line="220" w:before="0" w:after="283"/>
              <w:jc w:val="right"/>
              <w:rPr/>
            </w:pPr>
            <w:r>
              <w:rPr/>
              <w:t>​</w:t>
            </w:r>
          </w:p>
        </w:tc>
        <w:tc>
          <w:tcPr>
            <w:tcW w:w="981" w:type="dxa"/>
            <w:tcBorders/>
            <w:vAlign w:val="center"/>
          </w:tcPr>
          <w:p>
            <w:pPr>
              <w:pStyle w:val="TableContents"/>
              <w:bidi w:val="0"/>
              <w:spacing w:lineRule="atLeast" w:line="220" w:before="0" w:after="283"/>
              <w:jc w:val="right"/>
              <w:rPr/>
            </w:pPr>
            <w:r>
              <w:rPr/>
              <w:t>14,305</w:t>
            </w:r>
          </w:p>
        </w:tc>
        <w:tc>
          <w:tcPr>
            <w:tcW w:w="14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lineRule="atLeast" w:line="220" w:before="0" w:after="283"/>
              <w:jc w:val="right"/>
              <w:rPr/>
            </w:pPr>
            <w:r>
              <w:rPr/>
              <w:t>​</w:t>
            </w:r>
          </w:p>
        </w:tc>
        <w:tc>
          <w:tcPr>
            <w:tcW w:w="1066" w:type="dxa"/>
            <w:tcBorders/>
            <w:vAlign w:val="center"/>
          </w:tcPr>
          <w:p>
            <w:pPr>
              <w:pStyle w:val="TableContents"/>
              <w:bidi w:val="0"/>
              <w:spacing w:lineRule="atLeast" w:line="220" w:before="0" w:after="283"/>
              <w:jc w:val="right"/>
              <w:rPr/>
            </w:pPr>
            <w:r>
              <w:rPr/>
              <w:t>1,866,765</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94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6" w:type="dxa"/>
            <w:tcBorders/>
            <w:vAlign w:val="center"/>
          </w:tcPr>
          <w:p>
            <w:pPr>
              <w:pStyle w:val="TableContents"/>
              <w:bidi w:val="0"/>
              <w:spacing w:before="0" w:after="283"/>
              <w:jc w:val="right"/>
              <w:rPr/>
            </w:pPr>
            <w:r>
              <w:rPr/>
              <w:t>2024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446,799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right"/>
              <w:rPr/>
            </w:pPr>
            <w:r>
              <w:rPr/>
              <w:t>​</w:t>
            </w:r>
          </w:p>
        </w:tc>
        <w:tc>
          <w:tcPr>
            <w:tcW w:w="368" w:type="dxa"/>
            <w:tcBorders/>
            <w:vAlign w:val="center"/>
          </w:tcPr>
          <w:p>
            <w:pPr>
              <w:pStyle w:val="TableContents"/>
              <w:bidi w:val="0"/>
              <w:spacing w:before="0" w:after="283"/>
              <w:jc w:val="right"/>
              <w:rPr/>
            </w:pPr>
            <w:r>
              <w:rPr/>
              <w:t>—</w:t>
            </w:r>
          </w:p>
        </w:tc>
        <w:tc>
          <w:tcPr>
            <w:tcW w:w="11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2,650,447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216,782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71" w:type="dxa"/>
            <w:tcBorders/>
            <w:vAlign w:val="center"/>
          </w:tcPr>
          <w:p>
            <w:pPr>
              <w:pStyle w:val="TableContents"/>
              <w:bidi w:val="0"/>
              <w:spacing w:before="0" w:after="283"/>
              <w:jc w:val="right"/>
              <w:rPr/>
            </w:pPr>
            <w:r>
              <w:rPr/>
              <w:t>246,175</w:t>
            </w:r>
          </w:p>
        </w:tc>
        <w:tc>
          <w:tcPr>
            <w:tcW w:w="11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9" w:type="dxa"/>
            <w:tcBorders/>
            <w:vAlign w:val="center"/>
          </w:tcPr>
          <w:p>
            <w:pPr>
              <w:pStyle w:val="TableContents"/>
              <w:bidi w:val="0"/>
              <w:spacing w:before="0" w:after="283"/>
              <w:jc w:val="left"/>
              <w:rPr/>
            </w:pPr>
            <w:r>
              <w:rPr/>
              <w:t>​</w:t>
            </w:r>
          </w:p>
        </w:tc>
        <w:tc>
          <w:tcPr>
            <w:tcW w:w="139" w:type="dxa"/>
            <w:tcBorders/>
            <w:vAlign w:val="center"/>
          </w:tcPr>
          <w:p>
            <w:pPr>
              <w:pStyle w:val="TableContents"/>
              <w:bidi w:val="0"/>
              <w:spacing w:before="0" w:after="283"/>
              <w:jc w:val="right"/>
              <w:rPr/>
            </w:pPr>
            <w:r>
              <w:rPr/>
              <w:t>​</w:t>
            </w:r>
          </w:p>
        </w:tc>
        <w:tc>
          <w:tcPr>
            <w:tcW w:w="981" w:type="dxa"/>
            <w:tcBorders/>
            <w:vAlign w:val="center"/>
          </w:tcPr>
          <w:p>
            <w:pPr>
              <w:pStyle w:val="TableContents"/>
              <w:bidi w:val="0"/>
              <w:spacing w:before="0" w:after="283"/>
              <w:jc w:val="right"/>
              <w:rPr/>
            </w:pPr>
            <w:r>
              <w:rPr/>
              <w:t>11,499</w:t>
            </w:r>
          </w:p>
        </w:tc>
        <w:tc>
          <w:tcPr>
            <w:tcW w:w="14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3,571,702</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946" w:type="dxa"/>
            <w:vMerge w:val="continue"/>
            <w:tcBorders/>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6" w:type="dxa"/>
            <w:tcBorders/>
            <w:vAlign w:val="center"/>
          </w:tcPr>
          <w:p>
            <w:pPr>
              <w:pStyle w:val="TableContents"/>
              <w:bidi w:val="0"/>
              <w:spacing w:before="0" w:after="283"/>
              <w:jc w:val="right"/>
              <w:rPr/>
            </w:pPr>
            <w:r>
              <w:rPr/>
              <w:t>2023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426,956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right"/>
              <w:rPr/>
            </w:pPr>
            <w:r>
              <w:rPr/>
              <w:t>​</w:t>
            </w:r>
          </w:p>
        </w:tc>
        <w:tc>
          <w:tcPr>
            <w:tcW w:w="368" w:type="dxa"/>
            <w:tcBorders/>
            <w:vAlign w:val="center"/>
          </w:tcPr>
          <w:p>
            <w:pPr>
              <w:pStyle w:val="TableContents"/>
              <w:bidi w:val="0"/>
              <w:spacing w:before="0" w:after="283"/>
              <w:jc w:val="right"/>
              <w:rPr/>
            </w:pPr>
            <w:r>
              <w:rPr/>
              <w:t>—</w:t>
            </w:r>
          </w:p>
        </w:tc>
        <w:tc>
          <w:tcPr>
            <w:tcW w:w="11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1,495,415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248,777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71" w:type="dxa"/>
            <w:tcBorders/>
            <w:vAlign w:val="center"/>
          </w:tcPr>
          <w:p>
            <w:pPr>
              <w:pStyle w:val="TableContents"/>
              <w:bidi w:val="0"/>
              <w:spacing w:before="0" w:after="283"/>
              <w:jc w:val="right"/>
              <w:rPr/>
            </w:pPr>
            <w:r>
              <w:rPr/>
              <w:t>50,160</w:t>
            </w:r>
          </w:p>
        </w:tc>
        <w:tc>
          <w:tcPr>
            <w:tcW w:w="11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9" w:type="dxa"/>
            <w:tcBorders/>
            <w:vAlign w:val="center"/>
          </w:tcPr>
          <w:p>
            <w:pPr>
              <w:pStyle w:val="TableContents"/>
              <w:bidi w:val="0"/>
              <w:spacing w:before="0" w:after="283"/>
              <w:jc w:val="left"/>
              <w:rPr/>
            </w:pPr>
            <w:r>
              <w:rPr/>
              <w:t>​</w:t>
            </w:r>
          </w:p>
        </w:tc>
        <w:tc>
          <w:tcPr>
            <w:tcW w:w="139" w:type="dxa"/>
            <w:tcBorders/>
            <w:vAlign w:val="center"/>
          </w:tcPr>
          <w:p>
            <w:pPr>
              <w:pStyle w:val="TableContents"/>
              <w:bidi w:val="0"/>
              <w:spacing w:before="0" w:after="283"/>
              <w:jc w:val="right"/>
              <w:rPr/>
            </w:pPr>
            <w:r>
              <w:rPr/>
              <w:t>​</w:t>
            </w:r>
          </w:p>
        </w:tc>
        <w:tc>
          <w:tcPr>
            <w:tcW w:w="981" w:type="dxa"/>
            <w:tcBorders/>
            <w:vAlign w:val="center"/>
          </w:tcPr>
          <w:p>
            <w:pPr>
              <w:pStyle w:val="TableContents"/>
              <w:bidi w:val="0"/>
              <w:spacing w:before="0" w:after="283"/>
              <w:jc w:val="right"/>
              <w:rPr/>
            </w:pPr>
            <w:r>
              <w:rPr/>
              <w:t>10,106</w:t>
            </w:r>
          </w:p>
        </w:tc>
        <w:tc>
          <w:tcPr>
            <w:tcW w:w="14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2,231,115</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vMerge w:val="restart"/>
            <w:tcBorders/>
            <w:shd w:fill="B2B2B2" w:val="clear"/>
            <w:vAlign w:val="center"/>
          </w:tcPr>
          <w:p>
            <w:pPr>
              <w:pStyle w:val="TableContents"/>
              <w:bidi w:val="0"/>
              <w:spacing w:before="0" w:after="283"/>
              <w:jc w:val="left"/>
              <w:rPr/>
            </w:pPr>
            <w:r>
              <w:rPr/>
              <w:t>​</w:t>
            </w:r>
          </w:p>
        </w:tc>
        <w:tc>
          <w:tcPr>
            <w:tcW w:w="1946" w:type="dxa"/>
            <w:vMerge w:val="restart"/>
            <w:tcBorders/>
            <w:shd w:fill="B2B2B2" w:val="clear"/>
            <w:vAlign w:val="center"/>
          </w:tcPr>
          <w:p>
            <w:pPr>
              <w:pStyle w:val="TableContents"/>
              <w:bidi w:val="0"/>
              <w:spacing w:lineRule="atLeast" w:line="220" w:before="0" w:after="0"/>
              <w:ind w:left="140" w:right="0" w:hanging="140"/>
              <w:jc w:val="left"/>
              <w:rPr>
                <w:b/>
              </w:rPr>
            </w:pPr>
            <w:r>
              <w:rPr>
                <w:b/>
                <w:spacing w:val="-1"/>
              </w:rPr>
              <w:t>Erik Wilde</w:t>
            </w:r>
            <w:r>
              <w:rPr>
                <w:b/>
              </w:rPr>
              <w:t xml:space="preserve"> </w:t>
              <w:br/>
            </w:r>
            <w:r>
              <w:rPr>
                <w:b w:val="false"/>
                <w:i/>
              </w:rPr>
              <w:t>President, Domestic C&amp;I</w:t>
            </w:r>
            <w:r>
              <w:rPr>
                <w:b/>
              </w:rPr>
              <w:t xml:space="preserve"> </w:t>
            </w:r>
          </w:p>
        </w:tc>
        <w:tc>
          <w:tcPr>
            <w:tcW w:w="109" w:type="dxa"/>
            <w:vMerge w:val="restart"/>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lineRule="atLeast" w:line="220" w:before="0" w:after="283"/>
              <w:jc w:val="right"/>
              <w:rPr/>
            </w:pPr>
            <w:r>
              <w:rPr/>
              <w:t>​</w:t>
            </w:r>
          </w:p>
        </w:tc>
        <w:tc>
          <w:tcPr>
            <w:tcW w:w="586" w:type="dxa"/>
            <w:tcBorders/>
            <w:shd w:fill="B2B2B2" w:val="clear"/>
            <w:vAlign w:val="center"/>
          </w:tcPr>
          <w:p>
            <w:pPr>
              <w:pStyle w:val="TableContents"/>
              <w:bidi w:val="0"/>
              <w:spacing w:lineRule="atLeast" w:line="220" w:before="0" w:after="283"/>
              <w:jc w:val="right"/>
              <w:rPr/>
            </w:pPr>
            <w:r>
              <w:rPr/>
              <w:t>2025</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lineRule="atLeast" w:line="220" w:before="0" w:after="283"/>
              <w:jc w:val="right"/>
              <w:rPr/>
            </w:pPr>
            <w:r>
              <w:rPr/>
              <w:t>​</w:t>
            </w:r>
          </w:p>
        </w:tc>
        <w:tc>
          <w:tcPr>
            <w:tcW w:w="1066" w:type="dxa"/>
            <w:tcBorders/>
            <w:shd w:fill="B2B2B2" w:val="clear"/>
            <w:vAlign w:val="center"/>
          </w:tcPr>
          <w:p>
            <w:pPr>
              <w:pStyle w:val="TableContents"/>
              <w:bidi w:val="0"/>
              <w:spacing w:lineRule="atLeast" w:line="220" w:before="0" w:after="283"/>
              <w:jc w:val="right"/>
              <w:rPr/>
            </w:pPr>
            <w:r>
              <w:rPr/>
              <w:t>462,975</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16" w:type="dxa"/>
            <w:tcBorders/>
            <w:shd w:fill="B2B2B2" w:val="clear"/>
            <w:vAlign w:val="center"/>
          </w:tcPr>
          <w:p>
            <w:pPr>
              <w:pStyle w:val="TableContents"/>
              <w:bidi w:val="0"/>
              <w:spacing w:before="0" w:after="283"/>
              <w:jc w:val="left"/>
              <w:rPr/>
            </w:pPr>
            <w:r>
              <w:rPr/>
              <w:t>​</w:t>
            </w:r>
          </w:p>
        </w:tc>
        <w:tc>
          <w:tcPr>
            <w:tcW w:w="116" w:type="dxa"/>
            <w:tcBorders/>
            <w:shd w:fill="B2B2B2" w:val="clear"/>
            <w:vAlign w:val="center"/>
          </w:tcPr>
          <w:p>
            <w:pPr>
              <w:pStyle w:val="TableContents"/>
              <w:bidi w:val="0"/>
              <w:spacing w:lineRule="atLeast" w:line="220" w:before="0" w:after="283"/>
              <w:jc w:val="right"/>
              <w:rPr/>
            </w:pPr>
            <w:r>
              <w:rPr/>
              <w:t>​</w:t>
            </w:r>
          </w:p>
        </w:tc>
        <w:tc>
          <w:tcPr>
            <w:tcW w:w="368" w:type="dxa"/>
            <w:tcBorders/>
            <w:shd w:fill="B2B2B2" w:val="clear"/>
            <w:vAlign w:val="center"/>
          </w:tcPr>
          <w:p>
            <w:pPr>
              <w:pStyle w:val="TableContents"/>
              <w:bidi w:val="0"/>
              <w:spacing w:lineRule="atLeast" w:line="220" w:before="0" w:after="283"/>
              <w:jc w:val="right"/>
              <w:rPr/>
            </w:pPr>
            <w:r>
              <w:rPr/>
              <w:t>—</w:t>
            </w:r>
          </w:p>
        </w:tc>
        <w:tc>
          <w:tcPr>
            <w:tcW w:w="117"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lineRule="atLeast" w:line="220" w:before="0" w:after="283"/>
              <w:jc w:val="right"/>
              <w:rPr/>
            </w:pPr>
            <w:r>
              <w:rPr/>
              <w:t>​</w:t>
            </w:r>
          </w:p>
        </w:tc>
        <w:tc>
          <w:tcPr>
            <w:tcW w:w="1066" w:type="dxa"/>
            <w:tcBorders/>
            <w:shd w:fill="B2B2B2" w:val="clear"/>
            <w:vAlign w:val="center"/>
          </w:tcPr>
          <w:p>
            <w:pPr>
              <w:pStyle w:val="TableContents"/>
              <w:bidi w:val="0"/>
              <w:spacing w:lineRule="atLeast" w:line="220" w:before="0" w:after="283"/>
              <w:jc w:val="right"/>
              <w:rPr/>
            </w:pPr>
            <w:r>
              <w:rPr/>
              <w:t>750,240</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lineRule="atLeast" w:line="220" w:before="0" w:after="283"/>
              <w:jc w:val="right"/>
              <w:rPr/>
            </w:pPr>
            <w:r>
              <w:rPr/>
              <w:t>​</w:t>
            </w:r>
          </w:p>
        </w:tc>
        <w:tc>
          <w:tcPr>
            <w:tcW w:w="1066" w:type="dxa"/>
            <w:tcBorders/>
            <w:shd w:fill="B2B2B2" w:val="clear"/>
            <w:vAlign w:val="center"/>
          </w:tcPr>
          <w:p>
            <w:pPr>
              <w:pStyle w:val="TableContents"/>
              <w:bidi w:val="0"/>
              <w:spacing w:lineRule="atLeast" w:line="220" w:before="0" w:after="283"/>
              <w:jc w:val="right"/>
              <w:rPr/>
            </w:pPr>
            <w:r>
              <w:rPr/>
              <w:t>250,042</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lineRule="atLeast" w:line="220" w:before="0" w:after="283"/>
              <w:jc w:val="right"/>
              <w:rPr/>
            </w:pPr>
            <w:r>
              <w:rPr/>
              <w:t>​</w:t>
            </w:r>
          </w:p>
        </w:tc>
        <w:tc>
          <w:tcPr>
            <w:tcW w:w="1071" w:type="dxa"/>
            <w:tcBorders/>
            <w:shd w:fill="B2B2B2" w:val="clear"/>
            <w:vAlign w:val="center"/>
          </w:tcPr>
          <w:p>
            <w:pPr>
              <w:pStyle w:val="TableContents"/>
              <w:bidi w:val="0"/>
              <w:spacing w:lineRule="atLeast" w:line="220" w:before="0" w:after="283"/>
              <w:jc w:val="right"/>
              <w:rPr/>
            </w:pPr>
            <w:r>
              <w:rPr/>
              <w:t>362,847</w:t>
            </w:r>
          </w:p>
        </w:tc>
        <w:tc>
          <w:tcPr>
            <w:tcW w:w="111"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39" w:type="dxa"/>
            <w:tcBorders/>
            <w:shd w:fill="B2B2B2" w:val="clear"/>
            <w:vAlign w:val="center"/>
          </w:tcPr>
          <w:p>
            <w:pPr>
              <w:pStyle w:val="TableContents"/>
              <w:bidi w:val="0"/>
              <w:spacing w:before="0" w:after="283"/>
              <w:jc w:val="left"/>
              <w:rPr/>
            </w:pPr>
            <w:r>
              <w:rPr/>
              <w:t>​</w:t>
            </w:r>
          </w:p>
        </w:tc>
        <w:tc>
          <w:tcPr>
            <w:tcW w:w="139" w:type="dxa"/>
            <w:tcBorders/>
            <w:shd w:fill="B2B2B2" w:val="clear"/>
            <w:vAlign w:val="center"/>
          </w:tcPr>
          <w:p>
            <w:pPr>
              <w:pStyle w:val="TableContents"/>
              <w:bidi w:val="0"/>
              <w:spacing w:lineRule="atLeast" w:line="220" w:before="0" w:after="283"/>
              <w:jc w:val="right"/>
              <w:rPr/>
            </w:pPr>
            <w:r>
              <w:rPr/>
              <w:t>​</w:t>
            </w:r>
          </w:p>
        </w:tc>
        <w:tc>
          <w:tcPr>
            <w:tcW w:w="981" w:type="dxa"/>
            <w:tcBorders/>
            <w:shd w:fill="B2B2B2" w:val="clear"/>
            <w:vAlign w:val="center"/>
          </w:tcPr>
          <w:p>
            <w:pPr>
              <w:pStyle w:val="TableContents"/>
              <w:bidi w:val="0"/>
              <w:spacing w:lineRule="atLeast" w:line="220" w:before="0" w:after="283"/>
              <w:jc w:val="right"/>
              <w:rPr/>
            </w:pPr>
            <w:r>
              <w:rPr/>
              <w:t>18,059</w:t>
            </w:r>
          </w:p>
        </w:tc>
        <w:tc>
          <w:tcPr>
            <w:tcW w:w="141"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lineRule="atLeast" w:line="220" w:before="0" w:after="283"/>
              <w:jc w:val="right"/>
              <w:rPr/>
            </w:pPr>
            <w:r>
              <w:rPr/>
              <w:t>​</w:t>
            </w:r>
          </w:p>
        </w:tc>
        <w:tc>
          <w:tcPr>
            <w:tcW w:w="1066" w:type="dxa"/>
            <w:tcBorders/>
            <w:shd w:fill="B2B2B2" w:val="clear"/>
            <w:vAlign w:val="center"/>
          </w:tcPr>
          <w:p>
            <w:pPr>
              <w:pStyle w:val="TableContents"/>
              <w:bidi w:val="0"/>
              <w:spacing w:lineRule="atLeast" w:line="220" w:before="0" w:after="283"/>
              <w:jc w:val="right"/>
              <w:rPr/>
            </w:pPr>
            <w:r>
              <w:rPr/>
              <w:t>1,844,163</w:t>
            </w:r>
          </w:p>
        </w:tc>
        <w:tc>
          <w:tcPr>
            <w:tcW w:w="109" w:type="dxa"/>
            <w:tcBorders/>
            <w:shd w:fill="B2B2B2" w:val="clear"/>
            <w:vAlign w:val="center"/>
          </w:tcPr>
          <w:p>
            <w:pPr>
              <w:pStyle w:val="TableContents"/>
              <w:bidi w:val="0"/>
              <w:spacing w:before="0" w:after="283"/>
              <w:jc w:val="left"/>
              <w:rPr/>
            </w:pPr>
            <w:r>
              <w:rPr/>
              <w:t>​</w:t>
            </w:r>
          </w:p>
        </w:tc>
        <w:tc>
          <w:tcPr>
            <w:tcW w:w="154" w:type="dxa"/>
            <w:tcBorders/>
            <w:shd w:fill="B2B2B2" w:val="clear"/>
            <w:vAlign w:val="center"/>
          </w:tcPr>
          <w:p>
            <w:pPr>
              <w:pStyle w:val="TableContents"/>
              <w:bidi w:val="0"/>
              <w:spacing w:before="0" w:after="283"/>
              <w:jc w:val="left"/>
              <w:rPr/>
            </w:pPr>
            <w:r>
              <w:rPr/>
              <w:t>​</w:t>
            </w:r>
          </w:p>
        </w:tc>
      </w:tr>
      <w:tr>
        <w:trPr/>
        <w:tc>
          <w:tcPr>
            <w:tcW w:w="124" w:type="dxa"/>
            <w:vMerge w:val="continue"/>
            <w:tcBorders/>
            <w:shd w:fill="B2B2B2" w:val="clear"/>
            <w:vAlign w:val="center"/>
          </w:tcPr>
          <w:p>
            <w:pPr>
              <w:pStyle w:val="Normal"/>
              <w:bidi w:val="0"/>
              <w:jc w:val="left"/>
              <w:rPr/>
            </w:pPr>
            <w:r>
              <w:rPr/>
            </w:r>
          </w:p>
        </w:tc>
        <w:tc>
          <w:tcPr>
            <w:tcW w:w="1946" w:type="dxa"/>
            <w:vMerge w:val="continue"/>
            <w:tcBorders/>
            <w:shd w:fill="B2B2B2" w:val="clear"/>
            <w:vAlign w:val="center"/>
          </w:tcPr>
          <w:p>
            <w:pPr>
              <w:pStyle w:val="Normal"/>
              <w:bidi w:val="0"/>
              <w:jc w:val="left"/>
              <w:rPr/>
            </w:pPr>
            <w:r>
              <w:rPr/>
            </w:r>
          </w:p>
        </w:tc>
        <w:tc>
          <w:tcPr>
            <w:tcW w:w="109" w:type="dxa"/>
            <w:vMerge w:val="continue"/>
            <w:tcBorders/>
            <w:shd w:fill="B2B2B2" w:val="clear"/>
            <w:vAlign w:val="center"/>
          </w:tcPr>
          <w:p>
            <w:pPr>
              <w:pStyle w:val="Normal"/>
              <w:bidi w:val="0"/>
              <w:jc w:val="left"/>
              <w:rPr/>
            </w:pPr>
            <w:r>
              <w:rPr/>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right"/>
              <w:rPr/>
            </w:pPr>
            <w:r>
              <w:rPr/>
              <w:t>​</w:t>
            </w:r>
          </w:p>
        </w:tc>
        <w:tc>
          <w:tcPr>
            <w:tcW w:w="586" w:type="dxa"/>
            <w:tcBorders/>
            <w:shd w:fill="B2B2B2" w:val="clear"/>
            <w:vAlign w:val="center"/>
          </w:tcPr>
          <w:p>
            <w:pPr>
              <w:pStyle w:val="TableContents"/>
              <w:bidi w:val="0"/>
              <w:spacing w:before="0" w:after="283"/>
              <w:jc w:val="right"/>
              <w:rPr/>
            </w:pPr>
            <w:r>
              <w:rPr/>
              <w:t>2024</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right"/>
              <w:rPr/>
            </w:pPr>
            <w:r>
              <w:rPr/>
              <w:t>​</w:t>
            </w:r>
          </w:p>
        </w:tc>
        <w:tc>
          <w:tcPr>
            <w:tcW w:w="1066" w:type="dxa"/>
            <w:tcBorders/>
            <w:shd w:fill="B2B2B2" w:val="clear"/>
            <w:vAlign w:val="center"/>
          </w:tcPr>
          <w:p>
            <w:pPr>
              <w:pStyle w:val="TableContents"/>
              <w:bidi w:val="0"/>
              <w:spacing w:before="0" w:after="283"/>
              <w:jc w:val="right"/>
              <w:rPr/>
            </w:pPr>
            <w:r>
              <w:rPr/>
              <w:t>447,439</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16" w:type="dxa"/>
            <w:tcBorders/>
            <w:shd w:fill="B2B2B2" w:val="clear"/>
            <w:vAlign w:val="center"/>
          </w:tcPr>
          <w:p>
            <w:pPr>
              <w:pStyle w:val="TableContents"/>
              <w:bidi w:val="0"/>
              <w:spacing w:before="0" w:after="283"/>
              <w:jc w:val="left"/>
              <w:rPr/>
            </w:pPr>
            <w:r>
              <w:rPr/>
              <w:t>​</w:t>
            </w:r>
          </w:p>
        </w:tc>
        <w:tc>
          <w:tcPr>
            <w:tcW w:w="116" w:type="dxa"/>
            <w:tcBorders/>
            <w:shd w:fill="B2B2B2" w:val="clear"/>
            <w:vAlign w:val="center"/>
          </w:tcPr>
          <w:p>
            <w:pPr>
              <w:pStyle w:val="TableContents"/>
              <w:bidi w:val="0"/>
              <w:spacing w:before="0" w:after="283"/>
              <w:jc w:val="right"/>
              <w:rPr/>
            </w:pPr>
            <w:r>
              <w:rPr/>
              <w:t>​</w:t>
            </w:r>
          </w:p>
        </w:tc>
        <w:tc>
          <w:tcPr>
            <w:tcW w:w="368" w:type="dxa"/>
            <w:tcBorders/>
            <w:shd w:fill="B2B2B2" w:val="clear"/>
            <w:vAlign w:val="center"/>
          </w:tcPr>
          <w:p>
            <w:pPr>
              <w:pStyle w:val="TableContents"/>
              <w:bidi w:val="0"/>
              <w:spacing w:before="0" w:after="283"/>
              <w:jc w:val="right"/>
              <w:rPr/>
            </w:pPr>
            <w:r>
              <w:rPr/>
              <w:t>—</w:t>
            </w:r>
          </w:p>
        </w:tc>
        <w:tc>
          <w:tcPr>
            <w:tcW w:w="117"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right"/>
              <w:rPr/>
            </w:pPr>
            <w:r>
              <w:rPr/>
              <w:t>​</w:t>
            </w:r>
          </w:p>
        </w:tc>
        <w:tc>
          <w:tcPr>
            <w:tcW w:w="1066" w:type="dxa"/>
            <w:tcBorders/>
            <w:shd w:fill="B2B2B2" w:val="clear"/>
            <w:vAlign w:val="center"/>
          </w:tcPr>
          <w:p>
            <w:pPr>
              <w:pStyle w:val="TableContents"/>
              <w:bidi w:val="0"/>
              <w:spacing w:before="0" w:after="283"/>
              <w:jc w:val="right"/>
              <w:rPr/>
            </w:pPr>
            <w:r>
              <w:rPr/>
              <w:t>655,359</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right"/>
              <w:rPr/>
            </w:pPr>
            <w:r>
              <w:rPr/>
              <w:t>​</w:t>
            </w:r>
          </w:p>
        </w:tc>
        <w:tc>
          <w:tcPr>
            <w:tcW w:w="1066" w:type="dxa"/>
            <w:tcBorders/>
            <w:shd w:fill="B2B2B2" w:val="clear"/>
            <w:vAlign w:val="center"/>
          </w:tcPr>
          <w:p>
            <w:pPr>
              <w:pStyle w:val="TableContents"/>
              <w:bidi w:val="0"/>
              <w:spacing w:before="0" w:after="283"/>
              <w:jc w:val="right"/>
              <w:rPr/>
            </w:pPr>
            <w:r>
              <w:rPr/>
              <w:t>218,442</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right"/>
              <w:rPr/>
            </w:pPr>
            <w:r>
              <w:rPr/>
              <w:t>​</w:t>
            </w:r>
          </w:p>
        </w:tc>
        <w:tc>
          <w:tcPr>
            <w:tcW w:w="1071" w:type="dxa"/>
            <w:tcBorders/>
            <w:shd w:fill="B2B2B2" w:val="clear"/>
            <w:vAlign w:val="center"/>
          </w:tcPr>
          <w:p>
            <w:pPr>
              <w:pStyle w:val="TableContents"/>
              <w:bidi w:val="0"/>
              <w:spacing w:before="0" w:after="283"/>
              <w:jc w:val="right"/>
              <w:rPr/>
            </w:pPr>
            <w:r>
              <w:rPr/>
              <w:t>600,656</w:t>
            </w:r>
          </w:p>
        </w:tc>
        <w:tc>
          <w:tcPr>
            <w:tcW w:w="111"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39" w:type="dxa"/>
            <w:tcBorders/>
            <w:shd w:fill="B2B2B2" w:val="clear"/>
            <w:vAlign w:val="center"/>
          </w:tcPr>
          <w:p>
            <w:pPr>
              <w:pStyle w:val="TableContents"/>
              <w:bidi w:val="0"/>
              <w:spacing w:before="0" w:after="283"/>
              <w:jc w:val="left"/>
              <w:rPr/>
            </w:pPr>
            <w:r>
              <w:rPr/>
              <w:t>​</w:t>
            </w:r>
          </w:p>
        </w:tc>
        <w:tc>
          <w:tcPr>
            <w:tcW w:w="139" w:type="dxa"/>
            <w:tcBorders/>
            <w:shd w:fill="B2B2B2" w:val="clear"/>
            <w:vAlign w:val="center"/>
          </w:tcPr>
          <w:p>
            <w:pPr>
              <w:pStyle w:val="TableContents"/>
              <w:bidi w:val="0"/>
              <w:spacing w:before="0" w:after="283"/>
              <w:jc w:val="right"/>
              <w:rPr/>
            </w:pPr>
            <w:r>
              <w:rPr/>
              <w:t>​</w:t>
            </w:r>
          </w:p>
        </w:tc>
        <w:tc>
          <w:tcPr>
            <w:tcW w:w="981" w:type="dxa"/>
            <w:tcBorders/>
            <w:shd w:fill="B2B2B2" w:val="clear"/>
            <w:vAlign w:val="center"/>
          </w:tcPr>
          <w:p>
            <w:pPr>
              <w:pStyle w:val="TableContents"/>
              <w:bidi w:val="0"/>
              <w:spacing w:before="0" w:after="283"/>
              <w:jc w:val="right"/>
              <w:rPr/>
            </w:pPr>
            <w:r>
              <w:rPr/>
              <w:t>20,154</w:t>
            </w:r>
          </w:p>
        </w:tc>
        <w:tc>
          <w:tcPr>
            <w:tcW w:w="141"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right"/>
              <w:rPr/>
            </w:pPr>
            <w:r>
              <w:rPr/>
              <w:t>​</w:t>
            </w:r>
          </w:p>
        </w:tc>
        <w:tc>
          <w:tcPr>
            <w:tcW w:w="1066" w:type="dxa"/>
            <w:tcBorders/>
            <w:shd w:fill="B2B2B2" w:val="clear"/>
            <w:vAlign w:val="center"/>
          </w:tcPr>
          <w:p>
            <w:pPr>
              <w:pStyle w:val="TableContents"/>
              <w:bidi w:val="0"/>
              <w:spacing w:before="0" w:after="283"/>
              <w:jc w:val="right"/>
              <w:rPr/>
            </w:pPr>
            <w:r>
              <w:rPr/>
              <w:t>1,942,050</w:t>
            </w:r>
          </w:p>
        </w:tc>
        <w:tc>
          <w:tcPr>
            <w:tcW w:w="109" w:type="dxa"/>
            <w:tcBorders/>
            <w:shd w:fill="B2B2B2" w:val="clear"/>
            <w:vAlign w:val="center"/>
          </w:tcPr>
          <w:p>
            <w:pPr>
              <w:pStyle w:val="TableContents"/>
              <w:bidi w:val="0"/>
              <w:spacing w:before="0" w:after="283"/>
              <w:jc w:val="left"/>
              <w:rPr/>
            </w:pPr>
            <w:r>
              <w:rPr/>
              <w:t>​</w:t>
            </w:r>
          </w:p>
        </w:tc>
        <w:tc>
          <w:tcPr>
            <w:tcW w:w="154" w:type="dxa"/>
            <w:tcBorders/>
            <w:shd w:fill="B2B2B2" w:val="clear"/>
            <w:vAlign w:val="center"/>
          </w:tcPr>
          <w:p>
            <w:pPr>
              <w:pStyle w:val="TableContents"/>
              <w:bidi w:val="0"/>
              <w:spacing w:before="0" w:after="283"/>
              <w:jc w:val="left"/>
              <w:rPr/>
            </w:pPr>
            <w:r>
              <w:rPr/>
              <w:t>​</w:t>
            </w:r>
          </w:p>
        </w:tc>
      </w:tr>
      <w:tr>
        <w:trPr/>
        <w:tc>
          <w:tcPr>
            <w:tcW w:w="124" w:type="dxa"/>
            <w:vMerge w:val="continue"/>
            <w:tcBorders/>
            <w:shd w:fill="B2B2B2" w:val="clear"/>
            <w:vAlign w:val="center"/>
          </w:tcPr>
          <w:p>
            <w:pPr>
              <w:pStyle w:val="Normal"/>
              <w:bidi w:val="0"/>
              <w:jc w:val="left"/>
              <w:rPr/>
            </w:pPr>
            <w:r>
              <w:rPr/>
            </w:r>
          </w:p>
        </w:tc>
        <w:tc>
          <w:tcPr>
            <w:tcW w:w="1946" w:type="dxa"/>
            <w:vMerge w:val="continue"/>
            <w:tcBorders/>
            <w:shd w:fill="B2B2B2" w:val="clear"/>
            <w:vAlign w:val="center"/>
          </w:tcPr>
          <w:p>
            <w:pPr>
              <w:pStyle w:val="Normal"/>
              <w:bidi w:val="0"/>
              <w:jc w:val="left"/>
              <w:rPr/>
            </w:pPr>
            <w:r>
              <w:rPr/>
            </w:r>
          </w:p>
        </w:tc>
        <w:tc>
          <w:tcPr>
            <w:tcW w:w="109" w:type="dxa"/>
            <w:vMerge w:val="continue"/>
            <w:tcBorders/>
            <w:shd w:fill="B2B2B2" w:val="clear"/>
            <w:vAlign w:val="center"/>
          </w:tcPr>
          <w:p>
            <w:pPr>
              <w:pStyle w:val="Normal"/>
              <w:bidi w:val="0"/>
              <w:jc w:val="left"/>
              <w:rPr/>
            </w:pPr>
            <w:r>
              <w:rPr/>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right"/>
              <w:rPr/>
            </w:pPr>
            <w:r>
              <w:rPr/>
              <w:t>​</w:t>
            </w:r>
          </w:p>
        </w:tc>
        <w:tc>
          <w:tcPr>
            <w:tcW w:w="586" w:type="dxa"/>
            <w:tcBorders/>
            <w:shd w:fill="B2B2B2" w:val="clear"/>
            <w:vAlign w:val="center"/>
          </w:tcPr>
          <w:p>
            <w:pPr>
              <w:pStyle w:val="TableContents"/>
              <w:bidi w:val="0"/>
              <w:spacing w:before="0" w:after="283"/>
              <w:jc w:val="right"/>
              <w:rPr/>
            </w:pPr>
            <w:r>
              <w:rPr/>
              <w:t>2023</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right"/>
              <w:rPr/>
            </w:pPr>
            <w:r>
              <w:rPr/>
              <w:t>​</w:t>
            </w:r>
          </w:p>
        </w:tc>
        <w:tc>
          <w:tcPr>
            <w:tcW w:w="1066" w:type="dxa"/>
            <w:tcBorders/>
            <w:shd w:fill="B2B2B2" w:val="clear"/>
            <w:vAlign w:val="center"/>
          </w:tcPr>
          <w:p>
            <w:pPr>
              <w:pStyle w:val="TableContents"/>
              <w:bidi w:val="0"/>
              <w:spacing w:before="0" w:after="283"/>
              <w:jc w:val="right"/>
              <w:rPr/>
            </w:pPr>
            <w:r>
              <w:rPr/>
              <w:t>423,866</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16" w:type="dxa"/>
            <w:tcBorders/>
            <w:shd w:fill="B2B2B2" w:val="clear"/>
            <w:vAlign w:val="center"/>
          </w:tcPr>
          <w:p>
            <w:pPr>
              <w:pStyle w:val="TableContents"/>
              <w:bidi w:val="0"/>
              <w:spacing w:before="0" w:after="283"/>
              <w:jc w:val="left"/>
              <w:rPr/>
            </w:pPr>
            <w:r>
              <w:rPr/>
              <w:t>​</w:t>
            </w:r>
          </w:p>
        </w:tc>
        <w:tc>
          <w:tcPr>
            <w:tcW w:w="116" w:type="dxa"/>
            <w:tcBorders/>
            <w:shd w:fill="B2B2B2" w:val="clear"/>
            <w:vAlign w:val="center"/>
          </w:tcPr>
          <w:p>
            <w:pPr>
              <w:pStyle w:val="TableContents"/>
              <w:bidi w:val="0"/>
              <w:spacing w:before="0" w:after="283"/>
              <w:jc w:val="right"/>
              <w:rPr/>
            </w:pPr>
            <w:r>
              <w:rPr/>
              <w:t>​</w:t>
            </w:r>
          </w:p>
        </w:tc>
        <w:tc>
          <w:tcPr>
            <w:tcW w:w="368" w:type="dxa"/>
            <w:tcBorders/>
            <w:shd w:fill="B2B2B2" w:val="clear"/>
            <w:vAlign w:val="center"/>
          </w:tcPr>
          <w:p>
            <w:pPr>
              <w:pStyle w:val="TableContents"/>
              <w:bidi w:val="0"/>
              <w:spacing w:before="0" w:after="283"/>
              <w:jc w:val="right"/>
              <w:rPr/>
            </w:pPr>
            <w:r>
              <w:rPr/>
              <w:t>—</w:t>
            </w:r>
          </w:p>
        </w:tc>
        <w:tc>
          <w:tcPr>
            <w:tcW w:w="117"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right"/>
              <w:rPr/>
            </w:pPr>
            <w:r>
              <w:rPr/>
              <w:t>​</w:t>
            </w:r>
          </w:p>
        </w:tc>
        <w:tc>
          <w:tcPr>
            <w:tcW w:w="1066" w:type="dxa"/>
            <w:tcBorders/>
            <w:shd w:fill="B2B2B2" w:val="clear"/>
            <w:vAlign w:val="center"/>
          </w:tcPr>
          <w:p>
            <w:pPr>
              <w:pStyle w:val="TableContents"/>
              <w:bidi w:val="0"/>
              <w:spacing w:before="0" w:after="283"/>
              <w:jc w:val="right"/>
              <w:rPr/>
            </w:pPr>
            <w:r>
              <w:rPr/>
              <w:t>489,636</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right"/>
              <w:rPr/>
            </w:pPr>
            <w:r>
              <w:rPr/>
              <w:t>​</w:t>
            </w:r>
          </w:p>
        </w:tc>
        <w:tc>
          <w:tcPr>
            <w:tcW w:w="1066" w:type="dxa"/>
            <w:tcBorders/>
            <w:shd w:fill="B2B2B2" w:val="clear"/>
            <w:vAlign w:val="center"/>
          </w:tcPr>
          <w:p>
            <w:pPr>
              <w:pStyle w:val="TableContents"/>
              <w:bidi w:val="0"/>
              <w:spacing w:before="0" w:after="283"/>
              <w:jc w:val="right"/>
              <w:rPr/>
            </w:pPr>
            <w:r>
              <w:rPr/>
              <w:t>245,490</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right"/>
              <w:rPr/>
            </w:pPr>
            <w:r>
              <w:rPr/>
              <w:t>​</w:t>
            </w:r>
          </w:p>
        </w:tc>
        <w:tc>
          <w:tcPr>
            <w:tcW w:w="1071" w:type="dxa"/>
            <w:tcBorders/>
            <w:shd w:fill="B2B2B2" w:val="clear"/>
            <w:vAlign w:val="center"/>
          </w:tcPr>
          <w:p>
            <w:pPr>
              <w:pStyle w:val="TableContents"/>
              <w:bidi w:val="0"/>
              <w:spacing w:before="0" w:after="283"/>
              <w:jc w:val="right"/>
              <w:rPr/>
            </w:pPr>
            <w:r>
              <w:rPr/>
              <w:t>459,427</w:t>
            </w:r>
          </w:p>
        </w:tc>
        <w:tc>
          <w:tcPr>
            <w:tcW w:w="111"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39" w:type="dxa"/>
            <w:tcBorders/>
            <w:shd w:fill="B2B2B2" w:val="clear"/>
            <w:vAlign w:val="center"/>
          </w:tcPr>
          <w:p>
            <w:pPr>
              <w:pStyle w:val="TableContents"/>
              <w:bidi w:val="0"/>
              <w:spacing w:before="0" w:after="283"/>
              <w:jc w:val="left"/>
              <w:rPr/>
            </w:pPr>
            <w:r>
              <w:rPr/>
              <w:t>​</w:t>
            </w:r>
          </w:p>
        </w:tc>
        <w:tc>
          <w:tcPr>
            <w:tcW w:w="139" w:type="dxa"/>
            <w:tcBorders/>
            <w:shd w:fill="B2B2B2" w:val="clear"/>
            <w:vAlign w:val="center"/>
          </w:tcPr>
          <w:p>
            <w:pPr>
              <w:pStyle w:val="TableContents"/>
              <w:bidi w:val="0"/>
              <w:spacing w:before="0" w:after="283"/>
              <w:jc w:val="right"/>
              <w:rPr/>
            </w:pPr>
            <w:r>
              <w:rPr/>
              <w:t>​</w:t>
            </w:r>
          </w:p>
        </w:tc>
        <w:tc>
          <w:tcPr>
            <w:tcW w:w="981" w:type="dxa"/>
            <w:tcBorders/>
            <w:shd w:fill="B2B2B2" w:val="clear"/>
            <w:vAlign w:val="center"/>
          </w:tcPr>
          <w:p>
            <w:pPr>
              <w:pStyle w:val="TableContents"/>
              <w:bidi w:val="0"/>
              <w:spacing w:before="0" w:after="283"/>
              <w:jc w:val="right"/>
              <w:rPr/>
            </w:pPr>
            <w:r>
              <w:rPr/>
              <w:t>12,250</w:t>
            </w:r>
          </w:p>
        </w:tc>
        <w:tc>
          <w:tcPr>
            <w:tcW w:w="141"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right"/>
              <w:rPr/>
            </w:pPr>
            <w:r>
              <w:rPr/>
              <w:t>​</w:t>
            </w:r>
          </w:p>
        </w:tc>
        <w:tc>
          <w:tcPr>
            <w:tcW w:w="1066" w:type="dxa"/>
            <w:tcBorders/>
            <w:shd w:fill="B2B2B2" w:val="clear"/>
            <w:vAlign w:val="center"/>
          </w:tcPr>
          <w:p>
            <w:pPr>
              <w:pStyle w:val="TableContents"/>
              <w:bidi w:val="0"/>
              <w:spacing w:before="0" w:after="283"/>
              <w:jc w:val="right"/>
              <w:rPr/>
            </w:pPr>
            <w:r>
              <w:rPr/>
              <w:t>1,630,669</w:t>
            </w:r>
          </w:p>
        </w:tc>
        <w:tc>
          <w:tcPr>
            <w:tcW w:w="109" w:type="dxa"/>
            <w:tcBorders/>
            <w:shd w:fill="B2B2B2" w:val="clear"/>
            <w:vAlign w:val="center"/>
          </w:tcPr>
          <w:p>
            <w:pPr>
              <w:pStyle w:val="TableContents"/>
              <w:bidi w:val="0"/>
              <w:spacing w:before="0" w:after="283"/>
              <w:jc w:val="left"/>
              <w:rPr/>
            </w:pPr>
            <w:r>
              <w:rPr/>
              <w:t>​</w:t>
            </w:r>
          </w:p>
        </w:tc>
        <w:tc>
          <w:tcPr>
            <w:tcW w:w="154" w:type="dxa"/>
            <w:tcBorders/>
            <w:shd w:fill="B2B2B2" w:val="clear"/>
            <w:vAlign w:val="center"/>
          </w:tcPr>
          <w:p>
            <w:pPr>
              <w:pStyle w:val="TableContents"/>
              <w:bidi w:val="0"/>
              <w:spacing w:before="0" w:after="283"/>
              <w:jc w:val="left"/>
              <w:rPr/>
            </w:pPr>
            <w:r>
              <w:rPr/>
              <w:t>​</w:t>
            </w:r>
          </w:p>
        </w:tc>
      </w:tr>
      <w:tr>
        <w:trPr/>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1946" w:type="dxa"/>
            <w:tcBorders>
              <w:bottom w:val="single" w:sz="2" w:space="0" w:color="000000"/>
            </w:tcBorders>
            <w:tcMar>
              <w:bottom w:w="33" w:type="dxa"/>
            </w:tcMar>
            <w:vAlign w:val="center"/>
          </w:tcPr>
          <w:p>
            <w:pPr>
              <w:pStyle w:val="TableContents"/>
              <w:bidi w:val="0"/>
              <w:spacing w:before="0" w:after="0"/>
              <w:ind w:left="140" w:right="0" w:hanging="140"/>
              <w:jc w:val="left"/>
              <w:rPr>
                <w:i/>
              </w:rPr>
            </w:pPr>
            <w:r>
              <w:rPr>
                <w:b/>
                <w:i w:val="false"/>
                <w:caps w:val="false"/>
                <w:smallCaps w:val="false"/>
                <w:spacing w:val="-1"/>
              </w:rPr>
              <w:t>Raj Kanuru</w:t>
            </w:r>
            <w:r>
              <w:rPr>
                <w:i/>
              </w:rPr>
              <w:t xml:space="preserve"> </w:t>
              <w:br/>
              <w:t>Executive VP, General Counsel &amp; Secretary</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3" w:type="dxa"/>
            </w:tcMar>
            <w:vAlign w:val="center"/>
          </w:tcPr>
          <w:p>
            <w:pPr>
              <w:pStyle w:val="TableContents"/>
              <w:bidi w:val="0"/>
              <w:spacing w:before="0" w:after="283"/>
              <w:jc w:val="right"/>
              <w:rPr/>
            </w:pPr>
            <w:r>
              <w:rPr/>
              <w:t>​</w:t>
            </w:r>
          </w:p>
        </w:tc>
        <w:tc>
          <w:tcPr>
            <w:tcW w:w="586" w:type="dxa"/>
            <w:tcBorders>
              <w:bottom w:val="single" w:sz="2" w:space="0" w:color="000000"/>
            </w:tcBorders>
            <w:tcMar>
              <w:bottom w:w="33" w:type="dxa"/>
            </w:tcMar>
            <w:vAlign w:val="center"/>
          </w:tcPr>
          <w:p>
            <w:pPr>
              <w:pStyle w:val="TableContents"/>
              <w:bidi w:val="0"/>
              <w:spacing w:before="0" w:after="283"/>
              <w:jc w:val="right"/>
              <w:rPr/>
            </w:pPr>
            <w:r>
              <w:rPr/>
              <w:t>2025</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3" w:type="dxa"/>
            </w:tcMar>
            <w:vAlign w:val="center"/>
          </w:tcPr>
          <w:p>
            <w:pPr>
              <w:pStyle w:val="TableContents"/>
              <w:bidi w:val="0"/>
              <w:spacing w:before="0" w:after="283"/>
              <w:jc w:val="right"/>
              <w:rPr/>
            </w:pPr>
            <w:r>
              <w:rPr/>
              <w:t>​</w:t>
            </w:r>
          </w:p>
        </w:tc>
        <w:tc>
          <w:tcPr>
            <w:tcW w:w="1066" w:type="dxa"/>
            <w:tcBorders>
              <w:bottom w:val="single" w:sz="2" w:space="0" w:color="000000"/>
            </w:tcBorders>
            <w:tcMar>
              <w:bottom w:w="33" w:type="dxa"/>
            </w:tcMar>
            <w:vAlign w:val="center"/>
          </w:tcPr>
          <w:p>
            <w:pPr>
              <w:pStyle w:val="TableContents"/>
              <w:bidi w:val="0"/>
              <w:spacing w:before="0" w:after="283"/>
              <w:jc w:val="right"/>
              <w:rPr/>
            </w:pPr>
            <w:r>
              <w:rPr/>
              <w:t>465,140</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6" w:type="dxa"/>
            <w:tcBorders>
              <w:bottom w:val="single" w:sz="2" w:space="0" w:color="000000"/>
            </w:tcBorders>
            <w:tcMar>
              <w:bottom w:w="28" w:type="dxa"/>
            </w:tcMar>
            <w:vAlign w:val="center"/>
          </w:tcPr>
          <w:p>
            <w:pPr>
              <w:pStyle w:val="TableContents"/>
              <w:bidi w:val="0"/>
              <w:spacing w:before="0" w:after="283"/>
              <w:jc w:val="left"/>
              <w:rPr/>
            </w:pPr>
            <w:r>
              <w:rPr/>
              <w:t>​</w:t>
            </w:r>
          </w:p>
        </w:tc>
        <w:tc>
          <w:tcPr>
            <w:tcW w:w="116" w:type="dxa"/>
            <w:tcBorders>
              <w:bottom w:val="single" w:sz="2" w:space="0" w:color="000000"/>
            </w:tcBorders>
            <w:tcMar>
              <w:bottom w:w="33" w:type="dxa"/>
            </w:tcMar>
            <w:vAlign w:val="center"/>
          </w:tcPr>
          <w:p>
            <w:pPr>
              <w:pStyle w:val="TableContents"/>
              <w:bidi w:val="0"/>
              <w:spacing w:before="0" w:after="283"/>
              <w:jc w:val="right"/>
              <w:rPr/>
            </w:pPr>
            <w:r>
              <w:rPr/>
              <w:t>​</w:t>
            </w:r>
          </w:p>
        </w:tc>
        <w:tc>
          <w:tcPr>
            <w:tcW w:w="368" w:type="dxa"/>
            <w:tcBorders>
              <w:bottom w:val="single" w:sz="2" w:space="0" w:color="000000"/>
            </w:tcBorders>
            <w:tcMar>
              <w:bottom w:w="33" w:type="dxa"/>
            </w:tcMar>
            <w:vAlign w:val="center"/>
          </w:tcPr>
          <w:p>
            <w:pPr>
              <w:pStyle w:val="TableContents"/>
              <w:bidi w:val="0"/>
              <w:spacing w:before="0" w:after="283"/>
              <w:jc w:val="right"/>
              <w:rPr/>
            </w:pPr>
            <w:r>
              <w:rPr/>
              <w:t>—</w:t>
            </w:r>
          </w:p>
        </w:tc>
        <w:tc>
          <w:tcPr>
            <w:tcW w:w="117"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3" w:type="dxa"/>
            </w:tcMar>
            <w:vAlign w:val="center"/>
          </w:tcPr>
          <w:p>
            <w:pPr>
              <w:pStyle w:val="TableContents"/>
              <w:bidi w:val="0"/>
              <w:spacing w:before="0" w:after="283"/>
              <w:jc w:val="right"/>
              <w:rPr/>
            </w:pPr>
            <w:r>
              <w:rPr/>
              <w:t>​</w:t>
            </w:r>
          </w:p>
        </w:tc>
        <w:tc>
          <w:tcPr>
            <w:tcW w:w="1066" w:type="dxa"/>
            <w:tcBorders>
              <w:bottom w:val="single" w:sz="2" w:space="0" w:color="000000"/>
            </w:tcBorders>
            <w:tcMar>
              <w:bottom w:w="33" w:type="dxa"/>
            </w:tcMar>
            <w:vAlign w:val="center"/>
          </w:tcPr>
          <w:p>
            <w:pPr>
              <w:pStyle w:val="TableContents"/>
              <w:bidi w:val="0"/>
              <w:spacing w:before="0" w:after="283"/>
              <w:jc w:val="right"/>
              <w:rPr/>
            </w:pPr>
            <w:r>
              <w:rPr/>
              <w:t>750,240</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3" w:type="dxa"/>
            </w:tcMar>
            <w:vAlign w:val="center"/>
          </w:tcPr>
          <w:p>
            <w:pPr>
              <w:pStyle w:val="TableContents"/>
              <w:bidi w:val="0"/>
              <w:spacing w:before="0" w:after="283"/>
              <w:jc w:val="right"/>
              <w:rPr/>
            </w:pPr>
            <w:r>
              <w:rPr/>
              <w:t>​</w:t>
            </w:r>
          </w:p>
        </w:tc>
        <w:tc>
          <w:tcPr>
            <w:tcW w:w="1066" w:type="dxa"/>
            <w:tcBorders>
              <w:bottom w:val="single" w:sz="2" w:space="0" w:color="000000"/>
            </w:tcBorders>
            <w:tcMar>
              <w:bottom w:w="33" w:type="dxa"/>
            </w:tcMar>
            <w:vAlign w:val="center"/>
          </w:tcPr>
          <w:p>
            <w:pPr>
              <w:pStyle w:val="TableContents"/>
              <w:bidi w:val="0"/>
              <w:spacing w:before="0" w:after="283"/>
              <w:jc w:val="right"/>
              <w:rPr/>
            </w:pPr>
            <w:r>
              <w:rPr/>
              <w:t>250,042</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3" w:type="dxa"/>
            </w:tcMar>
            <w:vAlign w:val="center"/>
          </w:tcPr>
          <w:p>
            <w:pPr>
              <w:pStyle w:val="TableContents"/>
              <w:bidi w:val="0"/>
              <w:spacing w:before="0" w:after="283"/>
              <w:jc w:val="right"/>
              <w:rPr/>
            </w:pPr>
            <w:r>
              <w:rPr/>
              <w:t>​</w:t>
            </w:r>
          </w:p>
        </w:tc>
        <w:tc>
          <w:tcPr>
            <w:tcW w:w="1071" w:type="dxa"/>
            <w:tcBorders>
              <w:bottom w:val="single" w:sz="2" w:space="0" w:color="000000"/>
            </w:tcBorders>
            <w:tcMar>
              <w:bottom w:w="33" w:type="dxa"/>
            </w:tcMar>
            <w:vAlign w:val="center"/>
          </w:tcPr>
          <w:p>
            <w:pPr>
              <w:pStyle w:val="TableContents"/>
              <w:bidi w:val="0"/>
              <w:spacing w:before="0" w:after="283"/>
              <w:jc w:val="right"/>
              <w:rPr/>
            </w:pPr>
            <w:r>
              <w:rPr/>
              <w:t>162,539</w:t>
            </w:r>
          </w:p>
        </w:tc>
        <w:tc>
          <w:tcPr>
            <w:tcW w:w="111"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9" w:type="dxa"/>
            <w:tcBorders>
              <w:bottom w:val="single" w:sz="2" w:space="0" w:color="000000"/>
            </w:tcBorders>
            <w:tcMar>
              <w:bottom w:w="28" w:type="dxa"/>
            </w:tcMar>
            <w:vAlign w:val="center"/>
          </w:tcPr>
          <w:p>
            <w:pPr>
              <w:pStyle w:val="TableContents"/>
              <w:bidi w:val="0"/>
              <w:spacing w:before="0" w:after="283"/>
              <w:jc w:val="left"/>
              <w:rPr/>
            </w:pPr>
            <w:r>
              <w:rPr/>
              <w:t>​</w:t>
            </w:r>
          </w:p>
        </w:tc>
        <w:tc>
          <w:tcPr>
            <w:tcW w:w="139" w:type="dxa"/>
            <w:tcBorders>
              <w:bottom w:val="single" w:sz="2" w:space="0" w:color="000000"/>
            </w:tcBorders>
            <w:tcMar>
              <w:bottom w:w="33" w:type="dxa"/>
            </w:tcMar>
            <w:vAlign w:val="center"/>
          </w:tcPr>
          <w:p>
            <w:pPr>
              <w:pStyle w:val="TableContents"/>
              <w:bidi w:val="0"/>
              <w:spacing w:before="0" w:after="283"/>
              <w:jc w:val="right"/>
              <w:rPr/>
            </w:pPr>
            <w:r>
              <w:rPr/>
              <w:t>​</w:t>
            </w:r>
          </w:p>
        </w:tc>
        <w:tc>
          <w:tcPr>
            <w:tcW w:w="981" w:type="dxa"/>
            <w:tcBorders>
              <w:bottom w:val="single" w:sz="2" w:space="0" w:color="000000"/>
            </w:tcBorders>
            <w:tcMar>
              <w:bottom w:w="33" w:type="dxa"/>
            </w:tcMar>
            <w:vAlign w:val="center"/>
          </w:tcPr>
          <w:p>
            <w:pPr>
              <w:pStyle w:val="TableContents"/>
              <w:bidi w:val="0"/>
              <w:spacing w:before="0" w:after="283"/>
              <w:jc w:val="right"/>
              <w:rPr/>
            </w:pPr>
            <w:r>
              <w:rPr/>
              <w:t>20,809</w:t>
            </w:r>
          </w:p>
        </w:tc>
        <w:tc>
          <w:tcPr>
            <w:tcW w:w="141"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3" w:type="dxa"/>
            </w:tcMar>
            <w:vAlign w:val="center"/>
          </w:tcPr>
          <w:p>
            <w:pPr>
              <w:pStyle w:val="TableContents"/>
              <w:bidi w:val="0"/>
              <w:spacing w:before="0" w:after="283"/>
              <w:jc w:val="right"/>
              <w:rPr/>
            </w:pPr>
            <w:r>
              <w:rPr/>
              <w:t>​</w:t>
            </w:r>
          </w:p>
        </w:tc>
        <w:tc>
          <w:tcPr>
            <w:tcW w:w="1066" w:type="dxa"/>
            <w:tcBorders>
              <w:bottom w:val="single" w:sz="2" w:space="0" w:color="000000"/>
            </w:tcBorders>
            <w:tcMar>
              <w:bottom w:w="33" w:type="dxa"/>
            </w:tcMar>
            <w:vAlign w:val="center"/>
          </w:tcPr>
          <w:p>
            <w:pPr>
              <w:pStyle w:val="TableContents"/>
              <w:bidi w:val="0"/>
              <w:spacing w:before="0" w:after="283"/>
              <w:jc w:val="right"/>
              <w:rPr/>
            </w:pPr>
            <w:r>
              <w:rPr/>
              <w:t>1,648,770</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bottom w:val="single" w:sz="2"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20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amounts reported for 2025 represent the aggregate grant date fair value for awards of restricted stock, stock options, and performance shares and are computed in accordance with Financial Accounting Standards Board Accounting Standards Codification Subtopic 718. See Note 17 to the Consolidated Financial Statements included in our Annual Report on Form 10-K for the year ended December 31, 2025 for a discussion of the relevant assumptions used in calculating these amounts. All amounts represent potential future income calculated for financial reporting purposes; actual amounts recognized by the named executive officers may be materially different depending on, among other things, the Company’s stock price performance and the period of service of the executive. The Stock Award amounts are composed of approximately 33% restricted stock and approximately 67% performance shares, with the performance share portion assuming target performance by the Company during the relevant performance period. The values of the performance shares at grant date if the maximum potential payout is made would be as follows: Mr. Jagdfeld — $7,000,246, Mr. Ragen — $1,500,208, Mr. Taffe — $1,000,229, Mr. Wilde — $1,000,229, and Mr. Kanuru —  $1,000,229.</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27000" distB="0" distL="0" distR="0" simplePos="0" locked="0" layoutInCell="1" allowOverlap="1" relativeHeight="302">
                <wp:simplePos x="0" y="0"/>
                <wp:positionH relativeFrom="column">
                  <wp:align>left</wp:align>
                </wp:positionH>
                <wp:positionV relativeFrom="line">
                  <wp:align>top</wp:align>
                </wp:positionV>
                <wp:extent cx="254000" cy="330200"/>
                <wp:effectExtent l="0" t="0" r="0" b="0"/>
                <wp:wrapSquare wrapText="right"/>
                <wp:docPr id="275" name="Frame171"/>
                <a:graphic xmlns:a="http://schemas.openxmlformats.org/drawingml/2006/main">
                  <a:graphicData uri="http://schemas.microsoft.com/office/word/2010/wordprocessingShape">
                    <wps:wsp>
                      <wps:cNvSpPr txBox="1"/>
                      <wps:spPr>
                        <a:xfrm>
                          <a:off x="0" y="0"/>
                          <a:ext cx="254000" cy="330200"/>
                        </a:xfrm>
                        <a:prstGeom prst="rect"/>
                        <a:solidFill>
                          <a:srgbClr val="FFFFFF"/>
                        </a:solidFill>
                      </wps:spPr>
                      <wps:txbx>
                        <w:txbxContent>
                          <w:p>
                            <w:pPr>
                              <w:pStyle w:val="TextBody"/>
                              <w:bidi w:val="0"/>
                              <w:spacing w:lineRule="atLeast" w:line="260" w:before="0" w:after="283"/>
                              <w:jc w:val="left"/>
                              <w:rPr>
                                <w:sz w:val="22"/>
                              </w:rPr>
                            </w:pPr>
                            <w:r>
                              <w:rPr>
                                <w:spacing w:val="-2"/>
                                <w:sz w:val="22"/>
                              </w:rPr>
                              <w:t>(1)</w:t>
                            </w:r>
                            <w:r>
                              <w:rPr>
                                <w:sz w:val="22"/>
                              </w:rPr>
                              <w:t xml:space="preserve"> </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lineRule="atLeast" w:line="260" w:before="0" w:after="283"/>
                        <w:jc w:val="left"/>
                        <w:rPr>
                          <w:sz w:val="22"/>
                        </w:rPr>
                      </w:pPr>
                      <w:r>
                        <w:rPr>
                          <w:spacing w:val="-2"/>
                          <w:sz w:val="22"/>
                        </w:rPr>
                        <w:t>(1)</w:t>
                      </w:r>
                      <w:r>
                        <w:rPr>
                          <w:sz w:val="22"/>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8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non-equity incentive plan compensation column reflects cash incentive awards earned pursuant to our Annual Performance Bonus Plan as previously described. These awards are earned during the year reflected and paid in the following year.</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0" distR="0" simplePos="0" locked="0" layoutInCell="1" allowOverlap="1" relativeHeight="303">
                <wp:simplePos x="0" y="0"/>
                <wp:positionH relativeFrom="column">
                  <wp:align>left</wp:align>
                </wp:positionH>
                <wp:positionV relativeFrom="line">
                  <wp:align>top</wp:align>
                </wp:positionV>
                <wp:extent cx="254000" cy="330200"/>
                <wp:effectExtent l="0" t="0" r="0" b="0"/>
                <wp:wrapSquare wrapText="right"/>
                <wp:docPr id="276" name="Frame172"/>
                <a:graphic xmlns:a="http://schemas.openxmlformats.org/drawingml/2006/main">
                  <a:graphicData uri="http://schemas.microsoft.com/office/word/2010/wordprocessingShape">
                    <wps:wsp>
                      <wps:cNvSpPr txBox="1"/>
                      <wps:spPr>
                        <a:xfrm>
                          <a:off x="0" y="0"/>
                          <a:ext cx="254000" cy="330200"/>
                        </a:xfrm>
                        <a:prstGeom prst="rect"/>
                        <a:solidFill>
                          <a:srgbClr val="FFFFFF"/>
                        </a:solidFill>
                      </wps:spPr>
                      <wps:txbx>
                        <w:txbxContent>
                          <w:p>
                            <w:pPr>
                              <w:pStyle w:val="TextBody"/>
                              <w:bidi w:val="0"/>
                              <w:spacing w:lineRule="atLeast" w:line="260" w:before="0" w:after="283"/>
                              <w:jc w:val="left"/>
                              <w:rPr>
                                <w:sz w:val="22"/>
                              </w:rPr>
                            </w:pPr>
                            <w:r>
                              <w:rPr>
                                <w:spacing w:val="-2"/>
                                <w:sz w:val="22"/>
                              </w:rPr>
                              <w:t>(2)</w:t>
                            </w:r>
                            <w:r>
                              <w:rPr>
                                <w:sz w:val="22"/>
                              </w:rPr>
                              <w:t xml:space="preserve"> </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60" w:before="0" w:after="283"/>
                        <w:jc w:val="left"/>
                        <w:rPr>
                          <w:sz w:val="22"/>
                        </w:rPr>
                      </w:pPr>
                      <w:r>
                        <w:rPr>
                          <w:spacing w:val="-2"/>
                          <w:sz w:val="22"/>
                        </w:rPr>
                        <w:t>(2)</w:t>
                      </w:r>
                      <w:r>
                        <w:rPr>
                          <w:sz w:val="22"/>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80" w:after="0"/>
        <w:ind w:left="1540" w:right="0" w:hanging="0"/>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All other compensation represents the employer matching contributions, unused vacation payout, and employer nonelective contributions of the 401(k) Savings Plan. The employer matching contributions were $11,087, $11,642, $11,750, $11,750 and $11,751 for Mr. Jagdfeld, Mr. Ragen, Mr. Taffe, Mr. Wilde, and Mr. Kanuru respectively. The unused vacation payouts were $21,154 and $11,115 for Mr. Jagdfeld and Mr. Ragen, respectively. </w:t>
      </w:r>
      <w:r>
        <mc:AlternateContent>
          <mc:Choice Requires="wps">
            <w:drawing>
              <wp:anchor behindDoc="0" distT="50800" distB="0" distL="0" distR="0" simplePos="0" locked="0" layoutInCell="1" allowOverlap="1" relativeHeight="304">
                <wp:simplePos x="0" y="0"/>
                <wp:positionH relativeFrom="column">
                  <wp:align>left</wp:align>
                </wp:positionH>
                <wp:positionV relativeFrom="line">
                  <wp:align>top</wp:align>
                </wp:positionV>
                <wp:extent cx="254000" cy="330200"/>
                <wp:effectExtent l="0" t="0" r="0" b="0"/>
                <wp:wrapSquare wrapText="right"/>
                <wp:docPr id="277" name="Frame173"/>
                <a:graphic xmlns:a="http://schemas.openxmlformats.org/drawingml/2006/main">
                  <a:graphicData uri="http://schemas.microsoft.com/office/word/2010/wordprocessingShape">
                    <wps:wsp>
                      <wps:cNvSpPr txBox="1"/>
                      <wps:spPr>
                        <a:xfrm>
                          <a:off x="0" y="0"/>
                          <a:ext cx="254000" cy="330200"/>
                        </a:xfrm>
                        <a:prstGeom prst="rect"/>
                        <a:solidFill>
                          <a:srgbClr val="FFFFFF"/>
                        </a:solidFill>
                      </wps:spPr>
                      <wps:txbx>
                        <w:txbxContent>
                          <w:p>
                            <w:pPr>
                              <w:pStyle w:val="TextBody"/>
                              <w:bidi w:val="0"/>
                              <w:spacing w:lineRule="atLeast" w:line="260" w:before="0" w:after="283"/>
                              <w:jc w:val="left"/>
                              <w:rPr>
                                <w:sz w:val="22"/>
                              </w:rPr>
                            </w:pPr>
                            <w:r>
                              <w:rPr>
                                <w:spacing w:val="-2"/>
                                <w:sz w:val="22"/>
                              </w:rPr>
                              <w:t>(3)</w:t>
                            </w:r>
                            <w:r>
                              <w:rPr>
                                <w:sz w:val="22"/>
                              </w:rPr>
                              <w:t xml:space="preserve"> </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60" w:before="0" w:after="283"/>
                        <w:jc w:val="left"/>
                        <w:rPr>
                          <w:sz w:val="22"/>
                        </w:rPr>
                      </w:pPr>
                      <w:r>
                        <w:rPr>
                          <w:spacing w:val="-2"/>
                          <w:sz w:val="22"/>
                        </w:rPr>
                        <w:t>(3)</w:t>
                      </w:r>
                      <w:r>
                        <w:rPr>
                          <w:sz w:val="22"/>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278"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94" descr=""/>
                          <pic:cNvPicPr>
                            <a:picLocks noChangeAspect="1" noChangeArrowheads="1"/>
                          </pic:cNvPicPr>
                        </pic:nvPicPr>
                        <pic:blipFill>
                          <a:blip r:embed="rId106"/>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46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caps w:val="false"/>
          <w:smallCaps w:val="false"/>
          <w:color w:val="FF6A00"/>
        </w:rPr>
      </w:pPr>
      <w:r>
        <w:rPr>
          <w:caps w:val="false"/>
          <w:smallCaps w:val="false"/>
          <w:color w:val="FF6A00"/>
          <w:spacing w:val="-2"/>
        </w:rPr>
        <w:t> </w:t>
      </w:r>
      <w:r>
        <w:rPr>
          <w:caps w:val="false"/>
          <w:smallCaps w:val="false"/>
          <w:color w:val="FF6A00"/>
        </w:rPr>
        <w:t xml:space="preserve"> </w:t>
      </w:r>
    </w:p>
    <w:p>
      <w:pPr>
        <w:pStyle w:val="TextBody"/>
        <w:bidi w:val="0"/>
        <w:spacing w:lineRule="atLeast" w:line="400" w:before="480" w:after="283"/>
        <w:ind w:left="1140" w:right="0" w:hanging="0"/>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Grants of Plan-Based Awards in 2025</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following table indicates potential cash incentive compensation under our Annual Performance Bonus Plan based on 2025 performance and equity awards granted in 2025 under our Amended and Restated 2019 Equity Incentive Plan.</w:t>
      </w:r>
      <w:r>
        <w:rPr>
          <w:rFonts w:ascii="Arial;Helvetica;sans-serif" w:hAnsi="Arial;Helvetica;sans-serif"/>
          <w:b w:val="false"/>
          <w:i w:val="false"/>
          <w:caps w:val="false"/>
          <w:smallCaps w:val="false"/>
          <w:color w:val="000000"/>
          <w:spacing w:val="4"/>
          <w:sz w:val="22"/>
        </w:rPr>
        <w:t xml:space="preserve"> </w:t>
      </w:r>
    </w:p>
    <w:tbl>
      <w:tblPr>
        <w:tblW w:w="18979" w:type="dxa"/>
        <w:jc w:val="left"/>
        <w:tblInd w:w="1140" w:type="dxa"/>
        <w:tblLayout w:type="fixed"/>
        <w:tblCellMar>
          <w:top w:w="0" w:type="dxa"/>
          <w:left w:w="0" w:type="dxa"/>
          <w:bottom w:w="28" w:type="dxa"/>
          <w:right w:w="0" w:type="dxa"/>
        </w:tblCellMar>
      </w:tblPr>
      <w:tblGrid>
        <w:gridCol w:w="124"/>
        <w:gridCol w:w="894"/>
        <w:gridCol w:w="109"/>
        <w:gridCol w:w="109"/>
        <w:gridCol w:w="109"/>
        <w:gridCol w:w="109"/>
        <w:gridCol w:w="346"/>
        <w:gridCol w:w="109"/>
        <w:gridCol w:w="109"/>
        <w:gridCol w:w="109"/>
        <w:gridCol w:w="109"/>
        <w:gridCol w:w="109"/>
        <w:gridCol w:w="672"/>
        <w:gridCol w:w="109"/>
        <w:gridCol w:w="109"/>
        <w:gridCol w:w="109"/>
        <w:gridCol w:w="109"/>
        <w:gridCol w:w="109"/>
        <w:gridCol w:w="886"/>
        <w:gridCol w:w="109"/>
        <w:gridCol w:w="109"/>
        <w:gridCol w:w="109"/>
        <w:gridCol w:w="109"/>
        <w:gridCol w:w="109"/>
        <w:gridCol w:w="1066"/>
        <w:gridCol w:w="109"/>
        <w:gridCol w:w="109"/>
        <w:gridCol w:w="109"/>
        <w:gridCol w:w="109"/>
        <w:gridCol w:w="109"/>
        <w:gridCol w:w="1066"/>
        <w:gridCol w:w="109"/>
        <w:gridCol w:w="109"/>
        <w:gridCol w:w="109"/>
        <w:gridCol w:w="109"/>
        <w:gridCol w:w="109"/>
        <w:gridCol w:w="766"/>
        <w:gridCol w:w="109"/>
        <w:gridCol w:w="109"/>
        <w:gridCol w:w="109"/>
        <w:gridCol w:w="109"/>
        <w:gridCol w:w="109"/>
        <w:gridCol w:w="766"/>
        <w:gridCol w:w="109"/>
        <w:gridCol w:w="109"/>
        <w:gridCol w:w="109"/>
        <w:gridCol w:w="109"/>
        <w:gridCol w:w="109"/>
        <w:gridCol w:w="766"/>
        <w:gridCol w:w="109"/>
        <w:gridCol w:w="109"/>
        <w:gridCol w:w="109"/>
        <w:gridCol w:w="109"/>
        <w:gridCol w:w="109"/>
        <w:gridCol w:w="766"/>
        <w:gridCol w:w="109"/>
        <w:gridCol w:w="109"/>
        <w:gridCol w:w="109"/>
        <w:gridCol w:w="111"/>
        <w:gridCol w:w="111"/>
        <w:gridCol w:w="782"/>
        <w:gridCol w:w="113"/>
        <w:gridCol w:w="109"/>
        <w:gridCol w:w="109"/>
        <w:gridCol w:w="1210"/>
        <w:gridCol w:w="109"/>
        <w:gridCol w:w="109"/>
        <w:gridCol w:w="1210"/>
        <w:gridCol w:w="109"/>
        <w:gridCol w:w="109"/>
        <w:gridCol w:w="1393"/>
        <w:gridCol w:w="154"/>
      </w:tblGrid>
      <w:tr>
        <w:trPr/>
        <w:tc>
          <w:tcPr>
            <w:tcW w:w="124" w:type="dxa"/>
            <w:tcBorders>
              <w:bottom w:val="single" w:sz="2" w:space="0" w:color="FF6A00"/>
            </w:tcBorders>
            <w:shd w:fill="FF6A00" w:val="clear"/>
            <w:vAlign w:val="center"/>
          </w:tcPr>
          <w:p>
            <w:pPr>
              <w:pStyle w:val="TableContents"/>
              <w:bidi w:val="0"/>
              <w:spacing w:before="0" w:after="283"/>
              <w:jc w:val="left"/>
              <w:rPr/>
            </w:pPr>
            <w:r>
              <w:rPr/>
              <w:t>​</w:t>
            </w:r>
          </w:p>
        </w:tc>
        <w:tc>
          <w:tcPr>
            <w:tcW w:w="894" w:type="dxa"/>
            <w:tcBorders>
              <w:bottom w:val="single" w:sz="2" w:space="0" w:color="FF6A00"/>
            </w:tcBorders>
            <w:shd w:fill="FF6A00" w:val="clear"/>
            <w:vAlign w:val="center"/>
          </w:tcPr>
          <w:p>
            <w:pPr>
              <w:pStyle w:val="TableContents"/>
              <w:bidi w:val="0"/>
              <w:spacing w:before="0" w:after="283"/>
              <w:jc w:val="left"/>
              <w:rPr/>
            </w:pPr>
            <w:r>
              <w:rPr/>
              <w:t>​</w:t>
            </w:r>
          </w:p>
        </w:tc>
        <w:tc>
          <w:tcPr>
            <w:tcW w:w="109" w:type="dxa"/>
            <w:tcBorders>
              <w:bottom w:val="single" w:sz="2" w:space="0" w:color="FF6A00"/>
            </w:tcBorders>
            <w:shd w:fill="FF6A00" w:val="clear"/>
            <w:vAlign w:val="center"/>
          </w:tcPr>
          <w:p>
            <w:pPr>
              <w:pStyle w:val="TableContents"/>
              <w:bidi w:val="0"/>
              <w:spacing w:before="0" w:after="283"/>
              <w:jc w:val="left"/>
              <w:rPr/>
            </w:pPr>
            <w:r>
              <w:rPr/>
              <w:t>​</w:t>
            </w:r>
          </w:p>
        </w:tc>
        <w:tc>
          <w:tcPr>
            <w:tcW w:w="109" w:type="dxa"/>
            <w:tcBorders>
              <w:bottom w:val="single" w:sz="2" w:space="0" w:color="FF6A00"/>
            </w:tcBorders>
            <w:shd w:fill="FF6A00" w:val="clear"/>
            <w:vAlign w:val="center"/>
          </w:tcPr>
          <w:p>
            <w:pPr>
              <w:pStyle w:val="TableContents"/>
              <w:bidi w:val="0"/>
              <w:spacing w:before="0" w:after="283"/>
              <w:jc w:val="left"/>
              <w:rPr/>
            </w:pPr>
            <w:r>
              <w:rPr/>
              <w:t>​</w:t>
            </w:r>
          </w:p>
        </w:tc>
        <w:tc>
          <w:tcPr>
            <w:tcW w:w="109" w:type="dxa"/>
            <w:tcBorders>
              <w:bottom w:val="single" w:sz="2" w:space="0" w:color="FF6A00"/>
            </w:tcBorders>
            <w:shd w:fill="FF6A00" w:val="clear"/>
            <w:vAlign w:val="center"/>
          </w:tcPr>
          <w:p>
            <w:pPr>
              <w:pStyle w:val="TableContents"/>
              <w:bidi w:val="0"/>
              <w:spacing w:before="0" w:after="283"/>
              <w:jc w:val="left"/>
              <w:rPr/>
            </w:pPr>
            <w:r>
              <w:rPr/>
              <w:t>​</w:t>
            </w:r>
          </w:p>
        </w:tc>
        <w:tc>
          <w:tcPr>
            <w:tcW w:w="109" w:type="dxa"/>
            <w:tcBorders>
              <w:bottom w:val="single" w:sz="2" w:space="0" w:color="FF6A00"/>
            </w:tcBorders>
            <w:shd w:fill="FF6A00" w:val="clear"/>
            <w:vAlign w:val="center"/>
          </w:tcPr>
          <w:p>
            <w:pPr>
              <w:pStyle w:val="TableContents"/>
              <w:bidi w:val="0"/>
              <w:spacing w:before="0" w:after="283"/>
              <w:jc w:val="right"/>
              <w:rPr/>
            </w:pPr>
            <w:r>
              <w:rPr/>
              <w:t>​</w:t>
            </w:r>
          </w:p>
        </w:tc>
        <w:tc>
          <w:tcPr>
            <w:tcW w:w="346" w:type="dxa"/>
            <w:tcBorders>
              <w:bottom w:val="single" w:sz="2" w:space="0" w:color="FF6A00"/>
            </w:tcBorders>
            <w:shd w:fill="FF6A00" w:val="clear"/>
            <w:vAlign w:val="center"/>
          </w:tcPr>
          <w:p>
            <w:pPr>
              <w:pStyle w:val="TableContents"/>
              <w:bidi w:val="0"/>
              <w:spacing w:before="0" w:after="283"/>
              <w:jc w:val="right"/>
              <w:rPr/>
            </w:pPr>
            <w:r>
              <w:rPr/>
              <w:t>​</w:t>
            </w:r>
          </w:p>
        </w:tc>
        <w:tc>
          <w:tcPr>
            <w:tcW w:w="109" w:type="dxa"/>
            <w:tcBorders>
              <w:bottom w:val="single" w:sz="2" w:space="0" w:color="FF6A00"/>
            </w:tcBorders>
            <w:shd w:fill="FF6A00" w:val="clear"/>
            <w:vAlign w:val="center"/>
          </w:tcPr>
          <w:p>
            <w:pPr>
              <w:pStyle w:val="TableContents"/>
              <w:bidi w:val="0"/>
              <w:spacing w:before="0" w:after="283"/>
              <w:jc w:val="left"/>
              <w:rPr/>
            </w:pPr>
            <w:r>
              <w:rPr/>
              <w:t>​</w:t>
            </w:r>
          </w:p>
        </w:tc>
        <w:tc>
          <w:tcPr>
            <w:tcW w:w="109" w:type="dxa"/>
            <w:tcBorders>
              <w:bottom w:val="single" w:sz="2" w:space="0" w:color="FF6A00"/>
            </w:tcBorders>
            <w:shd w:fill="FF6A00" w:val="clear"/>
            <w:vAlign w:val="center"/>
          </w:tcPr>
          <w:p>
            <w:pPr>
              <w:pStyle w:val="TableContents"/>
              <w:bidi w:val="0"/>
              <w:spacing w:before="0" w:after="283"/>
              <w:jc w:val="left"/>
              <w:rPr/>
            </w:pPr>
            <w:r>
              <w:rPr/>
              <w:t>​</w:t>
            </w:r>
          </w:p>
        </w:tc>
        <w:tc>
          <w:tcPr>
            <w:tcW w:w="109" w:type="dxa"/>
            <w:tcBorders>
              <w:bottom w:val="single" w:sz="2" w:space="0" w:color="FF6A00"/>
            </w:tcBorders>
            <w:shd w:fill="FF6A00" w:val="clear"/>
            <w:vAlign w:val="center"/>
          </w:tcPr>
          <w:p>
            <w:pPr>
              <w:pStyle w:val="TableContents"/>
              <w:bidi w:val="0"/>
              <w:spacing w:before="0" w:after="283"/>
              <w:jc w:val="left"/>
              <w:rPr/>
            </w:pPr>
            <w:r>
              <w:rPr/>
              <w:t>​</w:t>
            </w:r>
          </w:p>
        </w:tc>
        <w:tc>
          <w:tcPr>
            <w:tcW w:w="109" w:type="dxa"/>
            <w:tcBorders>
              <w:bottom w:val="single" w:sz="2" w:space="0" w:color="FF6A00"/>
            </w:tcBorders>
            <w:shd w:fill="FF6A00" w:val="clear"/>
            <w:vAlign w:val="center"/>
          </w:tcPr>
          <w:p>
            <w:pPr>
              <w:pStyle w:val="TableContents"/>
              <w:bidi w:val="0"/>
              <w:spacing w:before="0" w:after="283"/>
              <w:jc w:val="left"/>
              <w:rPr/>
            </w:pPr>
            <w:r>
              <w:rPr/>
              <w:t>​</w:t>
            </w:r>
          </w:p>
        </w:tc>
        <w:tc>
          <w:tcPr>
            <w:tcW w:w="109" w:type="dxa"/>
            <w:tcBorders>
              <w:bottom w:val="single" w:sz="2" w:space="0" w:color="FF6A00"/>
            </w:tcBorders>
            <w:shd w:fill="FF6A00" w:val="clear"/>
            <w:vAlign w:val="center"/>
          </w:tcPr>
          <w:p>
            <w:pPr>
              <w:pStyle w:val="TableContents"/>
              <w:bidi w:val="0"/>
              <w:spacing w:before="0" w:after="283"/>
              <w:jc w:val="right"/>
              <w:rPr/>
            </w:pPr>
            <w:r>
              <w:rPr/>
              <w:t>​</w:t>
            </w:r>
          </w:p>
        </w:tc>
        <w:tc>
          <w:tcPr>
            <w:tcW w:w="672" w:type="dxa"/>
            <w:tcBorders>
              <w:bottom w:val="single" w:sz="2" w:space="0" w:color="FF6A00"/>
            </w:tcBorders>
            <w:shd w:fill="FF6A00" w:val="clear"/>
            <w:vAlign w:val="center"/>
          </w:tcPr>
          <w:p>
            <w:pPr>
              <w:pStyle w:val="TableContents"/>
              <w:bidi w:val="0"/>
              <w:spacing w:before="0" w:after="283"/>
              <w:jc w:val="right"/>
              <w:rPr/>
            </w:pPr>
            <w:r>
              <w:rPr/>
              <w:t>​</w:t>
            </w:r>
          </w:p>
        </w:tc>
        <w:tc>
          <w:tcPr>
            <w:tcW w:w="109" w:type="dxa"/>
            <w:tcBorders>
              <w:bottom w:val="single" w:sz="2" w:space="0" w:color="FF6A00"/>
            </w:tcBorders>
            <w:shd w:fill="FF6A00" w:val="clear"/>
            <w:vAlign w:val="center"/>
          </w:tcPr>
          <w:p>
            <w:pPr>
              <w:pStyle w:val="TableContents"/>
              <w:bidi w:val="0"/>
              <w:spacing w:before="0" w:after="283"/>
              <w:jc w:val="left"/>
              <w:rPr/>
            </w:pPr>
            <w:r>
              <w:rPr/>
              <w:t>​</w:t>
            </w:r>
          </w:p>
        </w:tc>
        <w:tc>
          <w:tcPr>
            <w:tcW w:w="109" w:type="dxa"/>
            <w:tcBorders>
              <w:bottom w:val="single" w:sz="2" w:space="0" w:color="FF6A00"/>
            </w:tcBorders>
            <w:shd w:fill="FF6A00" w:val="clear"/>
            <w:vAlign w:val="center"/>
          </w:tcPr>
          <w:p>
            <w:pPr>
              <w:pStyle w:val="TableContents"/>
              <w:bidi w:val="0"/>
              <w:spacing w:before="0" w:after="283"/>
              <w:jc w:val="left"/>
              <w:rPr/>
            </w:pPr>
            <w:r>
              <w:rPr/>
              <w:t>​</w:t>
            </w:r>
          </w:p>
        </w:tc>
        <w:tc>
          <w:tcPr>
            <w:tcW w:w="109" w:type="dxa"/>
            <w:tcBorders>
              <w:bottom w:val="single" w:sz="2" w:space="0" w:color="FF6A00"/>
            </w:tcBorders>
            <w:shd w:fill="FF6A00" w:val="clear"/>
            <w:vAlign w:val="center"/>
          </w:tcPr>
          <w:p>
            <w:pPr>
              <w:pStyle w:val="TableContents"/>
              <w:bidi w:val="0"/>
              <w:spacing w:before="0" w:after="283"/>
              <w:jc w:val="left"/>
              <w:rPr/>
            </w:pPr>
            <w:r>
              <w:rPr/>
              <w:t>​</w:t>
            </w:r>
          </w:p>
        </w:tc>
        <w:tc>
          <w:tcPr>
            <w:tcW w:w="4435" w:type="dxa"/>
            <w:gridSpan w:val="16"/>
            <w:tcBorders>
              <w:bottom w:val="single" w:sz="2" w:space="0" w:color="FEFEFE"/>
            </w:tcBorders>
            <w:shd w:fill="FF6A00" w:val="clear"/>
            <w:tcMar>
              <w:bottom w:w="60" w:type="dxa"/>
            </w:tcMar>
            <w:vAlign w:val="center"/>
          </w:tcPr>
          <w:p>
            <w:pPr>
              <w:pStyle w:val="TableContents"/>
              <w:bidi w:val="0"/>
              <w:spacing w:lineRule="atLeast" w:line="142" w:before="0" w:after="0"/>
              <w:jc w:val="center"/>
              <w:rPr/>
            </w:pPr>
            <w:r>
              <w:rPr>
                <w:spacing w:val="-1"/>
              </w:rPr>
              <w:t xml:space="preserve">Possible payouts </w:t>
              <w:br/>
              <w:t xml:space="preserve">under non-equity </w:t>
              <w:br/>
              <w:t>incentive plan awards</w:t>
            </w:r>
            <w:r>
              <w:rPr>
                <w:spacing w:val="-1"/>
                <w:sz w:val="9"/>
              </w:rPr>
              <w:t>(1)</w:t>
            </w:r>
            <w:r>
              <w:rPr/>
              <w:t xml:space="preserve"> </w:t>
            </w:r>
          </w:p>
        </w:tc>
        <w:tc>
          <w:tcPr>
            <w:tcW w:w="109" w:type="dxa"/>
            <w:tcBorders>
              <w:bottom w:val="single" w:sz="2" w:space="0" w:color="FF6A00"/>
            </w:tcBorders>
            <w:shd w:fill="FF6A00" w:val="clear"/>
            <w:vAlign w:val="center"/>
          </w:tcPr>
          <w:p>
            <w:pPr>
              <w:pStyle w:val="TableContents"/>
              <w:bidi w:val="0"/>
              <w:spacing w:before="0" w:after="283"/>
              <w:jc w:val="left"/>
              <w:rPr/>
            </w:pPr>
            <w:r>
              <w:rPr/>
              <w:t>​</w:t>
            </w:r>
          </w:p>
        </w:tc>
        <w:tc>
          <w:tcPr>
            <w:tcW w:w="109" w:type="dxa"/>
            <w:tcBorders>
              <w:bottom w:val="single" w:sz="2" w:space="0" w:color="FF6A00"/>
            </w:tcBorders>
            <w:shd w:fill="FF6A00" w:val="clear"/>
            <w:vAlign w:val="center"/>
          </w:tcPr>
          <w:p>
            <w:pPr>
              <w:pStyle w:val="TableContents"/>
              <w:bidi w:val="0"/>
              <w:spacing w:before="0" w:after="283"/>
              <w:jc w:val="left"/>
              <w:rPr/>
            </w:pPr>
            <w:r>
              <w:rPr/>
              <w:t>​</w:t>
            </w:r>
          </w:p>
        </w:tc>
        <w:tc>
          <w:tcPr>
            <w:tcW w:w="3715" w:type="dxa"/>
            <w:gridSpan w:val="16"/>
            <w:tcBorders>
              <w:bottom w:val="single" w:sz="2" w:space="0" w:color="FEFEFE"/>
            </w:tcBorders>
            <w:shd w:fill="FF6A00" w:val="clear"/>
            <w:tcMar>
              <w:bottom w:w="60" w:type="dxa"/>
            </w:tcMar>
            <w:vAlign w:val="center"/>
          </w:tcPr>
          <w:p>
            <w:pPr>
              <w:pStyle w:val="TableContents"/>
              <w:bidi w:val="0"/>
              <w:spacing w:lineRule="atLeast" w:line="142" w:before="0" w:after="0"/>
              <w:jc w:val="center"/>
              <w:rPr/>
            </w:pPr>
            <w:r>
              <w:rPr>
                <w:spacing w:val="-1"/>
              </w:rPr>
              <w:t xml:space="preserve">Possible payouts </w:t>
              <w:br/>
              <w:t xml:space="preserve">under equity </w:t>
              <w:br/>
              <w:t>incentive plan awards</w:t>
            </w:r>
            <w:r>
              <w:rPr>
                <w:spacing w:val="-1"/>
                <w:sz w:val="9"/>
              </w:rPr>
              <w:t>(2)</w:t>
            </w:r>
            <w:r>
              <w:rPr/>
              <w:t xml:space="preserve"> </w:t>
            </w:r>
          </w:p>
        </w:tc>
        <w:tc>
          <w:tcPr>
            <w:tcW w:w="109" w:type="dxa"/>
            <w:tcBorders>
              <w:bottom w:val="single" w:sz="2" w:space="0" w:color="FF6A00"/>
            </w:tcBorders>
            <w:shd w:fill="FF6A00" w:val="clear"/>
            <w:vAlign w:val="center"/>
          </w:tcPr>
          <w:p>
            <w:pPr>
              <w:pStyle w:val="TableContents"/>
              <w:bidi w:val="0"/>
              <w:spacing w:before="0" w:after="283"/>
              <w:jc w:val="left"/>
              <w:rPr/>
            </w:pPr>
            <w:r>
              <w:rPr/>
              <w:t>​</w:t>
            </w:r>
          </w:p>
        </w:tc>
        <w:tc>
          <w:tcPr>
            <w:tcW w:w="109" w:type="dxa"/>
            <w:vMerge w:val="restart"/>
            <w:tcBorders/>
            <w:shd w:fill="FF6A00" w:val="clear"/>
            <w:tcMar>
              <w:bottom w:w="0" w:type="dxa"/>
            </w:tcMar>
            <w:vAlign w:val="center"/>
          </w:tcPr>
          <w:p>
            <w:pPr>
              <w:pStyle w:val="TableContents"/>
              <w:bidi w:val="0"/>
              <w:spacing w:before="0" w:after="283"/>
              <w:jc w:val="left"/>
              <w:rPr/>
            </w:pPr>
            <w:r>
              <w:rPr/>
              <w:t>​</w:t>
            </w:r>
          </w:p>
        </w:tc>
        <w:tc>
          <w:tcPr>
            <w:tcW w:w="1093" w:type="dxa"/>
            <w:gridSpan w:val="4"/>
            <w:vMerge w:val="restart"/>
            <w:tcBorders/>
            <w:shd w:fill="FF6A00" w:val="clear"/>
            <w:tcMar>
              <w:bottom w:w="0" w:type="dxa"/>
            </w:tcMar>
            <w:vAlign w:val="center"/>
          </w:tcPr>
          <w:p>
            <w:pPr>
              <w:pStyle w:val="TableContents"/>
              <w:bidi w:val="0"/>
              <w:spacing w:lineRule="atLeast" w:line="142" w:before="0" w:after="0"/>
              <w:jc w:val="center"/>
              <w:rPr/>
            </w:pPr>
            <w:r>
              <w:rPr>
                <w:spacing w:val="-1"/>
              </w:rPr>
              <w:t xml:space="preserve">All other </w:t>
              <w:br/>
              <w:t xml:space="preserve">stock </w:t>
              <w:br/>
              <w:t xml:space="preserve">awards: </w:t>
              <w:br/>
              <w:t xml:space="preserve">number of </w:t>
              <w:br/>
              <w:t xml:space="preserve">shares of </w:t>
              <w:br/>
              <w:t xml:space="preserve">stock or </w:t>
              <w:br/>
              <w:t xml:space="preserve">units </w:t>
              <w:br/>
              <w:t>(#)</w:t>
            </w:r>
            <w:r>
              <w:rPr>
                <w:spacing w:val="-1"/>
                <w:sz w:val="9"/>
              </w:rPr>
              <w:t>(3)</w:t>
            </w:r>
            <w:r>
              <w:rPr/>
              <w:t xml:space="preserve"> </w:t>
            </w:r>
          </w:p>
        </w:tc>
        <w:tc>
          <w:tcPr>
            <w:tcW w:w="109" w:type="dxa"/>
            <w:vMerge w:val="restart"/>
            <w:tcBorders/>
            <w:shd w:fill="FF6A00" w:val="clear"/>
            <w:tcMar>
              <w:bottom w:w="0" w:type="dxa"/>
            </w:tcMar>
            <w:vAlign w:val="center"/>
          </w:tcPr>
          <w:p>
            <w:pPr>
              <w:pStyle w:val="TableContents"/>
              <w:bidi w:val="0"/>
              <w:spacing w:before="0" w:after="283"/>
              <w:jc w:val="left"/>
              <w:rPr/>
            </w:pPr>
            <w:r>
              <w:rPr/>
              <w:t>​</w:t>
            </w:r>
          </w:p>
        </w:tc>
        <w:tc>
          <w:tcPr>
            <w:tcW w:w="109" w:type="dxa"/>
            <w:vMerge w:val="restart"/>
            <w:tcBorders/>
            <w:shd w:fill="FF6A00" w:val="clear"/>
            <w:tcMar>
              <w:bottom w:w="0" w:type="dxa"/>
            </w:tcMar>
            <w:vAlign w:val="center"/>
          </w:tcPr>
          <w:p>
            <w:pPr>
              <w:pStyle w:val="TableContents"/>
              <w:bidi w:val="0"/>
              <w:spacing w:before="0" w:after="283"/>
              <w:jc w:val="left"/>
              <w:rPr/>
            </w:pPr>
            <w:r>
              <w:rPr/>
              <w:t>​</w:t>
            </w:r>
          </w:p>
        </w:tc>
        <w:tc>
          <w:tcPr>
            <w:tcW w:w="1117" w:type="dxa"/>
            <w:gridSpan w:val="4"/>
            <w:vMerge w:val="restart"/>
            <w:tcBorders/>
            <w:shd w:fill="FF6A00" w:val="clear"/>
            <w:tcMar>
              <w:bottom w:w="0" w:type="dxa"/>
            </w:tcMar>
            <w:vAlign w:val="center"/>
          </w:tcPr>
          <w:p>
            <w:pPr>
              <w:pStyle w:val="TableContents"/>
              <w:bidi w:val="0"/>
              <w:spacing w:lineRule="atLeast" w:line="142" w:before="0" w:after="0"/>
              <w:jc w:val="center"/>
              <w:rPr/>
            </w:pPr>
            <w:r>
              <w:rPr>
                <w:spacing w:val="-1"/>
              </w:rPr>
              <w:t xml:space="preserve">All other </w:t>
              <w:br/>
              <w:t xml:space="preserve">option </w:t>
              <w:br/>
              <w:t xml:space="preserve">awards: </w:t>
              <w:br/>
              <w:t xml:space="preserve">number of </w:t>
              <w:br/>
              <w:t xml:space="preserve">securities </w:t>
              <w:br/>
              <w:t xml:space="preserve">underlying </w:t>
              <w:br/>
              <w:t xml:space="preserve">options </w:t>
              <w:br/>
              <w:t>(#)</w:t>
            </w:r>
            <w:r>
              <w:rPr>
                <w:spacing w:val="-1"/>
                <w:sz w:val="9"/>
              </w:rPr>
              <w:t>(4)</w:t>
            </w:r>
            <w:r>
              <w:rPr/>
              <w:t xml:space="preserve"> </w:t>
            </w:r>
          </w:p>
        </w:tc>
        <w:tc>
          <w:tcPr>
            <w:tcW w:w="109" w:type="dxa"/>
            <w:vMerge w:val="restart"/>
            <w:tcBorders/>
            <w:shd w:fill="FF6A00" w:val="clear"/>
            <w:tcMar>
              <w:bottom w:w="0" w:type="dxa"/>
            </w:tcMar>
            <w:vAlign w:val="center"/>
          </w:tcPr>
          <w:p>
            <w:pPr>
              <w:pStyle w:val="TableContents"/>
              <w:bidi w:val="0"/>
              <w:spacing w:before="0" w:after="283"/>
              <w:jc w:val="left"/>
              <w:rPr/>
            </w:pPr>
            <w:r>
              <w:rPr/>
              <w:t>​</w:t>
            </w:r>
          </w:p>
        </w:tc>
        <w:tc>
          <w:tcPr>
            <w:tcW w:w="109" w:type="dxa"/>
            <w:vMerge w:val="restart"/>
            <w:tcBorders/>
            <w:shd w:fill="FF6A00" w:val="clear"/>
            <w:tcMar>
              <w:bottom w:w="0" w:type="dxa"/>
            </w:tcMar>
            <w:vAlign w:val="center"/>
          </w:tcPr>
          <w:p>
            <w:pPr>
              <w:pStyle w:val="TableContents"/>
              <w:bidi w:val="0"/>
              <w:spacing w:before="0" w:after="283"/>
              <w:jc w:val="left"/>
              <w:rPr/>
            </w:pPr>
            <w:r>
              <w:rPr/>
              <w:t>​</w:t>
            </w:r>
          </w:p>
        </w:tc>
        <w:tc>
          <w:tcPr>
            <w:tcW w:w="1210" w:type="dxa"/>
            <w:gridSpan w:val="4"/>
            <w:vMerge w:val="restart"/>
            <w:tcBorders/>
            <w:shd w:fill="FF6A00" w:val="clear"/>
            <w:tcMar>
              <w:bottom w:w="0" w:type="dxa"/>
            </w:tcMar>
            <w:vAlign w:val="center"/>
          </w:tcPr>
          <w:p>
            <w:pPr>
              <w:pStyle w:val="TableContents"/>
              <w:bidi w:val="0"/>
              <w:spacing w:lineRule="atLeast" w:line="142" w:before="0" w:after="0"/>
              <w:jc w:val="center"/>
              <w:rPr/>
            </w:pPr>
            <w:r>
              <w:rPr>
                <w:spacing w:val="-1"/>
              </w:rPr>
              <w:t xml:space="preserve">Exercise </w:t>
              <w:br/>
              <w:t xml:space="preserve">or base </w:t>
              <w:br/>
              <w:t xml:space="preserve">price of </w:t>
              <w:br/>
              <w:t xml:space="preserve">option </w:t>
              <w:br/>
              <w:t xml:space="preserve">awards </w:t>
              <w:br/>
              <w:t>($/sh)</w:t>
            </w:r>
            <w:r>
              <w:rPr>
                <w:spacing w:val="-1"/>
                <w:sz w:val="9"/>
              </w:rPr>
              <w:t>(5)</w:t>
            </w:r>
            <w:r>
              <w:rPr/>
              <w:t xml:space="preserve"> </w:t>
            </w:r>
          </w:p>
        </w:tc>
        <w:tc>
          <w:tcPr>
            <w:tcW w:w="109" w:type="dxa"/>
            <w:vMerge w:val="restart"/>
            <w:tcBorders/>
            <w:shd w:fill="FF6A00" w:val="clear"/>
            <w:tcMar>
              <w:bottom w:w="0" w:type="dxa"/>
            </w:tcMar>
            <w:vAlign w:val="center"/>
          </w:tcPr>
          <w:p>
            <w:pPr>
              <w:pStyle w:val="TableContents"/>
              <w:bidi w:val="0"/>
              <w:spacing w:before="0" w:after="283"/>
              <w:jc w:val="left"/>
              <w:rPr/>
            </w:pPr>
            <w:r>
              <w:rPr/>
              <w:t>​</w:t>
            </w:r>
          </w:p>
        </w:tc>
        <w:tc>
          <w:tcPr>
            <w:tcW w:w="109" w:type="dxa"/>
            <w:vMerge w:val="restart"/>
            <w:tcBorders/>
            <w:shd w:fill="FF6A00" w:val="clear"/>
            <w:tcMar>
              <w:bottom w:w="0" w:type="dxa"/>
            </w:tcMar>
            <w:vAlign w:val="center"/>
          </w:tcPr>
          <w:p>
            <w:pPr>
              <w:pStyle w:val="TableContents"/>
              <w:bidi w:val="0"/>
              <w:spacing w:before="0" w:after="283"/>
              <w:jc w:val="left"/>
              <w:rPr/>
            </w:pPr>
            <w:r>
              <w:rPr/>
              <w:t>​</w:t>
            </w:r>
          </w:p>
        </w:tc>
        <w:tc>
          <w:tcPr>
            <w:tcW w:w="1210" w:type="dxa"/>
            <w:gridSpan w:val="4"/>
            <w:vMerge w:val="restart"/>
            <w:tcBorders/>
            <w:shd w:fill="FF6A00" w:val="clear"/>
            <w:tcMar>
              <w:bottom w:w="0" w:type="dxa"/>
            </w:tcMar>
            <w:vAlign w:val="center"/>
          </w:tcPr>
          <w:p>
            <w:pPr>
              <w:pStyle w:val="TableContents"/>
              <w:bidi w:val="0"/>
              <w:spacing w:lineRule="atLeast" w:line="142" w:before="0" w:after="0"/>
              <w:jc w:val="center"/>
              <w:rPr>
                <w:spacing w:val="-1"/>
              </w:rPr>
            </w:pPr>
            <w:r>
              <w:rPr>
                <w:spacing w:val="-1"/>
              </w:rPr>
              <w:t xml:space="preserve">Closing </w:t>
              <w:br/>
              <w:t xml:space="preserve">market </w:t>
              <w:br/>
              <w:t xml:space="preserve">price on </w:t>
              <w:br/>
              <w:t xml:space="preserve">date </w:t>
              <w:br/>
              <w:t xml:space="preserve">of </w:t>
              <w:br/>
              <w:t xml:space="preserve">grant </w:t>
              <w:br/>
              <w:t xml:space="preserve">($/sh) </w:t>
            </w:r>
          </w:p>
        </w:tc>
        <w:tc>
          <w:tcPr>
            <w:tcW w:w="109" w:type="dxa"/>
            <w:vMerge w:val="restart"/>
            <w:tcBorders/>
            <w:shd w:fill="FF6A00" w:val="clear"/>
            <w:tcMar>
              <w:bottom w:w="0" w:type="dxa"/>
            </w:tcMar>
            <w:vAlign w:val="center"/>
          </w:tcPr>
          <w:p>
            <w:pPr>
              <w:pStyle w:val="TableContents"/>
              <w:bidi w:val="0"/>
              <w:spacing w:before="0" w:after="283"/>
              <w:jc w:val="left"/>
              <w:rPr/>
            </w:pPr>
            <w:r>
              <w:rPr/>
              <w:t>​</w:t>
            </w:r>
          </w:p>
        </w:tc>
        <w:tc>
          <w:tcPr>
            <w:tcW w:w="109" w:type="dxa"/>
            <w:vMerge w:val="restart"/>
            <w:tcBorders/>
            <w:shd w:fill="FF6A00" w:val="clear"/>
            <w:tcMar>
              <w:bottom w:w="0" w:type="dxa"/>
            </w:tcMar>
            <w:vAlign w:val="center"/>
          </w:tcPr>
          <w:p>
            <w:pPr>
              <w:pStyle w:val="TableContents"/>
              <w:bidi w:val="0"/>
              <w:spacing w:before="0" w:after="283"/>
              <w:jc w:val="left"/>
              <w:rPr/>
            </w:pPr>
            <w:r>
              <w:rPr/>
              <w:t>​</w:t>
            </w:r>
          </w:p>
        </w:tc>
        <w:tc>
          <w:tcPr>
            <w:tcW w:w="1393" w:type="dxa"/>
            <w:gridSpan w:val="4"/>
            <w:vMerge w:val="restart"/>
            <w:tcBorders/>
            <w:shd w:fill="FF6A00" w:val="clear"/>
            <w:tcMar>
              <w:bottom w:w="0" w:type="dxa"/>
            </w:tcMar>
            <w:vAlign w:val="center"/>
          </w:tcPr>
          <w:p>
            <w:pPr>
              <w:pStyle w:val="TableContents"/>
              <w:bidi w:val="0"/>
              <w:spacing w:lineRule="atLeast" w:line="142" w:before="0" w:after="0"/>
              <w:jc w:val="center"/>
              <w:rPr/>
            </w:pPr>
            <w:r>
              <w:rPr>
                <w:spacing w:val="-1"/>
              </w:rPr>
              <w:t xml:space="preserve">Grant </w:t>
              <w:br/>
              <w:t xml:space="preserve">date </w:t>
              <w:br/>
              <w:t xml:space="preserve">fair value </w:t>
              <w:br/>
              <w:t xml:space="preserve">of stock </w:t>
              <w:br/>
              <w:t xml:space="preserve">and </w:t>
              <w:br/>
              <w:t xml:space="preserve">option </w:t>
              <w:br/>
              <w:t xml:space="preserve">awards </w:t>
              <w:br/>
              <w:t>($)</w:t>
            </w:r>
            <w:r>
              <w:rPr>
                <w:spacing w:val="-1"/>
                <w:sz w:val="9"/>
              </w:rPr>
              <w:t>(6)</w:t>
            </w:r>
            <w:r>
              <w:rPr/>
              <w:t xml:space="preserve"> </w:t>
            </w:r>
          </w:p>
        </w:tc>
        <w:tc>
          <w:tcPr>
            <w:tcW w:w="154" w:type="dxa"/>
            <w:vMerge w:val="restart"/>
            <w:tcBorders/>
            <w:shd w:fill="FF6A00" w:val="clear"/>
            <w:tcMar>
              <w:bottom w:w="0" w:type="dxa"/>
            </w:tcMar>
            <w:vAlign w:val="center"/>
          </w:tcPr>
          <w:p>
            <w:pPr>
              <w:pStyle w:val="TableContents"/>
              <w:bidi w:val="0"/>
              <w:spacing w:before="0" w:after="283"/>
              <w:jc w:val="left"/>
              <w:rPr/>
            </w:pPr>
            <w:r>
              <w:rPr/>
              <w:t>​</w:t>
            </w:r>
          </w:p>
        </w:tc>
      </w:tr>
      <w:tr>
        <w:trPr/>
        <w:tc>
          <w:tcPr>
            <w:tcW w:w="124" w:type="dxa"/>
            <w:tcBorders/>
            <w:shd w:fill="FF6A00" w:val="clear"/>
            <w:tcMar>
              <w:bottom w:w="0" w:type="dxa"/>
            </w:tcMar>
            <w:vAlign w:val="center"/>
          </w:tcPr>
          <w:p>
            <w:pPr>
              <w:pStyle w:val="TableContents"/>
              <w:bidi w:val="0"/>
              <w:spacing w:before="0" w:after="283"/>
              <w:jc w:val="left"/>
              <w:rPr/>
            </w:pPr>
            <w:r>
              <w:rPr/>
              <w:t>​</w:t>
            </w:r>
          </w:p>
        </w:tc>
        <w:tc>
          <w:tcPr>
            <w:tcW w:w="894" w:type="dxa"/>
            <w:tcBorders/>
            <w:shd w:fill="FF6A00" w:val="clear"/>
            <w:tcMar>
              <w:bottom w:w="0" w:type="dxa"/>
            </w:tcMar>
            <w:vAlign w:val="center"/>
          </w:tcPr>
          <w:p>
            <w:pPr>
              <w:pStyle w:val="TableContents"/>
              <w:bidi w:val="0"/>
              <w:spacing w:before="0" w:after="0"/>
              <w:jc w:val="left"/>
              <w:rPr>
                <w:spacing w:val="-1"/>
              </w:rPr>
            </w:pPr>
            <w:r>
              <w:rPr>
                <w:spacing w:val="-1"/>
              </w:rPr>
              <w:t xml:space="preserve">Name </w:t>
            </w:r>
          </w:p>
        </w:tc>
        <w:tc>
          <w:tcPr>
            <w:tcW w:w="109" w:type="dxa"/>
            <w:tcBorders/>
            <w:shd w:fill="FF6A00" w:val="clear"/>
            <w:tcMar>
              <w:bottom w:w="0" w:type="dxa"/>
            </w:tcMar>
            <w:vAlign w:val="center"/>
          </w:tcPr>
          <w:p>
            <w:pPr>
              <w:pStyle w:val="TableContents"/>
              <w:bidi w:val="0"/>
              <w:spacing w:before="0" w:after="283"/>
              <w:jc w:val="left"/>
              <w:rPr/>
            </w:pPr>
            <w:r>
              <w:rPr/>
              <w:t>​</w:t>
            </w:r>
          </w:p>
        </w:tc>
        <w:tc>
          <w:tcPr>
            <w:tcW w:w="109" w:type="dxa"/>
            <w:tcBorders/>
            <w:shd w:fill="FF6A00" w:val="clear"/>
            <w:tcMar>
              <w:bottom w:w="0" w:type="dxa"/>
            </w:tcMar>
            <w:vAlign w:val="center"/>
          </w:tcPr>
          <w:p>
            <w:pPr>
              <w:pStyle w:val="TableContents"/>
              <w:bidi w:val="0"/>
              <w:spacing w:before="0" w:after="283"/>
              <w:jc w:val="left"/>
              <w:rPr/>
            </w:pPr>
            <w:r>
              <w:rPr/>
              <w:t>​</w:t>
            </w:r>
          </w:p>
        </w:tc>
        <w:tc>
          <w:tcPr>
            <w:tcW w:w="673" w:type="dxa"/>
            <w:gridSpan w:val="4"/>
            <w:tcBorders/>
            <w:shd w:fill="FF6A00" w:val="clear"/>
            <w:tcMar>
              <w:bottom w:w="0" w:type="dxa"/>
            </w:tcMar>
            <w:vAlign w:val="center"/>
          </w:tcPr>
          <w:p>
            <w:pPr>
              <w:pStyle w:val="TableContents"/>
              <w:bidi w:val="0"/>
              <w:spacing w:before="0" w:after="0"/>
              <w:jc w:val="center"/>
              <w:rPr>
                <w:spacing w:val="-1"/>
              </w:rPr>
            </w:pPr>
            <w:r>
              <w:rPr>
                <w:spacing w:val="-1"/>
              </w:rPr>
              <w:t xml:space="preserve">Grant </w:t>
              <w:br/>
              <w:t xml:space="preserve">Date </w:t>
            </w:r>
          </w:p>
        </w:tc>
        <w:tc>
          <w:tcPr>
            <w:tcW w:w="109" w:type="dxa"/>
            <w:tcBorders/>
            <w:shd w:fill="FF6A00" w:val="clear"/>
            <w:tcMar>
              <w:bottom w:w="0" w:type="dxa"/>
            </w:tcMar>
            <w:vAlign w:val="center"/>
          </w:tcPr>
          <w:p>
            <w:pPr>
              <w:pStyle w:val="TableContents"/>
              <w:bidi w:val="0"/>
              <w:spacing w:before="0" w:after="283"/>
              <w:jc w:val="left"/>
              <w:rPr/>
            </w:pPr>
            <w:r>
              <w:rPr/>
              <w:t>​</w:t>
            </w:r>
          </w:p>
        </w:tc>
        <w:tc>
          <w:tcPr>
            <w:tcW w:w="109" w:type="dxa"/>
            <w:tcBorders/>
            <w:shd w:fill="FF6A00" w:val="clear"/>
            <w:tcMar>
              <w:bottom w:w="0" w:type="dxa"/>
            </w:tcMar>
            <w:vAlign w:val="center"/>
          </w:tcPr>
          <w:p>
            <w:pPr>
              <w:pStyle w:val="TableContents"/>
              <w:bidi w:val="0"/>
              <w:spacing w:before="0" w:after="283"/>
              <w:jc w:val="left"/>
              <w:rPr/>
            </w:pPr>
            <w:r>
              <w:rPr/>
              <w:t>​</w:t>
            </w:r>
          </w:p>
        </w:tc>
        <w:tc>
          <w:tcPr>
            <w:tcW w:w="999" w:type="dxa"/>
            <w:gridSpan w:val="4"/>
            <w:tcBorders/>
            <w:shd w:fill="FF6A00" w:val="clear"/>
            <w:tcMar>
              <w:bottom w:w="0" w:type="dxa"/>
            </w:tcMar>
            <w:vAlign w:val="center"/>
          </w:tcPr>
          <w:p>
            <w:pPr>
              <w:pStyle w:val="TableContents"/>
              <w:bidi w:val="0"/>
              <w:spacing w:before="0" w:after="0"/>
              <w:jc w:val="center"/>
              <w:rPr>
                <w:spacing w:val="-1"/>
              </w:rPr>
            </w:pPr>
            <w:r>
              <w:rPr>
                <w:spacing w:val="-1"/>
              </w:rPr>
              <w:t xml:space="preserve">Approval </w:t>
              <w:br/>
              <w:t xml:space="preserve">Date </w:t>
            </w:r>
          </w:p>
        </w:tc>
        <w:tc>
          <w:tcPr>
            <w:tcW w:w="109" w:type="dxa"/>
            <w:tcBorders/>
            <w:shd w:fill="FF6A00" w:val="clear"/>
            <w:tcMar>
              <w:bottom w:w="0" w:type="dxa"/>
            </w:tcMar>
            <w:vAlign w:val="center"/>
          </w:tcPr>
          <w:p>
            <w:pPr>
              <w:pStyle w:val="TableContents"/>
              <w:bidi w:val="0"/>
              <w:spacing w:before="0" w:after="283"/>
              <w:jc w:val="left"/>
              <w:rPr/>
            </w:pPr>
            <w:r>
              <w:rPr/>
              <w:t>​</w:t>
            </w:r>
          </w:p>
        </w:tc>
        <w:tc>
          <w:tcPr>
            <w:tcW w:w="109" w:type="dxa"/>
            <w:tcBorders/>
            <w:shd w:fill="FF6A00" w:val="clear"/>
            <w:tcMar>
              <w:bottom w:w="0" w:type="dxa"/>
            </w:tcMar>
            <w:vAlign w:val="center"/>
          </w:tcPr>
          <w:p>
            <w:pPr>
              <w:pStyle w:val="TableContents"/>
              <w:bidi w:val="0"/>
              <w:spacing w:before="0" w:after="283"/>
              <w:jc w:val="left"/>
              <w:rPr/>
            </w:pPr>
            <w:r>
              <w:rPr/>
              <w:t>​</w:t>
            </w:r>
          </w:p>
        </w:tc>
        <w:tc>
          <w:tcPr>
            <w:tcW w:w="1213" w:type="dxa"/>
            <w:gridSpan w:val="4"/>
            <w:tcBorders/>
            <w:shd w:fill="FF6A00" w:val="clear"/>
            <w:tcMar>
              <w:bottom w:w="0" w:type="dxa"/>
            </w:tcMar>
            <w:vAlign w:val="center"/>
          </w:tcPr>
          <w:p>
            <w:pPr>
              <w:pStyle w:val="TableContents"/>
              <w:bidi w:val="0"/>
              <w:spacing w:before="0" w:after="0"/>
              <w:jc w:val="center"/>
              <w:rPr>
                <w:spacing w:val="-1"/>
              </w:rPr>
            </w:pPr>
            <w:r>
              <w:rPr>
                <w:spacing w:val="-1"/>
              </w:rPr>
              <w:t xml:space="preserve">Threshold </w:t>
              <w:br/>
              <w:t xml:space="preserve">($) </w:t>
            </w:r>
          </w:p>
        </w:tc>
        <w:tc>
          <w:tcPr>
            <w:tcW w:w="109" w:type="dxa"/>
            <w:tcBorders/>
            <w:shd w:fill="FF6A00" w:val="clear"/>
            <w:tcMar>
              <w:bottom w:w="0" w:type="dxa"/>
            </w:tcMar>
            <w:vAlign w:val="center"/>
          </w:tcPr>
          <w:p>
            <w:pPr>
              <w:pStyle w:val="TableContents"/>
              <w:bidi w:val="0"/>
              <w:spacing w:before="0" w:after="283"/>
              <w:jc w:val="left"/>
              <w:rPr/>
            </w:pPr>
            <w:r>
              <w:rPr/>
              <w:t>​</w:t>
            </w:r>
          </w:p>
        </w:tc>
        <w:tc>
          <w:tcPr>
            <w:tcW w:w="109" w:type="dxa"/>
            <w:tcBorders/>
            <w:shd w:fill="FF6A00" w:val="clear"/>
            <w:tcMar>
              <w:bottom w:w="0" w:type="dxa"/>
            </w:tcMar>
            <w:vAlign w:val="center"/>
          </w:tcPr>
          <w:p>
            <w:pPr>
              <w:pStyle w:val="TableContents"/>
              <w:bidi w:val="0"/>
              <w:spacing w:before="0" w:after="283"/>
              <w:jc w:val="left"/>
              <w:rPr/>
            </w:pPr>
            <w:r>
              <w:rPr/>
              <w:t>​</w:t>
            </w:r>
          </w:p>
        </w:tc>
        <w:tc>
          <w:tcPr>
            <w:tcW w:w="1393" w:type="dxa"/>
            <w:gridSpan w:val="4"/>
            <w:tcBorders/>
            <w:shd w:fill="FF6A00" w:val="clear"/>
            <w:tcMar>
              <w:bottom w:w="0" w:type="dxa"/>
            </w:tcMar>
            <w:vAlign w:val="center"/>
          </w:tcPr>
          <w:p>
            <w:pPr>
              <w:pStyle w:val="TableContents"/>
              <w:bidi w:val="0"/>
              <w:spacing w:before="0" w:after="0"/>
              <w:jc w:val="center"/>
              <w:rPr>
                <w:spacing w:val="-1"/>
              </w:rPr>
            </w:pPr>
            <w:r>
              <w:rPr>
                <w:spacing w:val="-1"/>
              </w:rPr>
              <w:t xml:space="preserve">Target </w:t>
              <w:br/>
              <w:t xml:space="preserve">($) </w:t>
            </w:r>
          </w:p>
        </w:tc>
        <w:tc>
          <w:tcPr>
            <w:tcW w:w="109" w:type="dxa"/>
            <w:tcBorders/>
            <w:shd w:fill="FF6A00" w:val="clear"/>
            <w:tcMar>
              <w:bottom w:w="0" w:type="dxa"/>
            </w:tcMar>
            <w:vAlign w:val="center"/>
          </w:tcPr>
          <w:p>
            <w:pPr>
              <w:pStyle w:val="TableContents"/>
              <w:bidi w:val="0"/>
              <w:spacing w:before="0" w:after="283"/>
              <w:jc w:val="left"/>
              <w:rPr/>
            </w:pPr>
            <w:r>
              <w:rPr/>
              <w:t>​</w:t>
            </w:r>
          </w:p>
        </w:tc>
        <w:tc>
          <w:tcPr>
            <w:tcW w:w="109" w:type="dxa"/>
            <w:tcBorders/>
            <w:shd w:fill="FF6A00" w:val="clear"/>
            <w:tcMar>
              <w:bottom w:w="0" w:type="dxa"/>
            </w:tcMar>
            <w:vAlign w:val="center"/>
          </w:tcPr>
          <w:p>
            <w:pPr>
              <w:pStyle w:val="TableContents"/>
              <w:bidi w:val="0"/>
              <w:spacing w:before="0" w:after="283"/>
              <w:jc w:val="left"/>
              <w:rPr/>
            </w:pPr>
            <w:r>
              <w:rPr/>
              <w:t>​</w:t>
            </w:r>
          </w:p>
        </w:tc>
        <w:tc>
          <w:tcPr>
            <w:tcW w:w="1393" w:type="dxa"/>
            <w:gridSpan w:val="4"/>
            <w:tcBorders/>
            <w:shd w:fill="FF6A00" w:val="clear"/>
            <w:tcMar>
              <w:bottom w:w="0" w:type="dxa"/>
            </w:tcMar>
            <w:vAlign w:val="center"/>
          </w:tcPr>
          <w:p>
            <w:pPr>
              <w:pStyle w:val="TableContents"/>
              <w:bidi w:val="0"/>
              <w:spacing w:before="0" w:after="0"/>
              <w:jc w:val="center"/>
              <w:rPr>
                <w:spacing w:val="-1"/>
              </w:rPr>
            </w:pPr>
            <w:r>
              <w:rPr>
                <w:spacing w:val="-1"/>
              </w:rPr>
              <w:t xml:space="preserve">Maximum </w:t>
              <w:br/>
              <w:t xml:space="preserve">($) </w:t>
            </w:r>
          </w:p>
        </w:tc>
        <w:tc>
          <w:tcPr>
            <w:tcW w:w="109" w:type="dxa"/>
            <w:tcBorders/>
            <w:shd w:fill="FF6A00" w:val="clear"/>
            <w:tcMar>
              <w:bottom w:w="0" w:type="dxa"/>
            </w:tcMar>
            <w:vAlign w:val="center"/>
          </w:tcPr>
          <w:p>
            <w:pPr>
              <w:pStyle w:val="TableContents"/>
              <w:bidi w:val="0"/>
              <w:spacing w:before="0" w:after="283"/>
              <w:jc w:val="left"/>
              <w:rPr/>
            </w:pPr>
            <w:r>
              <w:rPr/>
              <w:t>​</w:t>
            </w:r>
          </w:p>
        </w:tc>
        <w:tc>
          <w:tcPr>
            <w:tcW w:w="109" w:type="dxa"/>
            <w:tcBorders/>
            <w:shd w:fill="FF6A00" w:val="clear"/>
            <w:tcMar>
              <w:bottom w:w="0" w:type="dxa"/>
            </w:tcMar>
            <w:vAlign w:val="center"/>
          </w:tcPr>
          <w:p>
            <w:pPr>
              <w:pStyle w:val="TableContents"/>
              <w:bidi w:val="0"/>
              <w:spacing w:before="0" w:after="283"/>
              <w:jc w:val="left"/>
              <w:rPr/>
            </w:pPr>
            <w:r>
              <w:rPr/>
              <w:t>​</w:t>
            </w:r>
          </w:p>
        </w:tc>
        <w:tc>
          <w:tcPr>
            <w:tcW w:w="1093" w:type="dxa"/>
            <w:gridSpan w:val="4"/>
            <w:tcBorders/>
            <w:shd w:fill="FF6A00" w:val="clear"/>
            <w:tcMar>
              <w:bottom w:w="0" w:type="dxa"/>
            </w:tcMar>
            <w:vAlign w:val="center"/>
          </w:tcPr>
          <w:p>
            <w:pPr>
              <w:pStyle w:val="TableContents"/>
              <w:bidi w:val="0"/>
              <w:spacing w:before="0" w:after="0"/>
              <w:jc w:val="center"/>
              <w:rPr>
                <w:spacing w:val="-1"/>
              </w:rPr>
            </w:pPr>
            <w:r>
              <w:rPr>
                <w:spacing w:val="-1"/>
              </w:rPr>
              <w:t xml:space="preserve">Threshold </w:t>
              <w:br/>
              <w:t xml:space="preserve">(#) </w:t>
            </w:r>
          </w:p>
        </w:tc>
        <w:tc>
          <w:tcPr>
            <w:tcW w:w="109" w:type="dxa"/>
            <w:tcBorders/>
            <w:shd w:fill="FF6A00" w:val="clear"/>
            <w:tcMar>
              <w:bottom w:w="0" w:type="dxa"/>
            </w:tcMar>
            <w:vAlign w:val="center"/>
          </w:tcPr>
          <w:p>
            <w:pPr>
              <w:pStyle w:val="TableContents"/>
              <w:bidi w:val="0"/>
              <w:spacing w:before="0" w:after="283"/>
              <w:jc w:val="left"/>
              <w:rPr/>
            </w:pPr>
            <w:r>
              <w:rPr/>
              <w:t>​</w:t>
            </w:r>
          </w:p>
        </w:tc>
        <w:tc>
          <w:tcPr>
            <w:tcW w:w="109" w:type="dxa"/>
            <w:tcBorders/>
            <w:shd w:fill="FF6A00" w:val="clear"/>
            <w:tcMar>
              <w:bottom w:w="0" w:type="dxa"/>
            </w:tcMar>
            <w:vAlign w:val="center"/>
          </w:tcPr>
          <w:p>
            <w:pPr>
              <w:pStyle w:val="TableContents"/>
              <w:bidi w:val="0"/>
              <w:spacing w:before="0" w:after="283"/>
              <w:jc w:val="left"/>
              <w:rPr/>
            </w:pPr>
            <w:r>
              <w:rPr/>
              <w:t>​</w:t>
            </w:r>
          </w:p>
        </w:tc>
        <w:tc>
          <w:tcPr>
            <w:tcW w:w="1093" w:type="dxa"/>
            <w:gridSpan w:val="4"/>
            <w:tcBorders/>
            <w:shd w:fill="FF6A00" w:val="clear"/>
            <w:tcMar>
              <w:bottom w:w="0" w:type="dxa"/>
            </w:tcMar>
            <w:vAlign w:val="center"/>
          </w:tcPr>
          <w:p>
            <w:pPr>
              <w:pStyle w:val="TableContents"/>
              <w:bidi w:val="0"/>
              <w:spacing w:before="0" w:after="0"/>
              <w:jc w:val="center"/>
              <w:rPr>
                <w:spacing w:val="-1"/>
              </w:rPr>
            </w:pPr>
            <w:r>
              <w:rPr>
                <w:spacing w:val="-1"/>
              </w:rPr>
              <w:t xml:space="preserve">Target </w:t>
              <w:br/>
              <w:t xml:space="preserve">(#) </w:t>
            </w:r>
          </w:p>
        </w:tc>
        <w:tc>
          <w:tcPr>
            <w:tcW w:w="109" w:type="dxa"/>
            <w:tcBorders/>
            <w:shd w:fill="FF6A00" w:val="clear"/>
            <w:tcMar>
              <w:bottom w:w="0" w:type="dxa"/>
            </w:tcMar>
            <w:vAlign w:val="center"/>
          </w:tcPr>
          <w:p>
            <w:pPr>
              <w:pStyle w:val="TableContents"/>
              <w:bidi w:val="0"/>
              <w:spacing w:before="0" w:after="283"/>
              <w:jc w:val="left"/>
              <w:rPr/>
            </w:pPr>
            <w:r>
              <w:rPr/>
              <w:t>​</w:t>
            </w:r>
          </w:p>
        </w:tc>
        <w:tc>
          <w:tcPr>
            <w:tcW w:w="109" w:type="dxa"/>
            <w:tcBorders/>
            <w:shd w:fill="FF6A00" w:val="clear"/>
            <w:tcMar>
              <w:bottom w:w="0" w:type="dxa"/>
            </w:tcMar>
            <w:vAlign w:val="center"/>
          </w:tcPr>
          <w:p>
            <w:pPr>
              <w:pStyle w:val="TableContents"/>
              <w:bidi w:val="0"/>
              <w:spacing w:before="0" w:after="283"/>
              <w:jc w:val="left"/>
              <w:rPr/>
            </w:pPr>
            <w:r>
              <w:rPr/>
              <w:t>​</w:t>
            </w:r>
          </w:p>
        </w:tc>
        <w:tc>
          <w:tcPr>
            <w:tcW w:w="1093" w:type="dxa"/>
            <w:gridSpan w:val="4"/>
            <w:tcBorders/>
            <w:shd w:fill="FF6A00" w:val="clear"/>
            <w:tcMar>
              <w:bottom w:w="0" w:type="dxa"/>
            </w:tcMar>
            <w:vAlign w:val="center"/>
          </w:tcPr>
          <w:p>
            <w:pPr>
              <w:pStyle w:val="TableContents"/>
              <w:bidi w:val="0"/>
              <w:spacing w:before="0" w:after="0"/>
              <w:jc w:val="center"/>
              <w:rPr>
                <w:spacing w:val="-1"/>
              </w:rPr>
            </w:pPr>
            <w:r>
              <w:rPr>
                <w:spacing w:val="-1"/>
              </w:rPr>
              <w:t xml:space="preserve">Maximum </w:t>
              <w:br/>
              <w:t xml:space="preserve">(#) </w:t>
            </w:r>
          </w:p>
        </w:tc>
        <w:tc>
          <w:tcPr>
            <w:tcW w:w="109" w:type="dxa"/>
            <w:tcBorders/>
            <w:shd w:fill="FF6A00" w:val="clear"/>
            <w:tcMar>
              <w:bottom w:w="0" w:type="dxa"/>
            </w:tcMar>
            <w:vAlign w:val="center"/>
          </w:tcPr>
          <w:p>
            <w:pPr>
              <w:pStyle w:val="TableContents"/>
              <w:bidi w:val="0"/>
              <w:spacing w:before="0" w:after="283"/>
              <w:jc w:val="left"/>
              <w:rPr/>
            </w:pPr>
            <w:r>
              <w:rPr/>
              <w:t>​</w:t>
            </w:r>
          </w:p>
        </w:tc>
        <w:tc>
          <w:tcPr>
            <w:tcW w:w="109" w:type="dxa"/>
            <w:vMerge w:val="continue"/>
            <w:tcBorders/>
            <w:shd w:fill="FF6A00" w:val="clear"/>
            <w:tcMar>
              <w:bottom w:w="0" w:type="dxa"/>
            </w:tcMar>
            <w:vAlign w:val="center"/>
          </w:tcPr>
          <w:p>
            <w:pPr>
              <w:pStyle w:val="Normal"/>
              <w:bidi w:val="0"/>
              <w:jc w:val="left"/>
              <w:rPr/>
            </w:pPr>
            <w:r>
              <w:rPr/>
            </w:r>
          </w:p>
        </w:tc>
        <w:tc>
          <w:tcPr>
            <w:tcW w:w="1093" w:type="dxa"/>
            <w:gridSpan w:val="4"/>
            <w:vMerge w:val="continue"/>
            <w:tcBorders/>
            <w:shd w:fill="FF6A00" w:val="clear"/>
            <w:tcMar>
              <w:bottom w:w="0" w:type="dxa"/>
            </w:tcMar>
            <w:vAlign w:val="center"/>
          </w:tcPr>
          <w:p>
            <w:pPr>
              <w:pStyle w:val="Normal"/>
              <w:bidi w:val="0"/>
              <w:jc w:val="left"/>
              <w:rPr/>
            </w:pPr>
            <w:r>
              <w:rPr/>
            </w:r>
          </w:p>
        </w:tc>
        <w:tc>
          <w:tcPr>
            <w:tcW w:w="109" w:type="dxa"/>
            <w:vMerge w:val="continue"/>
            <w:tcBorders/>
            <w:shd w:fill="FF6A00" w:val="clear"/>
            <w:tcMar>
              <w:bottom w:w="0" w:type="dxa"/>
            </w:tcMar>
            <w:vAlign w:val="center"/>
          </w:tcPr>
          <w:p>
            <w:pPr>
              <w:pStyle w:val="Normal"/>
              <w:bidi w:val="0"/>
              <w:jc w:val="left"/>
              <w:rPr/>
            </w:pPr>
            <w:r>
              <w:rPr/>
            </w:r>
          </w:p>
        </w:tc>
        <w:tc>
          <w:tcPr>
            <w:tcW w:w="109" w:type="dxa"/>
            <w:vMerge w:val="continue"/>
            <w:tcBorders/>
            <w:shd w:fill="FF6A00" w:val="clear"/>
            <w:tcMar>
              <w:bottom w:w="0" w:type="dxa"/>
            </w:tcMar>
            <w:vAlign w:val="center"/>
          </w:tcPr>
          <w:p>
            <w:pPr>
              <w:pStyle w:val="Normal"/>
              <w:bidi w:val="0"/>
              <w:jc w:val="left"/>
              <w:rPr/>
            </w:pPr>
            <w:r>
              <w:rPr/>
            </w:r>
          </w:p>
        </w:tc>
        <w:tc>
          <w:tcPr>
            <w:tcW w:w="1117" w:type="dxa"/>
            <w:gridSpan w:val="4"/>
            <w:vMerge w:val="continue"/>
            <w:tcBorders/>
            <w:shd w:fill="FF6A00" w:val="clear"/>
            <w:tcMar>
              <w:bottom w:w="0" w:type="dxa"/>
            </w:tcMar>
            <w:vAlign w:val="center"/>
          </w:tcPr>
          <w:p>
            <w:pPr>
              <w:pStyle w:val="Normal"/>
              <w:bidi w:val="0"/>
              <w:jc w:val="left"/>
              <w:rPr/>
            </w:pPr>
            <w:r>
              <w:rPr/>
            </w:r>
          </w:p>
        </w:tc>
        <w:tc>
          <w:tcPr>
            <w:tcW w:w="109" w:type="dxa"/>
            <w:vMerge w:val="continue"/>
            <w:tcBorders/>
            <w:shd w:fill="FF6A00" w:val="clear"/>
            <w:tcMar>
              <w:bottom w:w="0" w:type="dxa"/>
            </w:tcMar>
            <w:vAlign w:val="center"/>
          </w:tcPr>
          <w:p>
            <w:pPr>
              <w:pStyle w:val="Normal"/>
              <w:bidi w:val="0"/>
              <w:jc w:val="left"/>
              <w:rPr/>
            </w:pPr>
            <w:r>
              <w:rPr/>
            </w:r>
          </w:p>
        </w:tc>
        <w:tc>
          <w:tcPr>
            <w:tcW w:w="109" w:type="dxa"/>
            <w:vMerge w:val="continue"/>
            <w:tcBorders/>
            <w:shd w:fill="FF6A00" w:val="clear"/>
            <w:tcMar>
              <w:bottom w:w="0" w:type="dxa"/>
            </w:tcMar>
            <w:vAlign w:val="center"/>
          </w:tcPr>
          <w:p>
            <w:pPr>
              <w:pStyle w:val="Normal"/>
              <w:bidi w:val="0"/>
              <w:jc w:val="left"/>
              <w:rPr/>
            </w:pPr>
            <w:r>
              <w:rPr/>
            </w:r>
          </w:p>
        </w:tc>
        <w:tc>
          <w:tcPr>
            <w:tcW w:w="1210" w:type="dxa"/>
            <w:gridSpan w:val="4"/>
            <w:vMerge w:val="continue"/>
            <w:tcBorders/>
            <w:shd w:fill="FF6A00" w:val="clear"/>
            <w:tcMar>
              <w:bottom w:w="0" w:type="dxa"/>
            </w:tcMar>
            <w:vAlign w:val="center"/>
          </w:tcPr>
          <w:p>
            <w:pPr>
              <w:pStyle w:val="Normal"/>
              <w:bidi w:val="0"/>
              <w:jc w:val="left"/>
              <w:rPr/>
            </w:pPr>
            <w:r>
              <w:rPr/>
            </w:r>
          </w:p>
        </w:tc>
        <w:tc>
          <w:tcPr>
            <w:tcW w:w="109" w:type="dxa"/>
            <w:vMerge w:val="continue"/>
            <w:tcBorders/>
            <w:shd w:fill="FF6A00" w:val="clear"/>
            <w:tcMar>
              <w:bottom w:w="0" w:type="dxa"/>
            </w:tcMar>
            <w:vAlign w:val="center"/>
          </w:tcPr>
          <w:p>
            <w:pPr>
              <w:pStyle w:val="Normal"/>
              <w:bidi w:val="0"/>
              <w:jc w:val="left"/>
              <w:rPr/>
            </w:pPr>
            <w:r>
              <w:rPr/>
            </w:r>
          </w:p>
        </w:tc>
        <w:tc>
          <w:tcPr>
            <w:tcW w:w="109" w:type="dxa"/>
            <w:vMerge w:val="continue"/>
            <w:tcBorders/>
            <w:shd w:fill="FF6A00" w:val="clear"/>
            <w:tcMar>
              <w:bottom w:w="0" w:type="dxa"/>
            </w:tcMar>
            <w:vAlign w:val="center"/>
          </w:tcPr>
          <w:p>
            <w:pPr>
              <w:pStyle w:val="Normal"/>
              <w:bidi w:val="0"/>
              <w:jc w:val="left"/>
              <w:rPr/>
            </w:pPr>
            <w:r>
              <w:rPr/>
            </w:r>
          </w:p>
        </w:tc>
        <w:tc>
          <w:tcPr>
            <w:tcW w:w="1210" w:type="dxa"/>
            <w:gridSpan w:val="4"/>
            <w:vMerge w:val="continue"/>
            <w:tcBorders/>
            <w:shd w:fill="FF6A00" w:val="clear"/>
            <w:tcMar>
              <w:bottom w:w="0" w:type="dxa"/>
            </w:tcMar>
            <w:vAlign w:val="center"/>
          </w:tcPr>
          <w:p>
            <w:pPr>
              <w:pStyle w:val="Normal"/>
              <w:bidi w:val="0"/>
              <w:jc w:val="left"/>
              <w:rPr/>
            </w:pPr>
            <w:r>
              <w:rPr/>
            </w:r>
          </w:p>
        </w:tc>
        <w:tc>
          <w:tcPr>
            <w:tcW w:w="109" w:type="dxa"/>
            <w:vMerge w:val="continue"/>
            <w:tcBorders/>
            <w:shd w:fill="FF6A00" w:val="clear"/>
            <w:tcMar>
              <w:bottom w:w="0" w:type="dxa"/>
            </w:tcMar>
            <w:vAlign w:val="center"/>
          </w:tcPr>
          <w:p>
            <w:pPr>
              <w:pStyle w:val="Normal"/>
              <w:bidi w:val="0"/>
              <w:jc w:val="left"/>
              <w:rPr/>
            </w:pPr>
            <w:r>
              <w:rPr/>
            </w:r>
          </w:p>
        </w:tc>
        <w:tc>
          <w:tcPr>
            <w:tcW w:w="109" w:type="dxa"/>
            <w:vMerge w:val="continue"/>
            <w:tcBorders/>
            <w:shd w:fill="FF6A00" w:val="clear"/>
            <w:tcMar>
              <w:bottom w:w="0" w:type="dxa"/>
            </w:tcMar>
            <w:vAlign w:val="center"/>
          </w:tcPr>
          <w:p>
            <w:pPr>
              <w:pStyle w:val="Normal"/>
              <w:bidi w:val="0"/>
              <w:jc w:val="left"/>
              <w:rPr/>
            </w:pPr>
            <w:r>
              <w:rPr/>
            </w:r>
          </w:p>
        </w:tc>
        <w:tc>
          <w:tcPr>
            <w:tcW w:w="1393" w:type="dxa"/>
            <w:gridSpan w:val="4"/>
            <w:vMerge w:val="continue"/>
            <w:tcBorders/>
            <w:shd w:fill="FF6A00" w:val="clear"/>
            <w:tcMar>
              <w:bottom w:w="0" w:type="dxa"/>
            </w:tcMar>
            <w:vAlign w:val="center"/>
          </w:tcPr>
          <w:p>
            <w:pPr>
              <w:pStyle w:val="Normal"/>
              <w:bidi w:val="0"/>
              <w:jc w:val="left"/>
              <w:rPr/>
            </w:pPr>
            <w:r>
              <w:rPr/>
            </w:r>
          </w:p>
        </w:tc>
        <w:tc>
          <w:tcPr>
            <w:tcW w:w="154" w:type="dxa"/>
            <w:vMerge w:val="continue"/>
            <w:tcBorders/>
            <w:shd w:fill="FF6A00" w:val="clear"/>
            <w:tcMar>
              <w:bottom w:w="0" w:type="dxa"/>
            </w:tcMar>
            <w:vAlign w:val="center"/>
          </w:tcPr>
          <w:p>
            <w:pPr>
              <w:pStyle w:val="Normal"/>
              <w:bidi w:val="0"/>
              <w:jc w:val="left"/>
              <w:rPr/>
            </w:pPr>
            <w:r>
              <w:rPr/>
            </w:r>
          </w:p>
        </w:tc>
      </w:tr>
      <w:tr>
        <w:trPr/>
        <w:tc>
          <w:tcPr>
            <w:tcW w:w="124" w:type="dxa"/>
            <w:vMerge w:val="restart"/>
            <w:tcBorders/>
            <w:tcMar>
              <w:bottom w:w="0" w:type="dxa"/>
            </w:tcMar>
            <w:vAlign w:val="center"/>
          </w:tcPr>
          <w:p>
            <w:pPr>
              <w:pStyle w:val="TableContents"/>
              <w:bidi w:val="0"/>
              <w:spacing w:before="0" w:after="283"/>
              <w:jc w:val="left"/>
              <w:rPr/>
            </w:pPr>
            <w:r>
              <w:rPr/>
              <w:t>​</w:t>
            </w:r>
          </w:p>
        </w:tc>
        <w:tc>
          <w:tcPr>
            <w:tcW w:w="894" w:type="dxa"/>
            <w:vMerge w:val="restart"/>
            <w:tcBorders/>
            <w:tcMar>
              <w:bottom w:w="0" w:type="dxa"/>
            </w:tcMar>
            <w:vAlign w:val="center"/>
          </w:tcPr>
          <w:p>
            <w:pPr>
              <w:pStyle w:val="TableContents"/>
              <w:bidi w:val="0"/>
              <w:spacing w:lineRule="atLeast" w:line="142" w:before="0" w:after="0"/>
              <w:jc w:val="left"/>
              <w:rPr>
                <w:spacing w:val="-1"/>
              </w:rPr>
            </w:pPr>
            <w:r>
              <w:rPr>
                <w:spacing w:val="-1"/>
              </w:rPr>
              <w:t xml:space="preserve">Aaron Jagdfeld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42" w:before="0" w:after="283"/>
              <w:jc w:val="right"/>
              <w:rPr/>
            </w:pPr>
            <w:r>
              <w:rPr/>
              <w:t>​</w:t>
            </w:r>
          </w:p>
        </w:tc>
        <w:tc>
          <w:tcPr>
            <w:tcW w:w="346" w:type="dxa"/>
            <w:tcBorders/>
            <w:tcMar>
              <w:bottom w:w="0" w:type="dxa"/>
            </w:tcMar>
            <w:vAlign w:val="center"/>
          </w:tcPr>
          <w:p>
            <w:pPr>
              <w:pStyle w:val="TableContents"/>
              <w:bidi w:val="0"/>
              <w:spacing w:lineRule="atLeast" w:line="14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42" w:before="0" w:after="283"/>
              <w:jc w:val="right"/>
              <w:rPr/>
            </w:pPr>
            <w:r>
              <w:rPr/>
              <w:t>​</w:t>
            </w:r>
          </w:p>
        </w:tc>
        <w:tc>
          <w:tcPr>
            <w:tcW w:w="672" w:type="dxa"/>
            <w:tcBorders/>
            <w:tcMar>
              <w:bottom w:w="0" w:type="dxa"/>
            </w:tcMar>
            <w:vAlign w:val="center"/>
          </w:tcPr>
          <w:p>
            <w:pPr>
              <w:pStyle w:val="TableContents"/>
              <w:bidi w:val="0"/>
              <w:spacing w:lineRule="atLeast" w:line="14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42" w:before="0" w:after="283"/>
              <w:jc w:val="right"/>
              <w:rPr/>
            </w:pPr>
            <w:r>
              <w:rPr/>
              <w:t>​</w:t>
            </w:r>
          </w:p>
        </w:tc>
        <w:tc>
          <w:tcPr>
            <w:tcW w:w="886" w:type="dxa"/>
            <w:tcBorders/>
            <w:tcMar>
              <w:bottom w:w="0" w:type="dxa"/>
            </w:tcMar>
            <w:vAlign w:val="center"/>
          </w:tcPr>
          <w:p>
            <w:pPr>
              <w:pStyle w:val="TableContents"/>
              <w:bidi w:val="0"/>
              <w:spacing w:lineRule="atLeast" w:line="142" w:before="0" w:after="283"/>
              <w:jc w:val="right"/>
              <w:rPr/>
            </w:pPr>
            <w:r>
              <w:rPr/>
              <w:t>742,500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42" w:before="0" w:after="283"/>
              <w:jc w:val="right"/>
              <w:rPr/>
            </w:pPr>
            <w:r>
              <w:rPr/>
              <w:t>​</w:t>
            </w:r>
          </w:p>
        </w:tc>
        <w:tc>
          <w:tcPr>
            <w:tcW w:w="1066" w:type="dxa"/>
            <w:tcBorders/>
            <w:tcMar>
              <w:bottom w:w="0" w:type="dxa"/>
            </w:tcMar>
            <w:vAlign w:val="center"/>
          </w:tcPr>
          <w:p>
            <w:pPr>
              <w:pStyle w:val="TableContents"/>
              <w:bidi w:val="0"/>
              <w:spacing w:lineRule="atLeast" w:line="142" w:before="0" w:after="283"/>
              <w:jc w:val="right"/>
              <w:rPr/>
            </w:pPr>
            <w:r>
              <w:rPr/>
              <w:t>1,485,000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42" w:before="0" w:after="283"/>
              <w:jc w:val="right"/>
              <w:rPr/>
            </w:pPr>
            <w:r>
              <w:rPr/>
              <w:t>​</w:t>
            </w:r>
          </w:p>
        </w:tc>
        <w:tc>
          <w:tcPr>
            <w:tcW w:w="1066" w:type="dxa"/>
            <w:tcBorders/>
            <w:tcMar>
              <w:bottom w:w="0" w:type="dxa"/>
            </w:tcMar>
            <w:vAlign w:val="center"/>
          </w:tcPr>
          <w:p>
            <w:pPr>
              <w:pStyle w:val="TableContents"/>
              <w:bidi w:val="0"/>
              <w:spacing w:lineRule="atLeast" w:line="142" w:before="0" w:after="283"/>
              <w:jc w:val="right"/>
              <w:rPr/>
            </w:pPr>
            <w:r>
              <w:rPr/>
              <w:t>2,970,000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42" w:before="0" w:after="283"/>
              <w:jc w:val="right"/>
              <w:rPr/>
            </w:pPr>
            <w:r>
              <w:rPr/>
              <w:t>​</w:t>
            </w:r>
          </w:p>
        </w:tc>
        <w:tc>
          <w:tcPr>
            <w:tcW w:w="766" w:type="dxa"/>
            <w:tcBorders/>
            <w:tcMar>
              <w:bottom w:w="0" w:type="dxa"/>
            </w:tcMar>
            <w:vAlign w:val="center"/>
          </w:tcPr>
          <w:p>
            <w:pPr>
              <w:pStyle w:val="TableContents"/>
              <w:bidi w:val="0"/>
              <w:spacing w:lineRule="atLeast" w:line="14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42" w:before="0" w:after="283"/>
              <w:jc w:val="right"/>
              <w:rPr/>
            </w:pPr>
            <w:r>
              <w:rPr/>
              <w:t>​</w:t>
            </w:r>
          </w:p>
        </w:tc>
        <w:tc>
          <w:tcPr>
            <w:tcW w:w="766" w:type="dxa"/>
            <w:tcBorders/>
            <w:tcMar>
              <w:bottom w:w="0" w:type="dxa"/>
            </w:tcMar>
            <w:vAlign w:val="center"/>
          </w:tcPr>
          <w:p>
            <w:pPr>
              <w:pStyle w:val="TableContents"/>
              <w:bidi w:val="0"/>
              <w:spacing w:lineRule="atLeast" w:line="14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42" w:before="0" w:after="283"/>
              <w:jc w:val="right"/>
              <w:rPr/>
            </w:pPr>
            <w:r>
              <w:rPr/>
              <w:t>​</w:t>
            </w:r>
          </w:p>
        </w:tc>
        <w:tc>
          <w:tcPr>
            <w:tcW w:w="766" w:type="dxa"/>
            <w:tcBorders/>
            <w:tcMar>
              <w:bottom w:w="0" w:type="dxa"/>
            </w:tcMar>
            <w:vAlign w:val="center"/>
          </w:tcPr>
          <w:p>
            <w:pPr>
              <w:pStyle w:val="TableContents"/>
              <w:bidi w:val="0"/>
              <w:spacing w:lineRule="atLeast" w:line="14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42" w:before="0" w:after="283"/>
              <w:jc w:val="right"/>
              <w:rPr/>
            </w:pPr>
            <w:r>
              <w:rPr/>
              <w:t>​</w:t>
            </w:r>
          </w:p>
        </w:tc>
        <w:tc>
          <w:tcPr>
            <w:tcW w:w="766" w:type="dxa"/>
            <w:tcBorders/>
            <w:tcMar>
              <w:bottom w:w="0" w:type="dxa"/>
            </w:tcMar>
            <w:vAlign w:val="center"/>
          </w:tcPr>
          <w:p>
            <w:pPr>
              <w:pStyle w:val="TableContents"/>
              <w:bidi w:val="0"/>
              <w:spacing w:lineRule="atLeast" w:line="14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lineRule="atLeast" w:line="142" w:before="0" w:after="283"/>
              <w:jc w:val="right"/>
              <w:rPr/>
            </w:pPr>
            <w:r>
              <w:rPr/>
              <w:t>​</w:t>
            </w:r>
          </w:p>
        </w:tc>
        <w:tc>
          <w:tcPr>
            <w:tcW w:w="782" w:type="dxa"/>
            <w:tcBorders/>
            <w:tcMar>
              <w:bottom w:w="0" w:type="dxa"/>
            </w:tcMar>
            <w:vAlign w:val="center"/>
          </w:tcPr>
          <w:p>
            <w:pPr>
              <w:pStyle w:val="TableContents"/>
              <w:bidi w:val="0"/>
              <w:spacing w:lineRule="atLeast" w:line="142" w:before="0" w:after="283"/>
              <w:jc w:val="right"/>
              <w:rPr/>
            </w:pPr>
            <w:r>
              <w:rPr/>
              <w:t>—</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lineRule="atLeast" w:line="142" w:before="0" w:after="283"/>
              <w:jc w:val="right"/>
              <w:rPr/>
            </w:pPr>
            <w:r>
              <w:rPr/>
              <w:t>​</w:t>
            </w:r>
          </w:p>
          <w:p>
            <w:pPr>
              <w:pStyle w:val="TableContents"/>
              <w:bidi w:val="0"/>
              <w:spacing w:lineRule="atLeast" w:line="142"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lineRule="atLeast" w:line="142" w:before="0" w:after="283"/>
              <w:jc w:val="right"/>
              <w:rPr/>
            </w:pPr>
            <w:r>
              <w:rPr/>
              <w:t>​</w:t>
            </w:r>
          </w:p>
          <w:p>
            <w:pPr>
              <w:pStyle w:val="TableContents"/>
              <w:bidi w:val="0"/>
              <w:spacing w:lineRule="atLeast" w:line="142"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lineRule="atLeast" w:line="142" w:before="0" w:after="283"/>
              <w:jc w:val="right"/>
              <w:rPr/>
            </w:pPr>
            <w:r>
              <w:rPr/>
              <w:t>​</w:t>
            </w:r>
          </w:p>
          <w:p>
            <w:pPr>
              <w:pStyle w:val="TableContents"/>
              <w:bidi w:val="0"/>
              <w:spacing w:lineRule="atLeast" w:line="142"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894"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3/1/25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2" w:type="dxa"/>
            <w:tcBorders/>
            <w:tcMar>
              <w:bottom w:w="0" w:type="dxa"/>
            </w:tcMar>
            <w:vAlign w:val="center"/>
          </w:tcPr>
          <w:p>
            <w:pPr>
              <w:pStyle w:val="TableContents"/>
              <w:bidi w:val="0"/>
              <w:spacing w:before="0" w:after="283"/>
              <w:jc w:val="right"/>
              <w:rPr/>
            </w:pPr>
            <w:r>
              <w:rPr/>
              <w:t>2/28/25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12,888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25,776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51,552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782" w:type="dxa"/>
            <w:tcBorders/>
            <w:tcMar>
              <w:bottom w:w="0" w:type="dxa"/>
            </w:tcMar>
            <w:vAlign w:val="center"/>
          </w:tcPr>
          <w:p>
            <w:pPr>
              <w:pStyle w:val="TableContents"/>
              <w:bidi w:val="0"/>
              <w:spacing w:before="0" w:after="283"/>
              <w:jc w:val="right"/>
              <w:rPr/>
            </w:pPr>
            <w:r>
              <w:rPr/>
              <w:t>—</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3,500,123</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894"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3/1/25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2" w:type="dxa"/>
            <w:tcBorders/>
            <w:tcMar>
              <w:bottom w:w="0" w:type="dxa"/>
            </w:tcMar>
            <w:vAlign w:val="center"/>
          </w:tcPr>
          <w:p>
            <w:pPr>
              <w:pStyle w:val="TableContents"/>
              <w:bidi w:val="0"/>
              <w:spacing w:before="0" w:after="283"/>
              <w:jc w:val="right"/>
              <w:rPr/>
            </w:pPr>
            <w:r>
              <w:rPr/>
              <w:t>2/28/25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12,888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782" w:type="dxa"/>
            <w:tcBorders/>
            <w:tcMar>
              <w:bottom w:w="0" w:type="dxa"/>
            </w:tcMar>
            <w:vAlign w:val="center"/>
          </w:tcPr>
          <w:p>
            <w:pPr>
              <w:pStyle w:val="TableContents"/>
              <w:bidi w:val="0"/>
              <w:spacing w:before="0" w:after="283"/>
              <w:jc w:val="right"/>
              <w:rPr/>
            </w:pPr>
            <w:r>
              <w:rPr/>
              <w:t>—</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1,750,062</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894"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3/1/25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2" w:type="dxa"/>
            <w:tcBorders/>
            <w:tcMar>
              <w:bottom w:w="0" w:type="dxa"/>
            </w:tcMar>
            <w:vAlign w:val="center"/>
          </w:tcPr>
          <w:p>
            <w:pPr>
              <w:pStyle w:val="TableContents"/>
              <w:bidi w:val="0"/>
              <w:spacing w:before="0" w:after="283"/>
              <w:jc w:val="right"/>
              <w:rPr/>
            </w:pPr>
            <w:r>
              <w:rPr/>
              <w:t>2/28/25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782" w:type="dxa"/>
            <w:tcBorders/>
            <w:tcMar>
              <w:bottom w:w="0" w:type="dxa"/>
            </w:tcMar>
            <w:vAlign w:val="center"/>
          </w:tcPr>
          <w:p>
            <w:pPr>
              <w:pStyle w:val="TableContents"/>
              <w:bidi w:val="0"/>
              <w:spacing w:before="0" w:after="283"/>
              <w:jc w:val="right"/>
              <w:rPr/>
            </w:pPr>
            <w:r>
              <w:rPr/>
              <w:t>24,251</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135.79</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136.15</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1,750,006</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restart"/>
            <w:tcBorders/>
            <w:shd w:fill="B2B2B2" w:val="clear"/>
            <w:tcMar>
              <w:bottom w:w="0" w:type="dxa"/>
            </w:tcMar>
            <w:vAlign w:val="center"/>
          </w:tcPr>
          <w:p>
            <w:pPr>
              <w:pStyle w:val="TableContents"/>
              <w:bidi w:val="0"/>
              <w:spacing w:before="0" w:after="283"/>
              <w:jc w:val="left"/>
              <w:rPr/>
            </w:pPr>
            <w:r>
              <w:rPr/>
              <w:t>​</w:t>
            </w:r>
          </w:p>
        </w:tc>
        <w:tc>
          <w:tcPr>
            <w:tcW w:w="894" w:type="dxa"/>
            <w:vMerge w:val="restart"/>
            <w:tcBorders/>
            <w:shd w:fill="B2B2B2" w:val="clear"/>
            <w:tcMar>
              <w:bottom w:w="0" w:type="dxa"/>
            </w:tcMar>
            <w:vAlign w:val="center"/>
          </w:tcPr>
          <w:p>
            <w:pPr>
              <w:pStyle w:val="TableContents"/>
              <w:bidi w:val="0"/>
              <w:spacing w:lineRule="atLeast" w:line="142" w:before="0" w:after="0"/>
              <w:jc w:val="left"/>
              <w:rPr>
                <w:spacing w:val="-1"/>
              </w:rPr>
            </w:pPr>
            <w:r>
              <w:rPr>
                <w:spacing w:val="-1"/>
              </w:rPr>
              <w:t xml:space="preserve">York Ragen </w:t>
            </w:r>
          </w:p>
        </w:tc>
        <w:tc>
          <w:tcPr>
            <w:tcW w:w="109" w:type="dxa"/>
            <w:vMerge w:val="restart"/>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lineRule="atLeast" w:line="142" w:before="0" w:after="283"/>
              <w:jc w:val="right"/>
              <w:rPr/>
            </w:pPr>
            <w:r>
              <w:rPr/>
              <w:t>​</w:t>
            </w:r>
          </w:p>
        </w:tc>
        <w:tc>
          <w:tcPr>
            <w:tcW w:w="346" w:type="dxa"/>
            <w:tcBorders/>
            <w:shd w:fill="B2B2B2" w:val="clear"/>
            <w:tcMar>
              <w:bottom w:w="0" w:type="dxa"/>
            </w:tcMar>
            <w:vAlign w:val="center"/>
          </w:tcPr>
          <w:p>
            <w:pPr>
              <w:pStyle w:val="TableContents"/>
              <w:bidi w:val="0"/>
              <w:spacing w:lineRule="atLeast" w:line="142"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lineRule="atLeast" w:line="142" w:before="0" w:after="283"/>
              <w:jc w:val="right"/>
              <w:rPr/>
            </w:pPr>
            <w:r>
              <w:rPr/>
              <w:t>​</w:t>
            </w:r>
          </w:p>
        </w:tc>
        <w:tc>
          <w:tcPr>
            <w:tcW w:w="672" w:type="dxa"/>
            <w:tcBorders/>
            <w:shd w:fill="B2B2B2" w:val="clear"/>
            <w:tcMar>
              <w:bottom w:w="0" w:type="dxa"/>
            </w:tcMar>
            <w:vAlign w:val="center"/>
          </w:tcPr>
          <w:p>
            <w:pPr>
              <w:pStyle w:val="TableContents"/>
              <w:bidi w:val="0"/>
              <w:spacing w:lineRule="atLeast" w:line="142"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lineRule="atLeast" w:line="142" w:before="0" w:after="283"/>
              <w:jc w:val="right"/>
              <w:rPr/>
            </w:pPr>
            <w:r>
              <w:rPr/>
              <w:t>​</w:t>
            </w:r>
          </w:p>
        </w:tc>
        <w:tc>
          <w:tcPr>
            <w:tcW w:w="886" w:type="dxa"/>
            <w:tcBorders/>
            <w:shd w:fill="B2B2B2" w:val="clear"/>
            <w:tcMar>
              <w:bottom w:w="0" w:type="dxa"/>
            </w:tcMar>
            <w:vAlign w:val="center"/>
          </w:tcPr>
          <w:p>
            <w:pPr>
              <w:pStyle w:val="TableContents"/>
              <w:bidi w:val="0"/>
              <w:spacing w:lineRule="atLeast" w:line="142" w:before="0" w:after="283"/>
              <w:jc w:val="right"/>
              <w:rPr/>
            </w:pPr>
            <w:r>
              <w:rPr/>
              <w:t>245,650</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lineRule="atLeast" w:line="142" w:before="0" w:after="283"/>
              <w:jc w:val="right"/>
              <w:rPr/>
            </w:pPr>
            <w:r>
              <w:rPr/>
              <w:t>​</w:t>
            </w:r>
          </w:p>
        </w:tc>
        <w:tc>
          <w:tcPr>
            <w:tcW w:w="1066" w:type="dxa"/>
            <w:tcBorders/>
            <w:shd w:fill="B2B2B2" w:val="clear"/>
            <w:tcMar>
              <w:bottom w:w="0" w:type="dxa"/>
            </w:tcMar>
            <w:vAlign w:val="center"/>
          </w:tcPr>
          <w:p>
            <w:pPr>
              <w:pStyle w:val="TableContents"/>
              <w:bidi w:val="0"/>
              <w:spacing w:lineRule="atLeast" w:line="142" w:before="0" w:after="283"/>
              <w:jc w:val="right"/>
              <w:rPr/>
            </w:pPr>
            <w:r>
              <w:rPr/>
              <w:t>491,300</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lineRule="atLeast" w:line="142" w:before="0" w:after="283"/>
              <w:jc w:val="right"/>
              <w:rPr/>
            </w:pPr>
            <w:r>
              <w:rPr/>
              <w:t>​</w:t>
            </w:r>
          </w:p>
        </w:tc>
        <w:tc>
          <w:tcPr>
            <w:tcW w:w="1066" w:type="dxa"/>
            <w:tcBorders/>
            <w:shd w:fill="B2B2B2" w:val="clear"/>
            <w:tcMar>
              <w:bottom w:w="0" w:type="dxa"/>
            </w:tcMar>
            <w:vAlign w:val="center"/>
          </w:tcPr>
          <w:p>
            <w:pPr>
              <w:pStyle w:val="TableContents"/>
              <w:bidi w:val="0"/>
              <w:spacing w:lineRule="atLeast" w:line="142" w:before="0" w:after="283"/>
              <w:jc w:val="right"/>
              <w:rPr/>
            </w:pPr>
            <w:r>
              <w:rPr/>
              <w:t>982,600</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lineRule="atLeast" w:line="142" w:before="0" w:after="283"/>
              <w:jc w:val="right"/>
              <w:rPr/>
            </w:pPr>
            <w:r>
              <w:rPr/>
              <w:t>​</w:t>
            </w:r>
          </w:p>
        </w:tc>
        <w:tc>
          <w:tcPr>
            <w:tcW w:w="766" w:type="dxa"/>
            <w:tcBorders/>
            <w:shd w:fill="B2B2B2" w:val="clear"/>
            <w:tcMar>
              <w:bottom w:w="0" w:type="dxa"/>
            </w:tcMar>
            <w:vAlign w:val="center"/>
          </w:tcPr>
          <w:p>
            <w:pPr>
              <w:pStyle w:val="TableContents"/>
              <w:bidi w:val="0"/>
              <w:spacing w:lineRule="atLeast" w:line="142"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lineRule="atLeast" w:line="142" w:before="0" w:after="283"/>
              <w:jc w:val="right"/>
              <w:rPr/>
            </w:pPr>
            <w:r>
              <w:rPr/>
              <w:t>​</w:t>
            </w:r>
          </w:p>
        </w:tc>
        <w:tc>
          <w:tcPr>
            <w:tcW w:w="766" w:type="dxa"/>
            <w:tcBorders/>
            <w:shd w:fill="B2B2B2" w:val="clear"/>
            <w:tcMar>
              <w:bottom w:w="0" w:type="dxa"/>
            </w:tcMar>
            <w:vAlign w:val="center"/>
          </w:tcPr>
          <w:p>
            <w:pPr>
              <w:pStyle w:val="TableContents"/>
              <w:bidi w:val="0"/>
              <w:spacing w:lineRule="atLeast" w:line="142"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lineRule="atLeast" w:line="142" w:before="0" w:after="283"/>
              <w:jc w:val="right"/>
              <w:rPr/>
            </w:pPr>
            <w:r>
              <w:rPr/>
              <w:t>​</w:t>
            </w:r>
          </w:p>
        </w:tc>
        <w:tc>
          <w:tcPr>
            <w:tcW w:w="766" w:type="dxa"/>
            <w:tcBorders/>
            <w:shd w:fill="B2B2B2" w:val="clear"/>
            <w:tcMar>
              <w:bottom w:w="0" w:type="dxa"/>
            </w:tcMar>
            <w:vAlign w:val="center"/>
          </w:tcPr>
          <w:p>
            <w:pPr>
              <w:pStyle w:val="TableContents"/>
              <w:bidi w:val="0"/>
              <w:spacing w:lineRule="atLeast" w:line="142"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lineRule="atLeast" w:line="142" w:before="0" w:after="283"/>
              <w:jc w:val="right"/>
              <w:rPr/>
            </w:pPr>
            <w:r>
              <w:rPr/>
              <w:t>​</w:t>
            </w:r>
          </w:p>
        </w:tc>
        <w:tc>
          <w:tcPr>
            <w:tcW w:w="766" w:type="dxa"/>
            <w:tcBorders/>
            <w:shd w:fill="B2B2B2" w:val="clear"/>
            <w:tcMar>
              <w:bottom w:w="0" w:type="dxa"/>
            </w:tcMar>
            <w:vAlign w:val="center"/>
          </w:tcPr>
          <w:p>
            <w:pPr>
              <w:pStyle w:val="TableContents"/>
              <w:bidi w:val="0"/>
              <w:spacing w:lineRule="atLeast" w:line="142"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11" w:type="dxa"/>
            <w:tcBorders/>
            <w:shd w:fill="B2B2B2" w:val="clear"/>
            <w:tcMar>
              <w:bottom w:w="0" w:type="dxa"/>
            </w:tcMar>
            <w:vAlign w:val="center"/>
          </w:tcPr>
          <w:p>
            <w:pPr>
              <w:pStyle w:val="TableContents"/>
              <w:bidi w:val="0"/>
              <w:spacing w:before="0" w:after="283"/>
              <w:jc w:val="left"/>
              <w:rPr/>
            </w:pPr>
            <w:r>
              <w:rPr/>
              <w:t>​</w:t>
            </w:r>
          </w:p>
        </w:tc>
        <w:tc>
          <w:tcPr>
            <w:tcW w:w="111" w:type="dxa"/>
            <w:tcBorders/>
            <w:shd w:fill="B2B2B2" w:val="clear"/>
            <w:tcMar>
              <w:bottom w:w="0" w:type="dxa"/>
            </w:tcMar>
            <w:vAlign w:val="center"/>
          </w:tcPr>
          <w:p>
            <w:pPr>
              <w:pStyle w:val="TableContents"/>
              <w:bidi w:val="0"/>
              <w:spacing w:lineRule="atLeast" w:line="142" w:before="0" w:after="283"/>
              <w:jc w:val="right"/>
              <w:rPr/>
            </w:pPr>
            <w:r>
              <w:rPr/>
              <w:t>​</w:t>
            </w:r>
          </w:p>
        </w:tc>
        <w:tc>
          <w:tcPr>
            <w:tcW w:w="782" w:type="dxa"/>
            <w:tcBorders/>
            <w:shd w:fill="B2B2B2" w:val="clear"/>
            <w:tcMar>
              <w:bottom w:w="0" w:type="dxa"/>
            </w:tcMar>
            <w:vAlign w:val="center"/>
          </w:tcPr>
          <w:p>
            <w:pPr>
              <w:pStyle w:val="TableContents"/>
              <w:bidi w:val="0"/>
              <w:spacing w:lineRule="atLeast" w:line="142" w:before="0" w:after="283"/>
              <w:jc w:val="right"/>
              <w:rPr/>
            </w:pPr>
            <w:r>
              <w:rPr/>
              <w:t>—</w:t>
            </w:r>
          </w:p>
        </w:tc>
        <w:tc>
          <w:tcPr>
            <w:tcW w:w="113"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lineRule="atLeast" w:line="142" w:before="0" w:after="283"/>
              <w:jc w:val="right"/>
              <w:rPr/>
            </w:pPr>
            <w:r>
              <w:rPr/>
              <w:t>​</w:t>
            </w:r>
          </w:p>
          <w:p>
            <w:pPr>
              <w:pStyle w:val="TableContents"/>
              <w:bidi w:val="0"/>
              <w:spacing w:lineRule="atLeast" w:line="142"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lineRule="atLeast" w:line="142" w:before="0" w:after="283"/>
              <w:jc w:val="right"/>
              <w:rPr/>
            </w:pPr>
            <w:r>
              <w:rPr/>
              <w:t>​</w:t>
            </w:r>
          </w:p>
          <w:p>
            <w:pPr>
              <w:pStyle w:val="TableContents"/>
              <w:bidi w:val="0"/>
              <w:spacing w:lineRule="atLeast" w:line="142"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lineRule="atLeast" w:line="142" w:before="0" w:after="283"/>
              <w:jc w:val="right"/>
              <w:rPr/>
            </w:pPr>
            <w:r>
              <w:rPr/>
              <w:t>​</w:t>
            </w:r>
          </w:p>
          <w:p>
            <w:pPr>
              <w:pStyle w:val="TableContents"/>
              <w:bidi w:val="0"/>
              <w:spacing w:lineRule="atLeast" w:line="142"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shd w:fill="B2B2B2" w:val="clear"/>
            <w:tcMar>
              <w:bottom w:w="0" w:type="dxa"/>
            </w:tcMar>
            <w:vAlign w:val="center"/>
          </w:tcPr>
          <w:p>
            <w:pPr>
              <w:pStyle w:val="Normal"/>
              <w:bidi w:val="0"/>
              <w:jc w:val="left"/>
              <w:rPr/>
            </w:pPr>
            <w:r>
              <w:rPr/>
            </w:r>
          </w:p>
        </w:tc>
        <w:tc>
          <w:tcPr>
            <w:tcW w:w="894" w:type="dxa"/>
            <w:vMerge w:val="continue"/>
            <w:tcBorders/>
            <w:shd w:fill="B2B2B2" w:val="clear"/>
            <w:tcMar>
              <w:bottom w:w="0" w:type="dxa"/>
            </w:tcMar>
            <w:vAlign w:val="center"/>
          </w:tcPr>
          <w:p>
            <w:pPr>
              <w:pStyle w:val="Normal"/>
              <w:bidi w:val="0"/>
              <w:jc w:val="left"/>
              <w:rPr/>
            </w:pPr>
            <w:r>
              <w:rPr/>
            </w:r>
          </w:p>
        </w:tc>
        <w:tc>
          <w:tcPr>
            <w:tcW w:w="109" w:type="dxa"/>
            <w:vMerge w:val="continue"/>
            <w:tcBorders/>
            <w:shd w:fill="B2B2B2" w:val="clear"/>
            <w:tcMar>
              <w:bottom w:w="0" w:type="dxa"/>
            </w:tcMar>
            <w:vAlign w:val="center"/>
          </w:tcPr>
          <w:p>
            <w:pPr>
              <w:pStyle w:val="Normal"/>
              <w:bidi w:val="0"/>
              <w:jc w:val="left"/>
              <w:rPr/>
            </w:pPr>
            <w:r>
              <w:rPr/>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346" w:type="dxa"/>
            <w:tcBorders/>
            <w:shd w:fill="B2B2B2" w:val="clear"/>
            <w:tcMar>
              <w:bottom w:w="0" w:type="dxa"/>
            </w:tcMar>
            <w:vAlign w:val="center"/>
          </w:tcPr>
          <w:p>
            <w:pPr>
              <w:pStyle w:val="TableContents"/>
              <w:bidi w:val="0"/>
              <w:spacing w:before="0" w:after="283"/>
              <w:jc w:val="right"/>
              <w:rPr/>
            </w:pPr>
            <w:r>
              <w:rPr/>
              <w:t>3/1/25</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672" w:type="dxa"/>
            <w:tcBorders/>
            <w:shd w:fill="B2B2B2" w:val="clear"/>
            <w:tcMar>
              <w:bottom w:w="0" w:type="dxa"/>
            </w:tcMar>
            <w:vAlign w:val="center"/>
          </w:tcPr>
          <w:p>
            <w:pPr>
              <w:pStyle w:val="TableContents"/>
              <w:bidi w:val="0"/>
              <w:spacing w:before="0" w:after="283"/>
              <w:jc w:val="right"/>
              <w:rPr/>
            </w:pPr>
            <w:r>
              <w:rPr/>
              <w:t>2/28/25</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88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106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106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66" w:type="dxa"/>
            <w:tcBorders/>
            <w:shd w:fill="B2B2B2" w:val="clear"/>
            <w:tcMar>
              <w:bottom w:w="0" w:type="dxa"/>
            </w:tcMar>
            <w:vAlign w:val="center"/>
          </w:tcPr>
          <w:p>
            <w:pPr>
              <w:pStyle w:val="TableContents"/>
              <w:bidi w:val="0"/>
              <w:spacing w:before="0" w:after="283"/>
              <w:jc w:val="right"/>
              <w:rPr/>
            </w:pPr>
            <w:r>
              <w:rPr/>
              <w:t>2,762</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66" w:type="dxa"/>
            <w:tcBorders/>
            <w:shd w:fill="B2B2B2" w:val="clear"/>
            <w:tcMar>
              <w:bottom w:w="0" w:type="dxa"/>
            </w:tcMar>
            <w:vAlign w:val="center"/>
          </w:tcPr>
          <w:p>
            <w:pPr>
              <w:pStyle w:val="TableContents"/>
              <w:bidi w:val="0"/>
              <w:spacing w:before="0" w:after="283"/>
              <w:jc w:val="right"/>
              <w:rPr/>
            </w:pPr>
            <w:r>
              <w:rPr/>
              <w:t>5,524</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66" w:type="dxa"/>
            <w:tcBorders/>
            <w:shd w:fill="B2B2B2" w:val="clear"/>
            <w:tcMar>
              <w:bottom w:w="0" w:type="dxa"/>
            </w:tcMar>
            <w:vAlign w:val="center"/>
          </w:tcPr>
          <w:p>
            <w:pPr>
              <w:pStyle w:val="TableContents"/>
              <w:bidi w:val="0"/>
              <w:spacing w:before="0" w:after="283"/>
              <w:jc w:val="right"/>
              <w:rPr/>
            </w:pPr>
            <w:r>
              <w:rPr/>
              <w:t>11,048</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6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11" w:type="dxa"/>
            <w:tcBorders/>
            <w:shd w:fill="B2B2B2" w:val="clear"/>
            <w:tcMar>
              <w:bottom w:w="0" w:type="dxa"/>
            </w:tcMar>
            <w:vAlign w:val="center"/>
          </w:tcPr>
          <w:p>
            <w:pPr>
              <w:pStyle w:val="TableContents"/>
              <w:bidi w:val="0"/>
              <w:spacing w:before="0" w:after="283"/>
              <w:jc w:val="left"/>
              <w:rPr/>
            </w:pPr>
            <w:r>
              <w:rPr/>
              <w:t>​</w:t>
            </w:r>
          </w:p>
        </w:tc>
        <w:tc>
          <w:tcPr>
            <w:tcW w:w="111" w:type="dxa"/>
            <w:tcBorders/>
            <w:shd w:fill="B2B2B2" w:val="clear"/>
            <w:tcMar>
              <w:bottom w:w="0" w:type="dxa"/>
            </w:tcMar>
            <w:vAlign w:val="center"/>
          </w:tcPr>
          <w:p>
            <w:pPr>
              <w:pStyle w:val="TableContents"/>
              <w:bidi w:val="0"/>
              <w:spacing w:before="0" w:after="283"/>
              <w:jc w:val="right"/>
              <w:rPr/>
            </w:pPr>
            <w:r>
              <w:rPr/>
              <w:t>​</w:t>
            </w:r>
          </w:p>
        </w:tc>
        <w:tc>
          <w:tcPr>
            <w:tcW w:w="782" w:type="dxa"/>
            <w:tcBorders/>
            <w:shd w:fill="B2B2B2" w:val="clear"/>
            <w:tcMar>
              <w:bottom w:w="0" w:type="dxa"/>
            </w:tcMar>
            <w:vAlign w:val="center"/>
          </w:tcPr>
          <w:p>
            <w:pPr>
              <w:pStyle w:val="TableContents"/>
              <w:bidi w:val="0"/>
              <w:spacing w:before="0" w:after="283"/>
              <w:jc w:val="right"/>
              <w:rPr/>
            </w:pPr>
            <w:r>
              <w:rPr/>
              <w:t>—</w:t>
            </w:r>
          </w:p>
        </w:tc>
        <w:tc>
          <w:tcPr>
            <w:tcW w:w="113"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750,104</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shd w:fill="B2B2B2" w:val="clear"/>
            <w:tcMar>
              <w:bottom w:w="0" w:type="dxa"/>
            </w:tcMar>
            <w:vAlign w:val="center"/>
          </w:tcPr>
          <w:p>
            <w:pPr>
              <w:pStyle w:val="Normal"/>
              <w:bidi w:val="0"/>
              <w:jc w:val="left"/>
              <w:rPr/>
            </w:pPr>
            <w:r>
              <w:rPr/>
            </w:r>
          </w:p>
        </w:tc>
        <w:tc>
          <w:tcPr>
            <w:tcW w:w="894" w:type="dxa"/>
            <w:vMerge w:val="continue"/>
            <w:tcBorders/>
            <w:shd w:fill="B2B2B2" w:val="clear"/>
            <w:tcMar>
              <w:bottom w:w="0" w:type="dxa"/>
            </w:tcMar>
            <w:vAlign w:val="center"/>
          </w:tcPr>
          <w:p>
            <w:pPr>
              <w:pStyle w:val="Normal"/>
              <w:bidi w:val="0"/>
              <w:jc w:val="left"/>
              <w:rPr/>
            </w:pPr>
            <w:r>
              <w:rPr/>
            </w:r>
          </w:p>
        </w:tc>
        <w:tc>
          <w:tcPr>
            <w:tcW w:w="109" w:type="dxa"/>
            <w:vMerge w:val="continue"/>
            <w:tcBorders/>
            <w:shd w:fill="B2B2B2" w:val="clear"/>
            <w:tcMar>
              <w:bottom w:w="0" w:type="dxa"/>
            </w:tcMar>
            <w:vAlign w:val="center"/>
          </w:tcPr>
          <w:p>
            <w:pPr>
              <w:pStyle w:val="Normal"/>
              <w:bidi w:val="0"/>
              <w:jc w:val="left"/>
              <w:rPr/>
            </w:pPr>
            <w:r>
              <w:rPr/>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346" w:type="dxa"/>
            <w:tcBorders/>
            <w:shd w:fill="B2B2B2" w:val="clear"/>
            <w:tcMar>
              <w:bottom w:w="0" w:type="dxa"/>
            </w:tcMar>
            <w:vAlign w:val="center"/>
          </w:tcPr>
          <w:p>
            <w:pPr>
              <w:pStyle w:val="TableContents"/>
              <w:bidi w:val="0"/>
              <w:spacing w:before="0" w:after="283"/>
              <w:jc w:val="right"/>
              <w:rPr/>
            </w:pPr>
            <w:r>
              <w:rPr/>
              <w:t>3/1/25</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672" w:type="dxa"/>
            <w:tcBorders/>
            <w:shd w:fill="B2B2B2" w:val="clear"/>
            <w:tcMar>
              <w:bottom w:w="0" w:type="dxa"/>
            </w:tcMar>
            <w:vAlign w:val="center"/>
          </w:tcPr>
          <w:p>
            <w:pPr>
              <w:pStyle w:val="TableContents"/>
              <w:bidi w:val="0"/>
              <w:spacing w:before="0" w:after="283"/>
              <w:jc w:val="right"/>
              <w:rPr/>
            </w:pPr>
            <w:r>
              <w:rPr/>
              <w:t>2/28/25</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88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106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106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6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6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6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66" w:type="dxa"/>
            <w:tcBorders/>
            <w:shd w:fill="B2B2B2" w:val="clear"/>
            <w:tcMar>
              <w:bottom w:w="0" w:type="dxa"/>
            </w:tcMar>
            <w:vAlign w:val="center"/>
          </w:tcPr>
          <w:p>
            <w:pPr>
              <w:pStyle w:val="TableContents"/>
              <w:bidi w:val="0"/>
              <w:spacing w:before="0" w:after="283"/>
              <w:jc w:val="right"/>
              <w:rPr/>
            </w:pPr>
            <w:r>
              <w:rPr/>
              <w:t>2,762</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11" w:type="dxa"/>
            <w:tcBorders/>
            <w:shd w:fill="B2B2B2" w:val="clear"/>
            <w:tcMar>
              <w:bottom w:w="0" w:type="dxa"/>
            </w:tcMar>
            <w:vAlign w:val="center"/>
          </w:tcPr>
          <w:p>
            <w:pPr>
              <w:pStyle w:val="TableContents"/>
              <w:bidi w:val="0"/>
              <w:spacing w:before="0" w:after="283"/>
              <w:jc w:val="left"/>
              <w:rPr/>
            </w:pPr>
            <w:r>
              <w:rPr/>
              <w:t>​</w:t>
            </w:r>
          </w:p>
        </w:tc>
        <w:tc>
          <w:tcPr>
            <w:tcW w:w="111" w:type="dxa"/>
            <w:tcBorders/>
            <w:shd w:fill="B2B2B2" w:val="clear"/>
            <w:tcMar>
              <w:bottom w:w="0" w:type="dxa"/>
            </w:tcMar>
            <w:vAlign w:val="center"/>
          </w:tcPr>
          <w:p>
            <w:pPr>
              <w:pStyle w:val="TableContents"/>
              <w:bidi w:val="0"/>
              <w:spacing w:before="0" w:after="283"/>
              <w:jc w:val="right"/>
              <w:rPr/>
            </w:pPr>
            <w:r>
              <w:rPr/>
              <w:t>​</w:t>
            </w:r>
          </w:p>
        </w:tc>
        <w:tc>
          <w:tcPr>
            <w:tcW w:w="782" w:type="dxa"/>
            <w:tcBorders/>
            <w:shd w:fill="B2B2B2" w:val="clear"/>
            <w:tcMar>
              <w:bottom w:w="0" w:type="dxa"/>
            </w:tcMar>
            <w:vAlign w:val="center"/>
          </w:tcPr>
          <w:p>
            <w:pPr>
              <w:pStyle w:val="TableContents"/>
              <w:bidi w:val="0"/>
              <w:spacing w:before="0" w:after="283"/>
              <w:jc w:val="right"/>
              <w:rPr/>
            </w:pPr>
            <w:r>
              <w:rPr/>
              <w:t>—</w:t>
            </w:r>
          </w:p>
        </w:tc>
        <w:tc>
          <w:tcPr>
            <w:tcW w:w="113"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375,052</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shd w:fill="B2B2B2" w:val="clear"/>
            <w:tcMar>
              <w:bottom w:w="0" w:type="dxa"/>
            </w:tcMar>
            <w:vAlign w:val="center"/>
          </w:tcPr>
          <w:p>
            <w:pPr>
              <w:pStyle w:val="Normal"/>
              <w:bidi w:val="0"/>
              <w:jc w:val="left"/>
              <w:rPr/>
            </w:pPr>
            <w:r>
              <w:rPr/>
            </w:r>
          </w:p>
        </w:tc>
        <w:tc>
          <w:tcPr>
            <w:tcW w:w="894" w:type="dxa"/>
            <w:vMerge w:val="continue"/>
            <w:tcBorders/>
            <w:shd w:fill="B2B2B2" w:val="clear"/>
            <w:tcMar>
              <w:bottom w:w="0" w:type="dxa"/>
            </w:tcMar>
            <w:vAlign w:val="center"/>
          </w:tcPr>
          <w:p>
            <w:pPr>
              <w:pStyle w:val="Normal"/>
              <w:bidi w:val="0"/>
              <w:jc w:val="left"/>
              <w:rPr/>
            </w:pPr>
            <w:r>
              <w:rPr/>
            </w:r>
          </w:p>
        </w:tc>
        <w:tc>
          <w:tcPr>
            <w:tcW w:w="109" w:type="dxa"/>
            <w:vMerge w:val="continue"/>
            <w:tcBorders/>
            <w:shd w:fill="B2B2B2" w:val="clear"/>
            <w:tcMar>
              <w:bottom w:w="0" w:type="dxa"/>
            </w:tcMar>
            <w:vAlign w:val="center"/>
          </w:tcPr>
          <w:p>
            <w:pPr>
              <w:pStyle w:val="Normal"/>
              <w:bidi w:val="0"/>
              <w:jc w:val="left"/>
              <w:rPr/>
            </w:pPr>
            <w:r>
              <w:rPr/>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346" w:type="dxa"/>
            <w:tcBorders/>
            <w:shd w:fill="B2B2B2" w:val="clear"/>
            <w:tcMar>
              <w:bottom w:w="0" w:type="dxa"/>
            </w:tcMar>
            <w:vAlign w:val="center"/>
          </w:tcPr>
          <w:p>
            <w:pPr>
              <w:pStyle w:val="TableContents"/>
              <w:bidi w:val="0"/>
              <w:spacing w:before="0" w:after="283"/>
              <w:jc w:val="right"/>
              <w:rPr/>
            </w:pPr>
            <w:r>
              <w:rPr/>
              <w:t>3/1/25</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672" w:type="dxa"/>
            <w:tcBorders/>
            <w:shd w:fill="B2B2B2" w:val="clear"/>
            <w:tcMar>
              <w:bottom w:w="0" w:type="dxa"/>
            </w:tcMar>
            <w:vAlign w:val="center"/>
          </w:tcPr>
          <w:p>
            <w:pPr>
              <w:pStyle w:val="TableContents"/>
              <w:bidi w:val="0"/>
              <w:spacing w:before="0" w:after="283"/>
              <w:jc w:val="right"/>
              <w:rPr/>
            </w:pPr>
            <w:r>
              <w:rPr/>
              <w:t>2/28/25</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88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106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106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6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6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6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6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11" w:type="dxa"/>
            <w:tcBorders/>
            <w:shd w:fill="B2B2B2" w:val="clear"/>
            <w:tcMar>
              <w:bottom w:w="0" w:type="dxa"/>
            </w:tcMar>
            <w:vAlign w:val="center"/>
          </w:tcPr>
          <w:p>
            <w:pPr>
              <w:pStyle w:val="TableContents"/>
              <w:bidi w:val="0"/>
              <w:spacing w:before="0" w:after="283"/>
              <w:jc w:val="left"/>
              <w:rPr/>
            </w:pPr>
            <w:r>
              <w:rPr/>
              <w:t>​</w:t>
            </w:r>
          </w:p>
        </w:tc>
        <w:tc>
          <w:tcPr>
            <w:tcW w:w="111" w:type="dxa"/>
            <w:tcBorders/>
            <w:shd w:fill="B2B2B2" w:val="clear"/>
            <w:tcMar>
              <w:bottom w:w="0" w:type="dxa"/>
            </w:tcMar>
            <w:vAlign w:val="center"/>
          </w:tcPr>
          <w:p>
            <w:pPr>
              <w:pStyle w:val="TableContents"/>
              <w:bidi w:val="0"/>
              <w:spacing w:before="0" w:after="283"/>
              <w:jc w:val="right"/>
              <w:rPr/>
            </w:pPr>
            <w:r>
              <w:rPr/>
              <w:t>​</w:t>
            </w:r>
          </w:p>
        </w:tc>
        <w:tc>
          <w:tcPr>
            <w:tcW w:w="782" w:type="dxa"/>
            <w:tcBorders/>
            <w:shd w:fill="B2B2B2" w:val="clear"/>
            <w:tcMar>
              <w:bottom w:w="0" w:type="dxa"/>
            </w:tcMar>
            <w:vAlign w:val="center"/>
          </w:tcPr>
          <w:p>
            <w:pPr>
              <w:pStyle w:val="TableContents"/>
              <w:bidi w:val="0"/>
              <w:spacing w:before="0" w:after="283"/>
              <w:jc w:val="right"/>
              <w:rPr/>
            </w:pPr>
            <w:r>
              <w:rPr/>
              <w:t>5,197</w:t>
            </w:r>
          </w:p>
        </w:tc>
        <w:tc>
          <w:tcPr>
            <w:tcW w:w="113"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135.79</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136.15</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375,027</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restart"/>
            <w:tcBorders/>
            <w:tcMar>
              <w:bottom w:w="0" w:type="dxa"/>
            </w:tcMar>
            <w:vAlign w:val="center"/>
          </w:tcPr>
          <w:p>
            <w:pPr>
              <w:pStyle w:val="TableContents"/>
              <w:bidi w:val="0"/>
              <w:spacing w:before="0" w:after="283"/>
              <w:jc w:val="left"/>
              <w:rPr/>
            </w:pPr>
            <w:r>
              <w:rPr/>
              <w:t>​</w:t>
            </w:r>
          </w:p>
        </w:tc>
        <w:tc>
          <w:tcPr>
            <w:tcW w:w="894" w:type="dxa"/>
            <w:vMerge w:val="restart"/>
            <w:tcBorders/>
            <w:tcMar>
              <w:bottom w:w="0" w:type="dxa"/>
            </w:tcMar>
            <w:vAlign w:val="center"/>
          </w:tcPr>
          <w:p>
            <w:pPr>
              <w:pStyle w:val="TableContents"/>
              <w:bidi w:val="0"/>
              <w:spacing w:lineRule="atLeast" w:line="142" w:before="0" w:after="0"/>
              <w:jc w:val="left"/>
              <w:rPr>
                <w:spacing w:val="-1"/>
              </w:rPr>
            </w:pPr>
            <w:r>
              <w:rPr>
                <w:spacing w:val="-1"/>
              </w:rPr>
              <w:t xml:space="preserve">Norman Taffe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42" w:before="0" w:after="283"/>
              <w:jc w:val="right"/>
              <w:rPr/>
            </w:pPr>
            <w:r>
              <w:rPr/>
              <w:t>​</w:t>
            </w:r>
          </w:p>
        </w:tc>
        <w:tc>
          <w:tcPr>
            <w:tcW w:w="346" w:type="dxa"/>
            <w:tcBorders/>
            <w:tcMar>
              <w:bottom w:w="0" w:type="dxa"/>
            </w:tcMar>
            <w:vAlign w:val="center"/>
          </w:tcPr>
          <w:p>
            <w:pPr>
              <w:pStyle w:val="TableContents"/>
              <w:bidi w:val="0"/>
              <w:spacing w:lineRule="atLeast" w:line="14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42" w:before="0" w:after="283"/>
              <w:jc w:val="right"/>
              <w:rPr/>
            </w:pPr>
            <w:r>
              <w:rPr/>
              <w:t>​</w:t>
            </w:r>
          </w:p>
        </w:tc>
        <w:tc>
          <w:tcPr>
            <w:tcW w:w="672" w:type="dxa"/>
            <w:tcBorders/>
            <w:tcMar>
              <w:bottom w:w="0" w:type="dxa"/>
            </w:tcMar>
            <w:vAlign w:val="center"/>
          </w:tcPr>
          <w:p>
            <w:pPr>
              <w:pStyle w:val="TableContents"/>
              <w:bidi w:val="0"/>
              <w:spacing w:lineRule="atLeast" w:line="14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42" w:before="0" w:after="283"/>
              <w:jc w:val="right"/>
              <w:rPr/>
            </w:pPr>
            <w:r>
              <w:rPr/>
              <w:t>​</w:t>
            </w:r>
          </w:p>
        </w:tc>
        <w:tc>
          <w:tcPr>
            <w:tcW w:w="886" w:type="dxa"/>
            <w:tcBorders/>
            <w:tcMar>
              <w:bottom w:w="0" w:type="dxa"/>
            </w:tcMar>
            <w:vAlign w:val="center"/>
          </w:tcPr>
          <w:p>
            <w:pPr>
              <w:pStyle w:val="TableContents"/>
              <w:bidi w:val="0"/>
              <w:spacing w:lineRule="atLeast" w:line="142" w:before="0" w:after="283"/>
              <w:jc w:val="right"/>
              <w:rPr/>
            </w:pPr>
            <w:r>
              <w:rPr/>
              <w:t>186,400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42" w:before="0" w:after="283"/>
              <w:jc w:val="right"/>
              <w:rPr/>
            </w:pPr>
            <w:r>
              <w:rPr/>
              <w:t>​</w:t>
            </w:r>
          </w:p>
        </w:tc>
        <w:tc>
          <w:tcPr>
            <w:tcW w:w="1066" w:type="dxa"/>
            <w:tcBorders/>
            <w:tcMar>
              <w:bottom w:w="0" w:type="dxa"/>
            </w:tcMar>
            <w:vAlign w:val="center"/>
          </w:tcPr>
          <w:p>
            <w:pPr>
              <w:pStyle w:val="TableContents"/>
              <w:bidi w:val="0"/>
              <w:spacing w:lineRule="atLeast" w:line="142" w:before="0" w:after="283"/>
              <w:jc w:val="right"/>
              <w:rPr/>
            </w:pPr>
            <w:r>
              <w:rPr/>
              <w:t>372,800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42" w:before="0" w:after="283"/>
              <w:jc w:val="right"/>
              <w:rPr/>
            </w:pPr>
            <w:r>
              <w:rPr/>
              <w:t>​</w:t>
            </w:r>
          </w:p>
        </w:tc>
        <w:tc>
          <w:tcPr>
            <w:tcW w:w="1066" w:type="dxa"/>
            <w:tcBorders/>
            <w:tcMar>
              <w:bottom w:w="0" w:type="dxa"/>
            </w:tcMar>
            <w:vAlign w:val="center"/>
          </w:tcPr>
          <w:p>
            <w:pPr>
              <w:pStyle w:val="TableContents"/>
              <w:bidi w:val="0"/>
              <w:spacing w:lineRule="atLeast" w:line="142" w:before="0" w:after="283"/>
              <w:jc w:val="right"/>
              <w:rPr/>
            </w:pPr>
            <w:r>
              <w:rPr/>
              <w:t>745,600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42" w:before="0" w:after="283"/>
              <w:jc w:val="right"/>
              <w:rPr/>
            </w:pPr>
            <w:r>
              <w:rPr/>
              <w:t>​</w:t>
            </w:r>
          </w:p>
        </w:tc>
        <w:tc>
          <w:tcPr>
            <w:tcW w:w="766" w:type="dxa"/>
            <w:tcBorders/>
            <w:tcMar>
              <w:bottom w:w="0" w:type="dxa"/>
            </w:tcMar>
            <w:vAlign w:val="center"/>
          </w:tcPr>
          <w:p>
            <w:pPr>
              <w:pStyle w:val="TableContents"/>
              <w:bidi w:val="0"/>
              <w:spacing w:lineRule="atLeast" w:line="14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42" w:before="0" w:after="283"/>
              <w:jc w:val="right"/>
              <w:rPr/>
            </w:pPr>
            <w:r>
              <w:rPr/>
              <w:t>​</w:t>
            </w:r>
          </w:p>
        </w:tc>
        <w:tc>
          <w:tcPr>
            <w:tcW w:w="766" w:type="dxa"/>
            <w:tcBorders/>
            <w:tcMar>
              <w:bottom w:w="0" w:type="dxa"/>
            </w:tcMar>
            <w:vAlign w:val="center"/>
          </w:tcPr>
          <w:p>
            <w:pPr>
              <w:pStyle w:val="TableContents"/>
              <w:bidi w:val="0"/>
              <w:spacing w:lineRule="atLeast" w:line="14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42" w:before="0" w:after="283"/>
              <w:jc w:val="right"/>
              <w:rPr/>
            </w:pPr>
            <w:r>
              <w:rPr/>
              <w:t>​</w:t>
            </w:r>
          </w:p>
        </w:tc>
        <w:tc>
          <w:tcPr>
            <w:tcW w:w="766" w:type="dxa"/>
            <w:tcBorders/>
            <w:tcMar>
              <w:bottom w:w="0" w:type="dxa"/>
            </w:tcMar>
            <w:vAlign w:val="center"/>
          </w:tcPr>
          <w:p>
            <w:pPr>
              <w:pStyle w:val="TableContents"/>
              <w:bidi w:val="0"/>
              <w:spacing w:lineRule="atLeast" w:line="14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42" w:before="0" w:after="283"/>
              <w:jc w:val="right"/>
              <w:rPr/>
            </w:pPr>
            <w:r>
              <w:rPr/>
              <w:t>​</w:t>
            </w:r>
          </w:p>
        </w:tc>
        <w:tc>
          <w:tcPr>
            <w:tcW w:w="766" w:type="dxa"/>
            <w:tcBorders/>
            <w:tcMar>
              <w:bottom w:w="0" w:type="dxa"/>
            </w:tcMar>
            <w:vAlign w:val="center"/>
          </w:tcPr>
          <w:p>
            <w:pPr>
              <w:pStyle w:val="TableContents"/>
              <w:bidi w:val="0"/>
              <w:spacing w:lineRule="atLeast" w:line="14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lineRule="atLeast" w:line="142" w:before="0" w:after="283"/>
              <w:jc w:val="right"/>
              <w:rPr/>
            </w:pPr>
            <w:r>
              <w:rPr/>
              <w:t>​</w:t>
            </w:r>
          </w:p>
        </w:tc>
        <w:tc>
          <w:tcPr>
            <w:tcW w:w="782" w:type="dxa"/>
            <w:tcBorders/>
            <w:tcMar>
              <w:bottom w:w="0" w:type="dxa"/>
            </w:tcMar>
            <w:vAlign w:val="center"/>
          </w:tcPr>
          <w:p>
            <w:pPr>
              <w:pStyle w:val="TableContents"/>
              <w:bidi w:val="0"/>
              <w:spacing w:lineRule="atLeast" w:line="142" w:before="0" w:after="283"/>
              <w:jc w:val="right"/>
              <w:rPr/>
            </w:pPr>
            <w:r>
              <w:rPr/>
              <w:t>—</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lineRule="atLeast" w:line="142" w:before="0" w:after="283"/>
              <w:jc w:val="right"/>
              <w:rPr/>
            </w:pPr>
            <w:r>
              <w:rPr/>
              <w:t>​</w:t>
            </w:r>
          </w:p>
          <w:p>
            <w:pPr>
              <w:pStyle w:val="TableContents"/>
              <w:bidi w:val="0"/>
              <w:spacing w:lineRule="atLeast" w:line="142"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lineRule="atLeast" w:line="142" w:before="0" w:after="283"/>
              <w:jc w:val="right"/>
              <w:rPr/>
            </w:pPr>
            <w:r>
              <w:rPr/>
              <w:t>​</w:t>
            </w:r>
          </w:p>
          <w:p>
            <w:pPr>
              <w:pStyle w:val="TableContents"/>
              <w:bidi w:val="0"/>
              <w:spacing w:lineRule="atLeast" w:line="142"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lineRule="atLeast" w:line="142" w:before="0" w:after="283"/>
              <w:jc w:val="right"/>
              <w:rPr/>
            </w:pPr>
            <w:r>
              <w:rPr/>
              <w:t>​</w:t>
            </w:r>
          </w:p>
          <w:p>
            <w:pPr>
              <w:pStyle w:val="TableContents"/>
              <w:bidi w:val="0"/>
              <w:spacing w:lineRule="atLeast" w:line="142"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894"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3/1/25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2" w:type="dxa"/>
            <w:tcBorders/>
            <w:tcMar>
              <w:bottom w:w="0" w:type="dxa"/>
            </w:tcMar>
            <w:vAlign w:val="center"/>
          </w:tcPr>
          <w:p>
            <w:pPr>
              <w:pStyle w:val="TableContents"/>
              <w:bidi w:val="0"/>
              <w:spacing w:before="0" w:after="283"/>
              <w:jc w:val="right"/>
              <w:rPr/>
            </w:pPr>
            <w:r>
              <w:rPr/>
              <w:t>2/28/25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1,842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3,683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7,366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782" w:type="dxa"/>
            <w:tcBorders/>
            <w:tcMar>
              <w:bottom w:w="0" w:type="dxa"/>
            </w:tcMar>
            <w:vAlign w:val="center"/>
          </w:tcPr>
          <w:p>
            <w:pPr>
              <w:pStyle w:val="TableContents"/>
              <w:bidi w:val="0"/>
              <w:spacing w:before="0" w:after="283"/>
              <w:jc w:val="right"/>
              <w:rPr/>
            </w:pPr>
            <w:r>
              <w:rPr/>
              <w:t>—</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500,115</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894"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3/1/25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2" w:type="dxa"/>
            <w:tcBorders/>
            <w:tcMar>
              <w:bottom w:w="0" w:type="dxa"/>
            </w:tcMar>
            <w:vAlign w:val="center"/>
          </w:tcPr>
          <w:p>
            <w:pPr>
              <w:pStyle w:val="TableContents"/>
              <w:bidi w:val="0"/>
              <w:spacing w:before="0" w:after="283"/>
              <w:jc w:val="right"/>
              <w:rPr/>
            </w:pPr>
            <w:r>
              <w:rPr/>
              <w:t>2/28/25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1,842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782" w:type="dxa"/>
            <w:tcBorders/>
            <w:tcMar>
              <w:bottom w:w="0" w:type="dxa"/>
            </w:tcMar>
            <w:vAlign w:val="center"/>
          </w:tcPr>
          <w:p>
            <w:pPr>
              <w:pStyle w:val="TableContents"/>
              <w:bidi w:val="0"/>
              <w:spacing w:before="0" w:after="283"/>
              <w:jc w:val="right"/>
              <w:rPr/>
            </w:pPr>
            <w:r>
              <w:rPr/>
              <w:t>—</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250,125</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894"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3/1/25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2" w:type="dxa"/>
            <w:tcBorders/>
            <w:tcMar>
              <w:bottom w:w="0" w:type="dxa"/>
            </w:tcMar>
            <w:vAlign w:val="center"/>
          </w:tcPr>
          <w:p>
            <w:pPr>
              <w:pStyle w:val="TableContents"/>
              <w:bidi w:val="0"/>
              <w:spacing w:before="0" w:after="283"/>
              <w:jc w:val="right"/>
              <w:rPr/>
            </w:pPr>
            <w:r>
              <w:rPr/>
              <w:t>2/28/25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782" w:type="dxa"/>
            <w:tcBorders/>
            <w:tcMar>
              <w:bottom w:w="0" w:type="dxa"/>
            </w:tcMar>
            <w:vAlign w:val="center"/>
          </w:tcPr>
          <w:p>
            <w:pPr>
              <w:pStyle w:val="TableContents"/>
              <w:bidi w:val="0"/>
              <w:spacing w:before="0" w:after="283"/>
              <w:jc w:val="right"/>
              <w:rPr/>
            </w:pPr>
            <w:r>
              <w:rPr/>
              <w:t>3,465</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135.79</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136.15</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250,042</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restart"/>
            <w:tcBorders/>
            <w:shd w:fill="B2B2B2" w:val="clear"/>
            <w:tcMar>
              <w:bottom w:w="0" w:type="dxa"/>
            </w:tcMar>
            <w:vAlign w:val="center"/>
          </w:tcPr>
          <w:p>
            <w:pPr>
              <w:pStyle w:val="TableContents"/>
              <w:bidi w:val="0"/>
              <w:spacing w:before="0" w:after="283"/>
              <w:jc w:val="left"/>
              <w:rPr/>
            </w:pPr>
            <w:r>
              <w:rPr/>
              <w:t>​</w:t>
            </w:r>
          </w:p>
        </w:tc>
        <w:tc>
          <w:tcPr>
            <w:tcW w:w="894" w:type="dxa"/>
            <w:vMerge w:val="restart"/>
            <w:tcBorders/>
            <w:shd w:fill="B2B2B2" w:val="clear"/>
            <w:tcMar>
              <w:bottom w:w="0" w:type="dxa"/>
            </w:tcMar>
            <w:vAlign w:val="center"/>
          </w:tcPr>
          <w:p>
            <w:pPr>
              <w:pStyle w:val="TableContents"/>
              <w:bidi w:val="0"/>
              <w:spacing w:lineRule="atLeast" w:line="142" w:before="0" w:after="0"/>
              <w:jc w:val="left"/>
              <w:rPr>
                <w:spacing w:val="-1"/>
              </w:rPr>
            </w:pPr>
            <w:r>
              <w:rPr>
                <w:spacing w:val="-1"/>
              </w:rPr>
              <w:t xml:space="preserve">Erik Wilde </w:t>
            </w:r>
          </w:p>
        </w:tc>
        <w:tc>
          <w:tcPr>
            <w:tcW w:w="109" w:type="dxa"/>
            <w:vMerge w:val="restart"/>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lineRule="atLeast" w:line="142" w:before="0" w:after="283"/>
              <w:jc w:val="right"/>
              <w:rPr/>
            </w:pPr>
            <w:r>
              <w:rPr/>
              <w:t>​</w:t>
            </w:r>
          </w:p>
        </w:tc>
        <w:tc>
          <w:tcPr>
            <w:tcW w:w="346" w:type="dxa"/>
            <w:tcBorders/>
            <w:shd w:fill="B2B2B2" w:val="clear"/>
            <w:tcMar>
              <w:bottom w:w="0" w:type="dxa"/>
            </w:tcMar>
            <w:vAlign w:val="center"/>
          </w:tcPr>
          <w:p>
            <w:pPr>
              <w:pStyle w:val="TableContents"/>
              <w:bidi w:val="0"/>
              <w:spacing w:lineRule="atLeast" w:line="142"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lineRule="atLeast" w:line="142" w:before="0" w:after="283"/>
              <w:jc w:val="right"/>
              <w:rPr/>
            </w:pPr>
            <w:r>
              <w:rPr/>
              <w:t>​</w:t>
            </w:r>
          </w:p>
        </w:tc>
        <w:tc>
          <w:tcPr>
            <w:tcW w:w="672" w:type="dxa"/>
            <w:tcBorders/>
            <w:shd w:fill="B2B2B2" w:val="clear"/>
            <w:tcMar>
              <w:bottom w:w="0" w:type="dxa"/>
            </w:tcMar>
            <w:vAlign w:val="center"/>
          </w:tcPr>
          <w:p>
            <w:pPr>
              <w:pStyle w:val="TableContents"/>
              <w:bidi w:val="0"/>
              <w:spacing w:lineRule="atLeast" w:line="142"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lineRule="atLeast" w:line="142" w:before="0" w:after="283"/>
              <w:jc w:val="right"/>
              <w:rPr/>
            </w:pPr>
            <w:r>
              <w:rPr/>
              <w:t>​</w:t>
            </w:r>
          </w:p>
        </w:tc>
        <w:tc>
          <w:tcPr>
            <w:tcW w:w="886" w:type="dxa"/>
            <w:tcBorders/>
            <w:shd w:fill="B2B2B2" w:val="clear"/>
            <w:tcMar>
              <w:bottom w:w="0" w:type="dxa"/>
            </w:tcMar>
            <w:vAlign w:val="center"/>
          </w:tcPr>
          <w:p>
            <w:pPr>
              <w:pStyle w:val="TableContents"/>
              <w:bidi w:val="0"/>
              <w:spacing w:lineRule="atLeast" w:line="142" w:before="0" w:after="283"/>
              <w:jc w:val="right"/>
              <w:rPr/>
            </w:pPr>
            <w:r>
              <w:rPr/>
              <w:t>174,750</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lineRule="atLeast" w:line="142" w:before="0" w:after="283"/>
              <w:jc w:val="right"/>
              <w:rPr/>
            </w:pPr>
            <w:r>
              <w:rPr/>
              <w:t>​</w:t>
            </w:r>
          </w:p>
        </w:tc>
        <w:tc>
          <w:tcPr>
            <w:tcW w:w="1066" w:type="dxa"/>
            <w:tcBorders/>
            <w:shd w:fill="B2B2B2" w:val="clear"/>
            <w:tcMar>
              <w:bottom w:w="0" w:type="dxa"/>
            </w:tcMar>
            <w:vAlign w:val="center"/>
          </w:tcPr>
          <w:p>
            <w:pPr>
              <w:pStyle w:val="TableContents"/>
              <w:bidi w:val="0"/>
              <w:spacing w:lineRule="atLeast" w:line="142" w:before="0" w:after="283"/>
              <w:jc w:val="right"/>
              <w:rPr/>
            </w:pPr>
            <w:r>
              <w:rPr/>
              <w:t>349,500</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lineRule="atLeast" w:line="142" w:before="0" w:after="283"/>
              <w:jc w:val="right"/>
              <w:rPr/>
            </w:pPr>
            <w:r>
              <w:rPr/>
              <w:t>​</w:t>
            </w:r>
          </w:p>
        </w:tc>
        <w:tc>
          <w:tcPr>
            <w:tcW w:w="1066" w:type="dxa"/>
            <w:tcBorders/>
            <w:shd w:fill="B2B2B2" w:val="clear"/>
            <w:tcMar>
              <w:bottom w:w="0" w:type="dxa"/>
            </w:tcMar>
            <w:vAlign w:val="center"/>
          </w:tcPr>
          <w:p>
            <w:pPr>
              <w:pStyle w:val="TableContents"/>
              <w:bidi w:val="0"/>
              <w:spacing w:lineRule="atLeast" w:line="142" w:before="0" w:after="283"/>
              <w:jc w:val="right"/>
              <w:rPr/>
            </w:pPr>
            <w:r>
              <w:rPr/>
              <w:t>699,000</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lineRule="atLeast" w:line="142" w:before="0" w:after="283"/>
              <w:jc w:val="right"/>
              <w:rPr/>
            </w:pPr>
            <w:r>
              <w:rPr/>
              <w:t>​</w:t>
            </w:r>
          </w:p>
        </w:tc>
        <w:tc>
          <w:tcPr>
            <w:tcW w:w="766" w:type="dxa"/>
            <w:tcBorders/>
            <w:shd w:fill="B2B2B2" w:val="clear"/>
            <w:tcMar>
              <w:bottom w:w="0" w:type="dxa"/>
            </w:tcMar>
            <w:vAlign w:val="center"/>
          </w:tcPr>
          <w:p>
            <w:pPr>
              <w:pStyle w:val="TableContents"/>
              <w:bidi w:val="0"/>
              <w:spacing w:lineRule="atLeast" w:line="142"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lineRule="atLeast" w:line="142" w:before="0" w:after="283"/>
              <w:jc w:val="right"/>
              <w:rPr/>
            </w:pPr>
            <w:r>
              <w:rPr/>
              <w:t>​</w:t>
            </w:r>
          </w:p>
        </w:tc>
        <w:tc>
          <w:tcPr>
            <w:tcW w:w="766" w:type="dxa"/>
            <w:tcBorders/>
            <w:shd w:fill="B2B2B2" w:val="clear"/>
            <w:tcMar>
              <w:bottom w:w="0" w:type="dxa"/>
            </w:tcMar>
            <w:vAlign w:val="center"/>
          </w:tcPr>
          <w:p>
            <w:pPr>
              <w:pStyle w:val="TableContents"/>
              <w:bidi w:val="0"/>
              <w:spacing w:lineRule="atLeast" w:line="142"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lineRule="atLeast" w:line="142" w:before="0" w:after="283"/>
              <w:jc w:val="right"/>
              <w:rPr/>
            </w:pPr>
            <w:r>
              <w:rPr/>
              <w:t>​</w:t>
            </w:r>
          </w:p>
        </w:tc>
        <w:tc>
          <w:tcPr>
            <w:tcW w:w="766" w:type="dxa"/>
            <w:tcBorders/>
            <w:shd w:fill="B2B2B2" w:val="clear"/>
            <w:tcMar>
              <w:bottom w:w="0" w:type="dxa"/>
            </w:tcMar>
            <w:vAlign w:val="center"/>
          </w:tcPr>
          <w:p>
            <w:pPr>
              <w:pStyle w:val="TableContents"/>
              <w:bidi w:val="0"/>
              <w:spacing w:lineRule="atLeast" w:line="142"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lineRule="atLeast" w:line="142" w:before="0" w:after="283"/>
              <w:jc w:val="right"/>
              <w:rPr/>
            </w:pPr>
            <w:r>
              <w:rPr/>
              <w:t>​</w:t>
            </w:r>
          </w:p>
        </w:tc>
        <w:tc>
          <w:tcPr>
            <w:tcW w:w="766" w:type="dxa"/>
            <w:tcBorders/>
            <w:shd w:fill="B2B2B2" w:val="clear"/>
            <w:tcMar>
              <w:bottom w:w="0" w:type="dxa"/>
            </w:tcMar>
            <w:vAlign w:val="center"/>
          </w:tcPr>
          <w:p>
            <w:pPr>
              <w:pStyle w:val="TableContents"/>
              <w:bidi w:val="0"/>
              <w:spacing w:lineRule="atLeast" w:line="142"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11" w:type="dxa"/>
            <w:tcBorders/>
            <w:shd w:fill="B2B2B2" w:val="clear"/>
            <w:tcMar>
              <w:bottom w:w="0" w:type="dxa"/>
            </w:tcMar>
            <w:vAlign w:val="center"/>
          </w:tcPr>
          <w:p>
            <w:pPr>
              <w:pStyle w:val="TableContents"/>
              <w:bidi w:val="0"/>
              <w:spacing w:before="0" w:after="283"/>
              <w:jc w:val="left"/>
              <w:rPr/>
            </w:pPr>
            <w:r>
              <w:rPr/>
              <w:t>​</w:t>
            </w:r>
          </w:p>
        </w:tc>
        <w:tc>
          <w:tcPr>
            <w:tcW w:w="111" w:type="dxa"/>
            <w:tcBorders/>
            <w:shd w:fill="B2B2B2" w:val="clear"/>
            <w:tcMar>
              <w:bottom w:w="0" w:type="dxa"/>
            </w:tcMar>
            <w:vAlign w:val="center"/>
          </w:tcPr>
          <w:p>
            <w:pPr>
              <w:pStyle w:val="TableContents"/>
              <w:bidi w:val="0"/>
              <w:spacing w:lineRule="atLeast" w:line="142" w:before="0" w:after="283"/>
              <w:jc w:val="right"/>
              <w:rPr/>
            </w:pPr>
            <w:r>
              <w:rPr/>
              <w:t>​</w:t>
            </w:r>
          </w:p>
        </w:tc>
        <w:tc>
          <w:tcPr>
            <w:tcW w:w="782" w:type="dxa"/>
            <w:tcBorders/>
            <w:shd w:fill="B2B2B2" w:val="clear"/>
            <w:tcMar>
              <w:bottom w:w="0" w:type="dxa"/>
            </w:tcMar>
            <w:vAlign w:val="center"/>
          </w:tcPr>
          <w:p>
            <w:pPr>
              <w:pStyle w:val="TableContents"/>
              <w:bidi w:val="0"/>
              <w:spacing w:lineRule="atLeast" w:line="142" w:before="0" w:after="283"/>
              <w:jc w:val="right"/>
              <w:rPr/>
            </w:pPr>
            <w:r>
              <w:rPr/>
              <w:t>​</w:t>
            </w:r>
          </w:p>
        </w:tc>
        <w:tc>
          <w:tcPr>
            <w:tcW w:w="113"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lineRule="atLeast" w:line="142" w:before="0" w:after="283"/>
              <w:jc w:val="right"/>
              <w:rPr/>
            </w:pPr>
            <w:r>
              <w:rPr/>
              <w:t>​</w:t>
            </w:r>
          </w:p>
          <w:p>
            <w:pPr>
              <w:pStyle w:val="TableContents"/>
              <w:bidi w:val="0"/>
              <w:spacing w:lineRule="atLeast" w:line="142"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lineRule="atLeast" w:line="142" w:before="0" w:after="283"/>
              <w:jc w:val="right"/>
              <w:rPr/>
            </w:pPr>
            <w:r>
              <w:rPr/>
              <w:t>​</w:t>
            </w:r>
          </w:p>
          <w:p>
            <w:pPr>
              <w:pStyle w:val="TableContents"/>
              <w:bidi w:val="0"/>
              <w:spacing w:lineRule="atLeast" w:line="142"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lineRule="atLeast" w:line="142" w:before="0" w:after="283"/>
              <w:jc w:val="right"/>
              <w:rPr/>
            </w:pPr>
            <w:r>
              <w:rPr/>
              <w:t>​</w:t>
            </w:r>
          </w:p>
          <w:p>
            <w:pPr>
              <w:pStyle w:val="TableContents"/>
              <w:bidi w:val="0"/>
              <w:spacing w:lineRule="atLeast" w:line="142"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shd w:fill="B2B2B2" w:val="clear"/>
            <w:tcMar>
              <w:bottom w:w="0" w:type="dxa"/>
            </w:tcMar>
            <w:vAlign w:val="center"/>
          </w:tcPr>
          <w:p>
            <w:pPr>
              <w:pStyle w:val="Normal"/>
              <w:bidi w:val="0"/>
              <w:jc w:val="left"/>
              <w:rPr/>
            </w:pPr>
            <w:r>
              <w:rPr/>
            </w:r>
          </w:p>
        </w:tc>
        <w:tc>
          <w:tcPr>
            <w:tcW w:w="894" w:type="dxa"/>
            <w:vMerge w:val="continue"/>
            <w:tcBorders/>
            <w:shd w:fill="B2B2B2" w:val="clear"/>
            <w:tcMar>
              <w:bottom w:w="0" w:type="dxa"/>
            </w:tcMar>
            <w:vAlign w:val="center"/>
          </w:tcPr>
          <w:p>
            <w:pPr>
              <w:pStyle w:val="Normal"/>
              <w:bidi w:val="0"/>
              <w:jc w:val="left"/>
              <w:rPr/>
            </w:pPr>
            <w:r>
              <w:rPr/>
            </w:r>
          </w:p>
        </w:tc>
        <w:tc>
          <w:tcPr>
            <w:tcW w:w="109" w:type="dxa"/>
            <w:vMerge w:val="continue"/>
            <w:tcBorders/>
            <w:shd w:fill="B2B2B2" w:val="clear"/>
            <w:tcMar>
              <w:bottom w:w="0" w:type="dxa"/>
            </w:tcMar>
            <w:vAlign w:val="center"/>
          </w:tcPr>
          <w:p>
            <w:pPr>
              <w:pStyle w:val="Normal"/>
              <w:bidi w:val="0"/>
              <w:jc w:val="left"/>
              <w:rPr/>
            </w:pPr>
            <w:r>
              <w:rPr/>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346" w:type="dxa"/>
            <w:tcBorders/>
            <w:shd w:fill="B2B2B2" w:val="clear"/>
            <w:tcMar>
              <w:bottom w:w="0" w:type="dxa"/>
            </w:tcMar>
            <w:vAlign w:val="center"/>
          </w:tcPr>
          <w:p>
            <w:pPr>
              <w:pStyle w:val="TableContents"/>
              <w:bidi w:val="0"/>
              <w:spacing w:before="0" w:after="283"/>
              <w:jc w:val="right"/>
              <w:rPr/>
            </w:pPr>
            <w:r>
              <w:rPr/>
              <w:t>3/1/25</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672" w:type="dxa"/>
            <w:tcBorders/>
            <w:shd w:fill="B2B2B2" w:val="clear"/>
            <w:tcMar>
              <w:bottom w:w="0" w:type="dxa"/>
            </w:tcMar>
            <w:vAlign w:val="center"/>
          </w:tcPr>
          <w:p>
            <w:pPr>
              <w:pStyle w:val="TableContents"/>
              <w:bidi w:val="0"/>
              <w:spacing w:before="0" w:after="283"/>
              <w:jc w:val="right"/>
              <w:rPr/>
            </w:pPr>
            <w:r>
              <w:rPr/>
              <w:t>2/28/25</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88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106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106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66" w:type="dxa"/>
            <w:tcBorders/>
            <w:shd w:fill="B2B2B2" w:val="clear"/>
            <w:tcMar>
              <w:bottom w:w="0" w:type="dxa"/>
            </w:tcMar>
            <w:vAlign w:val="center"/>
          </w:tcPr>
          <w:p>
            <w:pPr>
              <w:pStyle w:val="TableContents"/>
              <w:bidi w:val="0"/>
              <w:spacing w:before="0" w:after="283"/>
              <w:jc w:val="right"/>
              <w:rPr/>
            </w:pPr>
            <w:r>
              <w:rPr/>
              <w:t>1,842</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66" w:type="dxa"/>
            <w:tcBorders/>
            <w:shd w:fill="B2B2B2" w:val="clear"/>
            <w:tcMar>
              <w:bottom w:w="0" w:type="dxa"/>
            </w:tcMar>
            <w:vAlign w:val="center"/>
          </w:tcPr>
          <w:p>
            <w:pPr>
              <w:pStyle w:val="TableContents"/>
              <w:bidi w:val="0"/>
              <w:spacing w:before="0" w:after="283"/>
              <w:jc w:val="right"/>
              <w:rPr/>
            </w:pPr>
            <w:r>
              <w:rPr/>
              <w:t>3,683</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66" w:type="dxa"/>
            <w:tcBorders/>
            <w:shd w:fill="B2B2B2" w:val="clear"/>
            <w:tcMar>
              <w:bottom w:w="0" w:type="dxa"/>
            </w:tcMar>
            <w:vAlign w:val="center"/>
          </w:tcPr>
          <w:p>
            <w:pPr>
              <w:pStyle w:val="TableContents"/>
              <w:bidi w:val="0"/>
              <w:spacing w:before="0" w:after="283"/>
              <w:jc w:val="right"/>
              <w:rPr/>
            </w:pPr>
            <w:r>
              <w:rPr/>
              <w:t>7,366</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6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11" w:type="dxa"/>
            <w:tcBorders/>
            <w:shd w:fill="B2B2B2" w:val="clear"/>
            <w:tcMar>
              <w:bottom w:w="0" w:type="dxa"/>
            </w:tcMar>
            <w:vAlign w:val="center"/>
          </w:tcPr>
          <w:p>
            <w:pPr>
              <w:pStyle w:val="TableContents"/>
              <w:bidi w:val="0"/>
              <w:spacing w:before="0" w:after="283"/>
              <w:jc w:val="left"/>
              <w:rPr/>
            </w:pPr>
            <w:r>
              <w:rPr/>
              <w:t>​</w:t>
            </w:r>
          </w:p>
        </w:tc>
        <w:tc>
          <w:tcPr>
            <w:tcW w:w="111" w:type="dxa"/>
            <w:tcBorders/>
            <w:shd w:fill="B2B2B2" w:val="clear"/>
            <w:tcMar>
              <w:bottom w:w="0" w:type="dxa"/>
            </w:tcMar>
            <w:vAlign w:val="center"/>
          </w:tcPr>
          <w:p>
            <w:pPr>
              <w:pStyle w:val="TableContents"/>
              <w:bidi w:val="0"/>
              <w:spacing w:before="0" w:after="283"/>
              <w:jc w:val="right"/>
              <w:rPr/>
            </w:pPr>
            <w:r>
              <w:rPr/>
              <w:t>​</w:t>
            </w:r>
          </w:p>
        </w:tc>
        <w:tc>
          <w:tcPr>
            <w:tcW w:w="782" w:type="dxa"/>
            <w:tcBorders/>
            <w:shd w:fill="B2B2B2" w:val="clear"/>
            <w:tcMar>
              <w:bottom w:w="0" w:type="dxa"/>
            </w:tcMar>
            <w:vAlign w:val="center"/>
          </w:tcPr>
          <w:p>
            <w:pPr>
              <w:pStyle w:val="TableContents"/>
              <w:bidi w:val="0"/>
              <w:spacing w:before="0" w:after="283"/>
              <w:jc w:val="right"/>
              <w:rPr/>
            </w:pPr>
            <w:r>
              <w:rPr/>
              <w:t>—</w:t>
            </w:r>
          </w:p>
        </w:tc>
        <w:tc>
          <w:tcPr>
            <w:tcW w:w="113"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500,115</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shd w:fill="B2B2B2" w:val="clear"/>
            <w:tcMar>
              <w:bottom w:w="0" w:type="dxa"/>
            </w:tcMar>
            <w:vAlign w:val="center"/>
          </w:tcPr>
          <w:p>
            <w:pPr>
              <w:pStyle w:val="Normal"/>
              <w:bidi w:val="0"/>
              <w:jc w:val="left"/>
              <w:rPr/>
            </w:pPr>
            <w:r>
              <w:rPr/>
            </w:r>
          </w:p>
        </w:tc>
        <w:tc>
          <w:tcPr>
            <w:tcW w:w="894" w:type="dxa"/>
            <w:vMerge w:val="continue"/>
            <w:tcBorders/>
            <w:shd w:fill="B2B2B2" w:val="clear"/>
            <w:tcMar>
              <w:bottom w:w="0" w:type="dxa"/>
            </w:tcMar>
            <w:vAlign w:val="center"/>
          </w:tcPr>
          <w:p>
            <w:pPr>
              <w:pStyle w:val="Normal"/>
              <w:bidi w:val="0"/>
              <w:jc w:val="left"/>
              <w:rPr/>
            </w:pPr>
            <w:r>
              <w:rPr/>
            </w:r>
          </w:p>
        </w:tc>
        <w:tc>
          <w:tcPr>
            <w:tcW w:w="109" w:type="dxa"/>
            <w:vMerge w:val="continue"/>
            <w:tcBorders/>
            <w:shd w:fill="B2B2B2" w:val="clear"/>
            <w:tcMar>
              <w:bottom w:w="0" w:type="dxa"/>
            </w:tcMar>
            <w:vAlign w:val="center"/>
          </w:tcPr>
          <w:p>
            <w:pPr>
              <w:pStyle w:val="Normal"/>
              <w:bidi w:val="0"/>
              <w:jc w:val="left"/>
              <w:rPr/>
            </w:pPr>
            <w:r>
              <w:rPr/>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346" w:type="dxa"/>
            <w:tcBorders/>
            <w:shd w:fill="B2B2B2" w:val="clear"/>
            <w:tcMar>
              <w:bottom w:w="0" w:type="dxa"/>
            </w:tcMar>
            <w:vAlign w:val="center"/>
          </w:tcPr>
          <w:p>
            <w:pPr>
              <w:pStyle w:val="TableContents"/>
              <w:bidi w:val="0"/>
              <w:spacing w:before="0" w:after="283"/>
              <w:jc w:val="right"/>
              <w:rPr/>
            </w:pPr>
            <w:r>
              <w:rPr/>
              <w:t>3/1/25</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672" w:type="dxa"/>
            <w:tcBorders/>
            <w:shd w:fill="B2B2B2" w:val="clear"/>
            <w:tcMar>
              <w:bottom w:w="0" w:type="dxa"/>
            </w:tcMar>
            <w:vAlign w:val="center"/>
          </w:tcPr>
          <w:p>
            <w:pPr>
              <w:pStyle w:val="TableContents"/>
              <w:bidi w:val="0"/>
              <w:spacing w:before="0" w:after="283"/>
              <w:jc w:val="right"/>
              <w:rPr/>
            </w:pPr>
            <w:r>
              <w:rPr/>
              <w:t>2/28/25</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88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106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106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6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6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6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66" w:type="dxa"/>
            <w:tcBorders/>
            <w:shd w:fill="B2B2B2" w:val="clear"/>
            <w:tcMar>
              <w:bottom w:w="0" w:type="dxa"/>
            </w:tcMar>
            <w:vAlign w:val="center"/>
          </w:tcPr>
          <w:p>
            <w:pPr>
              <w:pStyle w:val="TableContents"/>
              <w:bidi w:val="0"/>
              <w:spacing w:before="0" w:after="283"/>
              <w:jc w:val="right"/>
              <w:rPr/>
            </w:pPr>
            <w:r>
              <w:rPr/>
              <w:t>1,842</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11" w:type="dxa"/>
            <w:tcBorders/>
            <w:shd w:fill="B2B2B2" w:val="clear"/>
            <w:tcMar>
              <w:bottom w:w="0" w:type="dxa"/>
            </w:tcMar>
            <w:vAlign w:val="center"/>
          </w:tcPr>
          <w:p>
            <w:pPr>
              <w:pStyle w:val="TableContents"/>
              <w:bidi w:val="0"/>
              <w:spacing w:before="0" w:after="283"/>
              <w:jc w:val="left"/>
              <w:rPr/>
            </w:pPr>
            <w:r>
              <w:rPr/>
              <w:t>​</w:t>
            </w:r>
          </w:p>
        </w:tc>
        <w:tc>
          <w:tcPr>
            <w:tcW w:w="111" w:type="dxa"/>
            <w:tcBorders/>
            <w:shd w:fill="B2B2B2" w:val="clear"/>
            <w:tcMar>
              <w:bottom w:w="0" w:type="dxa"/>
            </w:tcMar>
            <w:vAlign w:val="center"/>
          </w:tcPr>
          <w:p>
            <w:pPr>
              <w:pStyle w:val="TableContents"/>
              <w:bidi w:val="0"/>
              <w:spacing w:before="0" w:after="283"/>
              <w:jc w:val="right"/>
              <w:rPr/>
            </w:pPr>
            <w:r>
              <w:rPr/>
              <w:t>​</w:t>
            </w:r>
          </w:p>
        </w:tc>
        <w:tc>
          <w:tcPr>
            <w:tcW w:w="782" w:type="dxa"/>
            <w:tcBorders/>
            <w:shd w:fill="B2B2B2" w:val="clear"/>
            <w:tcMar>
              <w:bottom w:w="0" w:type="dxa"/>
            </w:tcMar>
            <w:vAlign w:val="center"/>
          </w:tcPr>
          <w:p>
            <w:pPr>
              <w:pStyle w:val="TableContents"/>
              <w:bidi w:val="0"/>
              <w:spacing w:before="0" w:after="283"/>
              <w:jc w:val="right"/>
              <w:rPr/>
            </w:pPr>
            <w:r>
              <w:rPr/>
              <w:t>—</w:t>
            </w:r>
          </w:p>
        </w:tc>
        <w:tc>
          <w:tcPr>
            <w:tcW w:w="113"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250,125</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shd w:fill="B2B2B2" w:val="clear"/>
            <w:tcMar>
              <w:bottom w:w="0" w:type="dxa"/>
            </w:tcMar>
            <w:vAlign w:val="center"/>
          </w:tcPr>
          <w:p>
            <w:pPr>
              <w:pStyle w:val="Normal"/>
              <w:bidi w:val="0"/>
              <w:jc w:val="left"/>
              <w:rPr/>
            </w:pPr>
            <w:r>
              <w:rPr/>
            </w:r>
          </w:p>
        </w:tc>
        <w:tc>
          <w:tcPr>
            <w:tcW w:w="894" w:type="dxa"/>
            <w:vMerge w:val="continue"/>
            <w:tcBorders/>
            <w:shd w:fill="B2B2B2" w:val="clear"/>
            <w:tcMar>
              <w:bottom w:w="0" w:type="dxa"/>
            </w:tcMar>
            <w:vAlign w:val="center"/>
          </w:tcPr>
          <w:p>
            <w:pPr>
              <w:pStyle w:val="Normal"/>
              <w:bidi w:val="0"/>
              <w:jc w:val="left"/>
              <w:rPr/>
            </w:pPr>
            <w:r>
              <w:rPr/>
            </w:r>
          </w:p>
        </w:tc>
        <w:tc>
          <w:tcPr>
            <w:tcW w:w="109" w:type="dxa"/>
            <w:vMerge w:val="continue"/>
            <w:tcBorders/>
            <w:shd w:fill="B2B2B2" w:val="clear"/>
            <w:tcMar>
              <w:bottom w:w="0" w:type="dxa"/>
            </w:tcMar>
            <w:vAlign w:val="center"/>
          </w:tcPr>
          <w:p>
            <w:pPr>
              <w:pStyle w:val="Normal"/>
              <w:bidi w:val="0"/>
              <w:jc w:val="left"/>
              <w:rPr/>
            </w:pPr>
            <w:r>
              <w:rPr/>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346" w:type="dxa"/>
            <w:tcBorders/>
            <w:shd w:fill="B2B2B2" w:val="clear"/>
            <w:tcMar>
              <w:bottom w:w="0" w:type="dxa"/>
            </w:tcMar>
            <w:vAlign w:val="center"/>
          </w:tcPr>
          <w:p>
            <w:pPr>
              <w:pStyle w:val="TableContents"/>
              <w:bidi w:val="0"/>
              <w:spacing w:before="0" w:after="283"/>
              <w:jc w:val="right"/>
              <w:rPr/>
            </w:pPr>
            <w:r>
              <w:rPr/>
              <w:t>3/1/25</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672" w:type="dxa"/>
            <w:tcBorders/>
            <w:shd w:fill="B2B2B2" w:val="clear"/>
            <w:tcMar>
              <w:bottom w:w="0" w:type="dxa"/>
            </w:tcMar>
            <w:vAlign w:val="center"/>
          </w:tcPr>
          <w:p>
            <w:pPr>
              <w:pStyle w:val="TableContents"/>
              <w:bidi w:val="0"/>
              <w:spacing w:before="0" w:after="283"/>
              <w:jc w:val="right"/>
              <w:rPr/>
            </w:pPr>
            <w:r>
              <w:rPr/>
              <w:t>2/28/25</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88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106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106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6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6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6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6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11" w:type="dxa"/>
            <w:tcBorders/>
            <w:shd w:fill="B2B2B2" w:val="clear"/>
            <w:tcMar>
              <w:bottom w:w="0" w:type="dxa"/>
            </w:tcMar>
            <w:vAlign w:val="center"/>
          </w:tcPr>
          <w:p>
            <w:pPr>
              <w:pStyle w:val="TableContents"/>
              <w:bidi w:val="0"/>
              <w:spacing w:before="0" w:after="283"/>
              <w:jc w:val="left"/>
              <w:rPr/>
            </w:pPr>
            <w:r>
              <w:rPr/>
              <w:t>​</w:t>
            </w:r>
          </w:p>
        </w:tc>
        <w:tc>
          <w:tcPr>
            <w:tcW w:w="111" w:type="dxa"/>
            <w:tcBorders/>
            <w:shd w:fill="B2B2B2" w:val="clear"/>
            <w:tcMar>
              <w:bottom w:w="0" w:type="dxa"/>
            </w:tcMar>
            <w:vAlign w:val="center"/>
          </w:tcPr>
          <w:p>
            <w:pPr>
              <w:pStyle w:val="TableContents"/>
              <w:bidi w:val="0"/>
              <w:spacing w:before="0" w:after="283"/>
              <w:jc w:val="right"/>
              <w:rPr/>
            </w:pPr>
            <w:r>
              <w:rPr/>
              <w:t>​</w:t>
            </w:r>
          </w:p>
        </w:tc>
        <w:tc>
          <w:tcPr>
            <w:tcW w:w="782" w:type="dxa"/>
            <w:tcBorders/>
            <w:shd w:fill="B2B2B2" w:val="clear"/>
            <w:tcMar>
              <w:bottom w:w="0" w:type="dxa"/>
            </w:tcMar>
            <w:vAlign w:val="center"/>
          </w:tcPr>
          <w:p>
            <w:pPr>
              <w:pStyle w:val="TableContents"/>
              <w:bidi w:val="0"/>
              <w:spacing w:before="0" w:after="283"/>
              <w:jc w:val="right"/>
              <w:rPr/>
            </w:pPr>
            <w:r>
              <w:rPr/>
              <w:t>3,465</w:t>
            </w:r>
          </w:p>
        </w:tc>
        <w:tc>
          <w:tcPr>
            <w:tcW w:w="113"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135.79</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136.15</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250,042</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restart"/>
            <w:tcBorders>
              <w:bottom w:val="single" w:sz="2" w:space="0" w:color="000000"/>
            </w:tcBorders>
            <w:vAlign w:val="center"/>
          </w:tcPr>
          <w:p>
            <w:pPr>
              <w:pStyle w:val="TableContents"/>
              <w:bidi w:val="0"/>
              <w:spacing w:before="0" w:after="283"/>
              <w:jc w:val="left"/>
              <w:rPr/>
            </w:pPr>
            <w:r>
              <w:rPr/>
              <w:t>​</w:t>
            </w:r>
          </w:p>
        </w:tc>
        <w:tc>
          <w:tcPr>
            <w:tcW w:w="894" w:type="dxa"/>
            <w:vMerge w:val="restart"/>
            <w:tcBorders>
              <w:bottom w:val="single" w:sz="2" w:space="0" w:color="000000"/>
            </w:tcBorders>
            <w:tcMar>
              <w:bottom w:w="60" w:type="dxa"/>
            </w:tcMar>
            <w:vAlign w:val="center"/>
          </w:tcPr>
          <w:p>
            <w:pPr>
              <w:pStyle w:val="TableContents"/>
              <w:bidi w:val="0"/>
              <w:spacing w:lineRule="atLeast" w:line="142" w:before="0" w:after="0"/>
              <w:jc w:val="left"/>
              <w:rPr>
                <w:spacing w:val="-1"/>
              </w:rPr>
            </w:pPr>
            <w:r>
              <w:rPr>
                <w:spacing w:val="-1"/>
              </w:rPr>
              <w:t xml:space="preserve">Raj Kanuru </w:t>
            </w:r>
          </w:p>
        </w:tc>
        <w:tc>
          <w:tcPr>
            <w:tcW w:w="109" w:type="dxa"/>
            <w:vMerge w:val="restart"/>
            <w:tcBorders>
              <w:bottom w:val="single" w:sz="2" w:space="0" w:color="000000"/>
            </w:tcBorders>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42" w:before="0" w:after="283"/>
              <w:jc w:val="right"/>
              <w:rPr/>
            </w:pPr>
            <w:r>
              <w:rPr/>
              <w:t>​</w:t>
            </w:r>
          </w:p>
        </w:tc>
        <w:tc>
          <w:tcPr>
            <w:tcW w:w="346" w:type="dxa"/>
            <w:tcBorders/>
            <w:tcMar>
              <w:bottom w:w="0" w:type="dxa"/>
            </w:tcMar>
            <w:vAlign w:val="center"/>
          </w:tcPr>
          <w:p>
            <w:pPr>
              <w:pStyle w:val="TableContents"/>
              <w:bidi w:val="0"/>
              <w:spacing w:lineRule="atLeast" w:line="14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42" w:before="0" w:after="283"/>
              <w:jc w:val="right"/>
              <w:rPr/>
            </w:pPr>
            <w:r>
              <w:rPr/>
              <w:t>​</w:t>
            </w:r>
          </w:p>
        </w:tc>
        <w:tc>
          <w:tcPr>
            <w:tcW w:w="672" w:type="dxa"/>
            <w:tcBorders/>
            <w:tcMar>
              <w:bottom w:w="0" w:type="dxa"/>
            </w:tcMar>
            <w:vAlign w:val="center"/>
          </w:tcPr>
          <w:p>
            <w:pPr>
              <w:pStyle w:val="TableContents"/>
              <w:bidi w:val="0"/>
              <w:spacing w:lineRule="atLeast" w:line="142"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42" w:before="0" w:after="283"/>
              <w:jc w:val="right"/>
              <w:rPr/>
            </w:pPr>
            <w:r>
              <w:rPr/>
              <w:t>​</w:t>
            </w:r>
          </w:p>
        </w:tc>
        <w:tc>
          <w:tcPr>
            <w:tcW w:w="886" w:type="dxa"/>
            <w:tcBorders/>
            <w:tcMar>
              <w:bottom w:w="0" w:type="dxa"/>
            </w:tcMar>
            <w:vAlign w:val="center"/>
          </w:tcPr>
          <w:p>
            <w:pPr>
              <w:pStyle w:val="TableContents"/>
              <w:bidi w:val="0"/>
              <w:spacing w:lineRule="atLeast" w:line="142" w:before="0" w:after="283"/>
              <w:jc w:val="right"/>
              <w:rPr/>
            </w:pPr>
            <w:r>
              <w:rPr/>
              <w:t>176,625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42" w:before="0" w:after="283"/>
              <w:jc w:val="right"/>
              <w:rPr/>
            </w:pPr>
            <w:r>
              <w:rPr/>
              <w:t>​</w:t>
            </w:r>
          </w:p>
        </w:tc>
        <w:tc>
          <w:tcPr>
            <w:tcW w:w="1066" w:type="dxa"/>
            <w:tcBorders/>
            <w:tcMar>
              <w:bottom w:w="0" w:type="dxa"/>
            </w:tcMar>
            <w:vAlign w:val="center"/>
          </w:tcPr>
          <w:p>
            <w:pPr>
              <w:pStyle w:val="TableContents"/>
              <w:bidi w:val="0"/>
              <w:spacing w:lineRule="atLeast" w:line="142" w:before="0" w:after="283"/>
              <w:jc w:val="right"/>
              <w:rPr/>
            </w:pPr>
            <w:r>
              <w:rPr/>
              <w:t>353,250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42" w:before="0" w:after="283"/>
              <w:jc w:val="right"/>
              <w:rPr/>
            </w:pPr>
            <w:r>
              <w:rPr/>
              <w:t>​</w:t>
            </w:r>
          </w:p>
        </w:tc>
        <w:tc>
          <w:tcPr>
            <w:tcW w:w="1066" w:type="dxa"/>
            <w:tcBorders/>
            <w:tcMar>
              <w:bottom w:w="0" w:type="dxa"/>
            </w:tcMar>
            <w:vAlign w:val="center"/>
          </w:tcPr>
          <w:p>
            <w:pPr>
              <w:pStyle w:val="TableContents"/>
              <w:bidi w:val="0"/>
              <w:spacing w:lineRule="atLeast" w:line="142" w:before="0" w:after="283"/>
              <w:jc w:val="right"/>
              <w:rPr/>
            </w:pPr>
            <w:r>
              <w:rPr/>
              <w:t>706,500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782" w:type="dxa"/>
            <w:tcBorders/>
            <w:tcMar>
              <w:bottom w:w="0" w:type="dxa"/>
            </w:tcMar>
            <w:vAlign w:val="center"/>
          </w:tcPr>
          <w:p>
            <w:pPr>
              <w:pStyle w:val="TableContents"/>
              <w:bidi w:val="0"/>
              <w:spacing w:before="0" w:after="283"/>
              <w:jc w:val="right"/>
              <w:rPr/>
            </w:pPr>
            <w:r>
              <w:rPr/>
              <w:t>​</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bottom w:val="single" w:sz="2" w:space="0" w:color="000000"/>
            </w:tcBorders>
            <w:vAlign w:val="center"/>
          </w:tcPr>
          <w:p>
            <w:pPr>
              <w:pStyle w:val="Normal"/>
              <w:bidi w:val="0"/>
              <w:jc w:val="left"/>
              <w:rPr/>
            </w:pPr>
            <w:r>
              <w:rPr/>
            </w:r>
          </w:p>
        </w:tc>
        <w:tc>
          <w:tcPr>
            <w:tcW w:w="894" w:type="dxa"/>
            <w:vMerge w:val="continue"/>
            <w:tcBorders>
              <w:bottom w:val="single" w:sz="2" w:space="0" w:color="000000"/>
            </w:tcBorders>
            <w:tcMar>
              <w:bottom w:w="60" w:type="dxa"/>
            </w:tcMar>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3/1/25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2" w:type="dxa"/>
            <w:tcBorders/>
            <w:tcMar>
              <w:bottom w:w="0" w:type="dxa"/>
            </w:tcMar>
            <w:vAlign w:val="center"/>
          </w:tcPr>
          <w:p>
            <w:pPr>
              <w:pStyle w:val="TableContents"/>
              <w:bidi w:val="0"/>
              <w:spacing w:before="0" w:after="283"/>
              <w:jc w:val="right"/>
              <w:rPr/>
            </w:pPr>
            <w:r>
              <w:rPr/>
              <w:t>2/28/25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1,842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3,683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7,366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782" w:type="dxa"/>
            <w:tcBorders/>
            <w:tcMar>
              <w:bottom w:w="0" w:type="dxa"/>
            </w:tcMar>
            <w:vAlign w:val="center"/>
          </w:tcPr>
          <w:p>
            <w:pPr>
              <w:pStyle w:val="TableContents"/>
              <w:bidi w:val="0"/>
              <w:spacing w:before="0" w:after="283"/>
              <w:jc w:val="right"/>
              <w:rPr/>
            </w:pPr>
            <w:r>
              <w:rPr/>
              <w:t>—</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500,115</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bottom w:val="single" w:sz="2" w:space="0" w:color="000000"/>
            </w:tcBorders>
            <w:vAlign w:val="center"/>
          </w:tcPr>
          <w:p>
            <w:pPr>
              <w:pStyle w:val="Normal"/>
              <w:bidi w:val="0"/>
              <w:jc w:val="left"/>
              <w:rPr/>
            </w:pPr>
            <w:r>
              <w:rPr/>
            </w:r>
          </w:p>
        </w:tc>
        <w:tc>
          <w:tcPr>
            <w:tcW w:w="894" w:type="dxa"/>
            <w:vMerge w:val="continue"/>
            <w:tcBorders>
              <w:bottom w:val="single" w:sz="2" w:space="0" w:color="000000"/>
            </w:tcBorders>
            <w:tcMar>
              <w:bottom w:w="60" w:type="dxa"/>
            </w:tcMar>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3/1/25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72" w:type="dxa"/>
            <w:tcBorders/>
            <w:tcMar>
              <w:bottom w:w="0" w:type="dxa"/>
            </w:tcMar>
            <w:vAlign w:val="center"/>
          </w:tcPr>
          <w:p>
            <w:pPr>
              <w:pStyle w:val="TableContents"/>
              <w:bidi w:val="0"/>
              <w:spacing w:before="0" w:after="283"/>
              <w:jc w:val="right"/>
              <w:rPr/>
            </w:pPr>
            <w:r>
              <w:rPr/>
              <w:t>2/28/25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1,842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782" w:type="dxa"/>
            <w:tcBorders/>
            <w:tcMar>
              <w:bottom w:w="0" w:type="dxa"/>
            </w:tcMar>
            <w:vAlign w:val="center"/>
          </w:tcPr>
          <w:p>
            <w:pPr>
              <w:pStyle w:val="TableContents"/>
              <w:bidi w:val="0"/>
              <w:spacing w:before="0" w:after="283"/>
              <w:jc w:val="right"/>
              <w:rPr/>
            </w:pPr>
            <w:r>
              <w:rPr/>
              <w:t>—</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250,125</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vMerge w:val="continue"/>
            <w:tcBorders>
              <w:bottom w:val="single" w:sz="2" w:space="0" w:color="000000"/>
            </w:tcBorders>
            <w:vAlign w:val="center"/>
          </w:tcPr>
          <w:p>
            <w:pPr>
              <w:pStyle w:val="Normal"/>
              <w:bidi w:val="0"/>
              <w:jc w:val="left"/>
              <w:rPr/>
            </w:pPr>
            <w:r>
              <w:rPr/>
            </w:r>
          </w:p>
        </w:tc>
        <w:tc>
          <w:tcPr>
            <w:tcW w:w="894" w:type="dxa"/>
            <w:vMerge w:val="continue"/>
            <w:tcBorders>
              <w:bottom w:val="single" w:sz="2" w:space="0" w:color="000000"/>
            </w:tcBorders>
            <w:tcMar>
              <w:bottom w:w="60" w:type="dxa"/>
            </w:tcMar>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60" w:type="dxa"/>
            </w:tcMar>
            <w:vAlign w:val="center"/>
          </w:tcPr>
          <w:p>
            <w:pPr>
              <w:pStyle w:val="TableContents"/>
              <w:bidi w:val="0"/>
              <w:spacing w:before="0" w:after="283"/>
              <w:jc w:val="right"/>
              <w:rPr/>
            </w:pPr>
            <w:r>
              <w:rPr/>
              <w:t>​</w:t>
            </w:r>
          </w:p>
        </w:tc>
        <w:tc>
          <w:tcPr>
            <w:tcW w:w="346" w:type="dxa"/>
            <w:tcBorders>
              <w:bottom w:val="single" w:sz="2" w:space="0" w:color="000000"/>
            </w:tcBorders>
            <w:tcMar>
              <w:bottom w:w="60" w:type="dxa"/>
            </w:tcMar>
            <w:vAlign w:val="center"/>
          </w:tcPr>
          <w:p>
            <w:pPr>
              <w:pStyle w:val="TableContents"/>
              <w:bidi w:val="0"/>
              <w:spacing w:before="0" w:after="283"/>
              <w:jc w:val="right"/>
              <w:rPr/>
            </w:pPr>
            <w:r>
              <w:rPr/>
              <w:t>3/1/25</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60" w:type="dxa"/>
            </w:tcMar>
            <w:vAlign w:val="center"/>
          </w:tcPr>
          <w:p>
            <w:pPr>
              <w:pStyle w:val="TableContents"/>
              <w:bidi w:val="0"/>
              <w:spacing w:before="0" w:after="283"/>
              <w:jc w:val="right"/>
              <w:rPr/>
            </w:pPr>
            <w:r>
              <w:rPr/>
              <w:t>​</w:t>
            </w:r>
          </w:p>
        </w:tc>
        <w:tc>
          <w:tcPr>
            <w:tcW w:w="672" w:type="dxa"/>
            <w:tcBorders>
              <w:bottom w:val="single" w:sz="2" w:space="0" w:color="000000"/>
            </w:tcBorders>
            <w:tcMar>
              <w:bottom w:w="60" w:type="dxa"/>
            </w:tcMar>
            <w:vAlign w:val="center"/>
          </w:tcPr>
          <w:p>
            <w:pPr>
              <w:pStyle w:val="TableContents"/>
              <w:bidi w:val="0"/>
              <w:spacing w:before="0" w:after="283"/>
              <w:jc w:val="right"/>
              <w:rPr/>
            </w:pPr>
            <w:r>
              <w:rPr/>
              <w:t>2/28/25</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60" w:type="dxa"/>
            </w:tcMar>
            <w:vAlign w:val="center"/>
          </w:tcPr>
          <w:p>
            <w:pPr>
              <w:pStyle w:val="TableContents"/>
              <w:bidi w:val="0"/>
              <w:spacing w:before="0" w:after="283"/>
              <w:jc w:val="right"/>
              <w:rPr/>
            </w:pPr>
            <w:r>
              <w:rPr/>
              <w:t>​</w:t>
            </w:r>
          </w:p>
        </w:tc>
        <w:tc>
          <w:tcPr>
            <w:tcW w:w="886" w:type="dxa"/>
            <w:tcBorders>
              <w:bottom w:val="single" w:sz="2" w:space="0" w:color="000000"/>
            </w:tcBorders>
            <w:tcMar>
              <w:bottom w:w="60" w:type="dxa"/>
            </w:tcMar>
            <w:vAlign w:val="center"/>
          </w:tcPr>
          <w:p>
            <w:pPr>
              <w:pStyle w:val="TableContents"/>
              <w:bidi w:val="0"/>
              <w:spacing w:before="0" w:after="283"/>
              <w:jc w:val="righ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60" w:type="dxa"/>
            </w:tcMar>
            <w:vAlign w:val="center"/>
          </w:tcPr>
          <w:p>
            <w:pPr>
              <w:pStyle w:val="TableContents"/>
              <w:bidi w:val="0"/>
              <w:spacing w:before="0" w:after="283"/>
              <w:jc w:val="right"/>
              <w:rPr/>
            </w:pPr>
            <w:r>
              <w:rPr/>
              <w:t>​</w:t>
            </w:r>
          </w:p>
        </w:tc>
        <w:tc>
          <w:tcPr>
            <w:tcW w:w="1066" w:type="dxa"/>
            <w:tcBorders>
              <w:bottom w:val="single" w:sz="2" w:space="0" w:color="000000"/>
            </w:tcBorders>
            <w:tcMar>
              <w:bottom w:w="60" w:type="dxa"/>
            </w:tcMar>
            <w:vAlign w:val="center"/>
          </w:tcPr>
          <w:p>
            <w:pPr>
              <w:pStyle w:val="TableContents"/>
              <w:bidi w:val="0"/>
              <w:spacing w:before="0" w:after="283"/>
              <w:jc w:val="righ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60" w:type="dxa"/>
            </w:tcMar>
            <w:vAlign w:val="center"/>
          </w:tcPr>
          <w:p>
            <w:pPr>
              <w:pStyle w:val="TableContents"/>
              <w:bidi w:val="0"/>
              <w:spacing w:before="0" w:after="283"/>
              <w:jc w:val="right"/>
              <w:rPr/>
            </w:pPr>
            <w:r>
              <w:rPr/>
              <w:t>​</w:t>
            </w:r>
          </w:p>
        </w:tc>
        <w:tc>
          <w:tcPr>
            <w:tcW w:w="1066" w:type="dxa"/>
            <w:tcBorders>
              <w:bottom w:val="single" w:sz="2" w:space="0" w:color="000000"/>
            </w:tcBorders>
            <w:tcMar>
              <w:bottom w:w="60" w:type="dxa"/>
            </w:tcMar>
            <w:vAlign w:val="center"/>
          </w:tcPr>
          <w:p>
            <w:pPr>
              <w:pStyle w:val="TableContents"/>
              <w:bidi w:val="0"/>
              <w:spacing w:before="0" w:after="283"/>
              <w:jc w:val="righ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60" w:type="dxa"/>
            </w:tcMar>
            <w:vAlign w:val="center"/>
          </w:tcPr>
          <w:p>
            <w:pPr>
              <w:pStyle w:val="TableContents"/>
              <w:bidi w:val="0"/>
              <w:spacing w:before="0" w:after="283"/>
              <w:jc w:val="right"/>
              <w:rPr/>
            </w:pPr>
            <w:r>
              <w:rPr/>
              <w:t>​</w:t>
            </w:r>
          </w:p>
        </w:tc>
        <w:tc>
          <w:tcPr>
            <w:tcW w:w="766" w:type="dxa"/>
            <w:tcBorders>
              <w:bottom w:val="single" w:sz="2" w:space="0" w:color="000000"/>
            </w:tcBorders>
            <w:tcMar>
              <w:bottom w:w="60" w:type="dxa"/>
            </w:tcMar>
            <w:vAlign w:val="center"/>
          </w:tcPr>
          <w:p>
            <w:pPr>
              <w:pStyle w:val="TableContents"/>
              <w:bidi w:val="0"/>
              <w:spacing w:before="0" w:after="283"/>
              <w:jc w:val="righ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60" w:type="dxa"/>
            </w:tcMar>
            <w:vAlign w:val="center"/>
          </w:tcPr>
          <w:p>
            <w:pPr>
              <w:pStyle w:val="TableContents"/>
              <w:bidi w:val="0"/>
              <w:spacing w:before="0" w:after="283"/>
              <w:jc w:val="right"/>
              <w:rPr/>
            </w:pPr>
            <w:r>
              <w:rPr/>
              <w:t>​</w:t>
            </w:r>
          </w:p>
        </w:tc>
        <w:tc>
          <w:tcPr>
            <w:tcW w:w="766" w:type="dxa"/>
            <w:tcBorders>
              <w:bottom w:val="single" w:sz="2" w:space="0" w:color="000000"/>
            </w:tcBorders>
            <w:tcMar>
              <w:bottom w:w="60" w:type="dxa"/>
            </w:tcMar>
            <w:vAlign w:val="center"/>
          </w:tcPr>
          <w:p>
            <w:pPr>
              <w:pStyle w:val="TableContents"/>
              <w:bidi w:val="0"/>
              <w:spacing w:before="0" w:after="283"/>
              <w:jc w:val="righ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60" w:type="dxa"/>
            </w:tcMar>
            <w:vAlign w:val="center"/>
          </w:tcPr>
          <w:p>
            <w:pPr>
              <w:pStyle w:val="TableContents"/>
              <w:bidi w:val="0"/>
              <w:spacing w:before="0" w:after="283"/>
              <w:jc w:val="right"/>
              <w:rPr/>
            </w:pPr>
            <w:r>
              <w:rPr/>
              <w:t>​</w:t>
            </w:r>
          </w:p>
        </w:tc>
        <w:tc>
          <w:tcPr>
            <w:tcW w:w="766" w:type="dxa"/>
            <w:tcBorders>
              <w:bottom w:val="single" w:sz="2" w:space="0" w:color="000000"/>
            </w:tcBorders>
            <w:tcMar>
              <w:bottom w:w="60" w:type="dxa"/>
            </w:tcMar>
            <w:vAlign w:val="center"/>
          </w:tcPr>
          <w:p>
            <w:pPr>
              <w:pStyle w:val="TableContents"/>
              <w:bidi w:val="0"/>
              <w:spacing w:before="0" w:after="283"/>
              <w:jc w:val="righ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60" w:type="dxa"/>
            </w:tcMar>
            <w:vAlign w:val="center"/>
          </w:tcPr>
          <w:p>
            <w:pPr>
              <w:pStyle w:val="TableContents"/>
              <w:bidi w:val="0"/>
              <w:spacing w:before="0" w:after="283"/>
              <w:jc w:val="right"/>
              <w:rPr/>
            </w:pPr>
            <w:r>
              <w:rPr/>
              <w:t>​</w:t>
            </w:r>
          </w:p>
        </w:tc>
        <w:tc>
          <w:tcPr>
            <w:tcW w:w="766" w:type="dxa"/>
            <w:tcBorders>
              <w:bottom w:val="single" w:sz="2" w:space="0" w:color="000000"/>
            </w:tcBorders>
            <w:tcMar>
              <w:bottom w:w="60" w:type="dxa"/>
            </w:tcMar>
            <w:vAlign w:val="center"/>
          </w:tcPr>
          <w:p>
            <w:pPr>
              <w:pStyle w:val="TableContents"/>
              <w:bidi w:val="0"/>
              <w:spacing w:before="0" w:after="283"/>
              <w:jc w:val="righ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11" w:type="dxa"/>
            <w:tcBorders>
              <w:bottom w:val="single" w:sz="2" w:space="0" w:color="000000"/>
            </w:tcBorders>
            <w:vAlign w:val="center"/>
          </w:tcPr>
          <w:p>
            <w:pPr>
              <w:pStyle w:val="TableContents"/>
              <w:bidi w:val="0"/>
              <w:spacing w:before="0" w:after="283"/>
              <w:jc w:val="left"/>
              <w:rPr/>
            </w:pPr>
            <w:r>
              <w:rPr/>
              <w:t>​</w:t>
            </w:r>
          </w:p>
        </w:tc>
        <w:tc>
          <w:tcPr>
            <w:tcW w:w="111" w:type="dxa"/>
            <w:tcBorders>
              <w:bottom w:val="single" w:sz="2" w:space="0" w:color="000000"/>
            </w:tcBorders>
            <w:tcMar>
              <w:bottom w:w="60" w:type="dxa"/>
            </w:tcMar>
            <w:vAlign w:val="center"/>
          </w:tcPr>
          <w:p>
            <w:pPr>
              <w:pStyle w:val="TableContents"/>
              <w:bidi w:val="0"/>
              <w:spacing w:before="0" w:after="283"/>
              <w:jc w:val="right"/>
              <w:rPr/>
            </w:pPr>
            <w:r>
              <w:rPr/>
              <w:t>​</w:t>
            </w:r>
          </w:p>
        </w:tc>
        <w:tc>
          <w:tcPr>
            <w:tcW w:w="782" w:type="dxa"/>
            <w:tcBorders>
              <w:bottom w:val="single" w:sz="2" w:space="0" w:color="000000"/>
            </w:tcBorders>
            <w:tcMar>
              <w:bottom w:w="60" w:type="dxa"/>
            </w:tcMar>
            <w:vAlign w:val="center"/>
          </w:tcPr>
          <w:p>
            <w:pPr>
              <w:pStyle w:val="TableContents"/>
              <w:bidi w:val="0"/>
              <w:spacing w:before="0" w:after="283"/>
              <w:jc w:val="right"/>
              <w:rPr/>
            </w:pPr>
            <w:r>
              <w:rPr/>
              <w:t>3,465</w:t>
            </w:r>
          </w:p>
        </w:tc>
        <w:tc>
          <w:tcPr>
            <w:tcW w:w="113"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135.79</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136.15</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250,042</w:t>
            </w:r>
          </w:p>
          <w:p>
            <w:pPr>
              <w:pStyle w:val="TableContents"/>
              <w:bidi w:val="0"/>
              <w:spacing w:before="0" w:after="283"/>
              <w:jc w:val="left"/>
              <w:rPr/>
            </w:pPr>
            <w:r>
              <w:rPr/>
              <w:t>​</w:t>
            </w:r>
          </w:p>
          <w:p>
            <w:pPr>
              <w:pStyle w:val="TableContents"/>
              <w:bidi w:val="0"/>
              <w:spacing w:before="0" w:after="283"/>
              <w:jc w:val="left"/>
              <w:rPr/>
            </w:pPr>
            <w:r>
              <w:rPr/>
              <w:t>​</w:t>
            </w:r>
          </w:p>
        </w:tc>
      </w:tr>
    </w:tbl>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20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For additional information regarding the AIP, please see the Compensation Discussion and Analysis above.</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27000" distB="0" distL="0" distR="0" simplePos="0" locked="0" layoutInCell="1" allowOverlap="1" relativeHeight="305">
                <wp:simplePos x="0" y="0"/>
                <wp:positionH relativeFrom="column">
                  <wp:align>left</wp:align>
                </wp:positionH>
                <wp:positionV relativeFrom="line">
                  <wp:align>top</wp:align>
                </wp:positionV>
                <wp:extent cx="254000" cy="330200"/>
                <wp:effectExtent l="0" t="0" r="0" b="0"/>
                <wp:wrapSquare wrapText="right"/>
                <wp:docPr id="279" name="Frame174"/>
                <a:graphic xmlns:a="http://schemas.openxmlformats.org/drawingml/2006/main">
                  <a:graphicData uri="http://schemas.microsoft.com/office/word/2010/wordprocessingShape">
                    <wps:wsp>
                      <wps:cNvSpPr txBox="1"/>
                      <wps:spPr>
                        <a:xfrm>
                          <a:off x="0" y="0"/>
                          <a:ext cx="254000" cy="330200"/>
                        </a:xfrm>
                        <a:prstGeom prst="rect"/>
                        <a:solidFill>
                          <a:srgbClr val="FFFFFF"/>
                        </a:solidFill>
                      </wps:spPr>
                      <wps:txbx>
                        <w:txbxContent>
                          <w:p>
                            <w:pPr>
                              <w:pStyle w:val="TextBody"/>
                              <w:bidi w:val="0"/>
                              <w:spacing w:lineRule="atLeast" w:line="260" w:before="0" w:after="283"/>
                              <w:jc w:val="left"/>
                              <w:rPr>
                                <w:sz w:val="22"/>
                              </w:rPr>
                            </w:pPr>
                            <w:r>
                              <w:rPr>
                                <w:spacing w:val="-2"/>
                                <w:sz w:val="22"/>
                              </w:rPr>
                              <w:t>(1)</w:t>
                            </w:r>
                            <w:r>
                              <w:rPr>
                                <w:sz w:val="22"/>
                              </w:rPr>
                              <w:t xml:space="preserve"> </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lineRule="atLeast" w:line="260" w:before="0" w:after="283"/>
                        <w:jc w:val="left"/>
                        <w:rPr>
                          <w:sz w:val="22"/>
                        </w:rPr>
                      </w:pPr>
                      <w:r>
                        <w:rPr>
                          <w:spacing w:val="-2"/>
                          <w:sz w:val="22"/>
                        </w:rPr>
                        <w:t>(1)</w:t>
                      </w:r>
                      <w:r>
                        <w:rPr>
                          <w:sz w:val="22"/>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8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Represents an award of performance shares that vests between 50% to 200% of target on the third anniversary of the grant date if certain Company performance goals relating to the 2025-2027 performance period are met.</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0" distR="0" simplePos="0" locked="0" layoutInCell="1" allowOverlap="1" relativeHeight="306">
                <wp:simplePos x="0" y="0"/>
                <wp:positionH relativeFrom="column">
                  <wp:align>left</wp:align>
                </wp:positionH>
                <wp:positionV relativeFrom="line">
                  <wp:align>top</wp:align>
                </wp:positionV>
                <wp:extent cx="254000" cy="330200"/>
                <wp:effectExtent l="0" t="0" r="0" b="0"/>
                <wp:wrapSquare wrapText="right"/>
                <wp:docPr id="280" name="Frame175"/>
                <a:graphic xmlns:a="http://schemas.openxmlformats.org/drawingml/2006/main">
                  <a:graphicData uri="http://schemas.microsoft.com/office/word/2010/wordprocessingShape">
                    <wps:wsp>
                      <wps:cNvSpPr txBox="1"/>
                      <wps:spPr>
                        <a:xfrm>
                          <a:off x="0" y="0"/>
                          <a:ext cx="254000" cy="330200"/>
                        </a:xfrm>
                        <a:prstGeom prst="rect"/>
                        <a:solidFill>
                          <a:srgbClr val="FFFFFF"/>
                        </a:solidFill>
                      </wps:spPr>
                      <wps:txbx>
                        <w:txbxContent>
                          <w:p>
                            <w:pPr>
                              <w:pStyle w:val="TextBody"/>
                              <w:bidi w:val="0"/>
                              <w:spacing w:lineRule="atLeast" w:line="260" w:before="0" w:after="283"/>
                              <w:jc w:val="left"/>
                              <w:rPr>
                                <w:sz w:val="22"/>
                              </w:rPr>
                            </w:pPr>
                            <w:r>
                              <w:rPr>
                                <w:spacing w:val="-2"/>
                                <w:sz w:val="22"/>
                              </w:rPr>
                              <w:t>(2)</w:t>
                            </w:r>
                            <w:r>
                              <w:rPr>
                                <w:sz w:val="22"/>
                              </w:rPr>
                              <w:t xml:space="preserve"> </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60" w:before="0" w:after="283"/>
                        <w:jc w:val="left"/>
                        <w:rPr>
                          <w:sz w:val="22"/>
                        </w:rPr>
                      </w:pPr>
                      <w:r>
                        <w:rPr>
                          <w:spacing w:val="-2"/>
                          <w:sz w:val="22"/>
                        </w:rPr>
                        <w:t>(2)</w:t>
                      </w:r>
                      <w:r>
                        <w:rPr>
                          <w:sz w:val="22"/>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8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Represents an award of restricted stock, vesting in equal installments on each anniversary of the date of grant over three years.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0" distR="0" simplePos="0" locked="0" layoutInCell="1" allowOverlap="1" relativeHeight="307">
                <wp:simplePos x="0" y="0"/>
                <wp:positionH relativeFrom="column">
                  <wp:align>left</wp:align>
                </wp:positionH>
                <wp:positionV relativeFrom="line">
                  <wp:align>top</wp:align>
                </wp:positionV>
                <wp:extent cx="254000" cy="330200"/>
                <wp:effectExtent l="0" t="0" r="0" b="0"/>
                <wp:wrapSquare wrapText="right"/>
                <wp:docPr id="281" name="Frame176"/>
                <a:graphic xmlns:a="http://schemas.openxmlformats.org/drawingml/2006/main">
                  <a:graphicData uri="http://schemas.microsoft.com/office/word/2010/wordprocessingShape">
                    <wps:wsp>
                      <wps:cNvSpPr txBox="1"/>
                      <wps:spPr>
                        <a:xfrm>
                          <a:off x="0" y="0"/>
                          <a:ext cx="254000" cy="330200"/>
                        </a:xfrm>
                        <a:prstGeom prst="rect"/>
                        <a:solidFill>
                          <a:srgbClr val="FFFFFF"/>
                        </a:solidFill>
                      </wps:spPr>
                      <wps:txbx>
                        <w:txbxContent>
                          <w:p>
                            <w:pPr>
                              <w:pStyle w:val="TextBody"/>
                              <w:bidi w:val="0"/>
                              <w:spacing w:lineRule="atLeast" w:line="260" w:before="0" w:after="283"/>
                              <w:jc w:val="left"/>
                              <w:rPr>
                                <w:sz w:val="22"/>
                              </w:rPr>
                            </w:pPr>
                            <w:r>
                              <w:rPr>
                                <w:spacing w:val="-2"/>
                                <w:sz w:val="22"/>
                              </w:rPr>
                              <w:t>(3)</w:t>
                            </w:r>
                            <w:r>
                              <w:rPr>
                                <w:sz w:val="22"/>
                              </w:rPr>
                              <w:t xml:space="preserve"> </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60" w:before="0" w:after="283"/>
                        <w:jc w:val="left"/>
                        <w:rPr>
                          <w:sz w:val="22"/>
                        </w:rPr>
                      </w:pPr>
                      <w:r>
                        <w:rPr>
                          <w:spacing w:val="-2"/>
                          <w:sz w:val="22"/>
                        </w:rPr>
                        <w:t>(3)</w:t>
                      </w:r>
                      <w:r>
                        <w:rPr>
                          <w:sz w:val="22"/>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8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Represents an award of stock options, vesting in equal installments of each anniversary of the date of grant over four years.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0" distR="0" simplePos="0" locked="0" layoutInCell="1" allowOverlap="1" relativeHeight="308">
                <wp:simplePos x="0" y="0"/>
                <wp:positionH relativeFrom="column">
                  <wp:align>left</wp:align>
                </wp:positionH>
                <wp:positionV relativeFrom="line">
                  <wp:align>top</wp:align>
                </wp:positionV>
                <wp:extent cx="254000" cy="330200"/>
                <wp:effectExtent l="0" t="0" r="0" b="0"/>
                <wp:wrapSquare wrapText="right"/>
                <wp:docPr id="282" name="Frame177"/>
                <a:graphic xmlns:a="http://schemas.openxmlformats.org/drawingml/2006/main">
                  <a:graphicData uri="http://schemas.microsoft.com/office/word/2010/wordprocessingShape">
                    <wps:wsp>
                      <wps:cNvSpPr txBox="1"/>
                      <wps:spPr>
                        <a:xfrm>
                          <a:off x="0" y="0"/>
                          <a:ext cx="254000" cy="330200"/>
                        </a:xfrm>
                        <a:prstGeom prst="rect"/>
                        <a:solidFill>
                          <a:srgbClr val="FFFFFF"/>
                        </a:solidFill>
                      </wps:spPr>
                      <wps:txbx>
                        <w:txbxContent>
                          <w:p>
                            <w:pPr>
                              <w:pStyle w:val="TextBody"/>
                              <w:bidi w:val="0"/>
                              <w:spacing w:lineRule="atLeast" w:line="260" w:before="0" w:after="283"/>
                              <w:jc w:val="left"/>
                              <w:rPr>
                                <w:sz w:val="22"/>
                              </w:rPr>
                            </w:pPr>
                            <w:r>
                              <w:rPr>
                                <w:spacing w:val="-2"/>
                                <w:sz w:val="22"/>
                              </w:rPr>
                              <w:t>(4)</w:t>
                            </w:r>
                            <w:r>
                              <w:rPr>
                                <w:sz w:val="22"/>
                              </w:rPr>
                              <w:t xml:space="preserve"> </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60" w:before="0" w:after="283"/>
                        <w:jc w:val="left"/>
                        <w:rPr>
                          <w:sz w:val="22"/>
                        </w:rPr>
                      </w:pPr>
                      <w:r>
                        <w:rPr>
                          <w:spacing w:val="-2"/>
                          <w:sz w:val="22"/>
                        </w:rPr>
                        <w:t>(4)</w:t>
                      </w:r>
                      <w:r>
                        <w:rPr>
                          <w:sz w:val="22"/>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8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exercise price is determined by averaging the high and low trading prices on the date of grant.</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0" distR="0" simplePos="0" locked="0" layoutInCell="1" allowOverlap="1" relativeHeight="309">
                <wp:simplePos x="0" y="0"/>
                <wp:positionH relativeFrom="column">
                  <wp:align>left</wp:align>
                </wp:positionH>
                <wp:positionV relativeFrom="line">
                  <wp:align>top</wp:align>
                </wp:positionV>
                <wp:extent cx="254000" cy="330200"/>
                <wp:effectExtent l="0" t="0" r="0" b="0"/>
                <wp:wrapSquare wrapText="right"/>
                <wp:docPr id="283" name="Frame178"/>
                <a:graphic xmlns:a="http://schemas.openxmlformats.org/drawingml/2006/main">
                  <a:graphicData uri="http://schemas.microsoft.com/office/word/2010/wordprocessingShape">
                    <wps:wsp>
                      <wps:cNvSpPr txBox="1"/>
                      <wps:spPr>
                        <a:xfrm>
                          <a:off x="0" y="0"/>
                          <a:ext cx="254000" cy="330200"/>
                        </a:xfrm>
                        <a:prstGeom prst="rect"/>
                        <a:solidFill>
                          <a:srgbClr val="FFFFFF"/>
                        </a:solidFill>
                      </wps:spPr>
                      <wps:txbx>
                        <w:txbxContent>
                          <w:p>
                            <w:pPr>
                              <w:pStyle w:val="TextBody"/>
                              <w:bidi w:val="0"/>
                              <w:spacing w:lineRule="atLeast" w:line="260" w:before="0" w:after="283"/>
                              <w:jc w:val="left"/>
                              <w:rPr>
                                <w:sz w:val="22"/>
                              </w:rPr>
                            </w:pPr>
                            <w:r>
                              <w:rPr>
                                <w:spacing w:val="-2"/>
                                <w:sz w:val="22"/>
                              </w:rPr>
                              <w:t>(5)</w:t>
                            </w:r>
                            <w:r>
                              <w:rPr>
                                <w:sz w:val="22"/>
                              </w:rPr>
                              <w:t xml:space="preserve"> </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60" w:before="0" w:after="283"/>
                        <w:jc w:val="left"/>
                        <w:rPr>
                          <w:sz w:val="22"/>
                        </w:rPr>
                      </w:pPr>
                      <w:r>
                        <w:rPr>
                          <w:spacing w:val="-2"/>
                          <w:sz w:val="22"/>
                        </w:rPr>
                        <w:t>(5)</w:t>
                      </w:r>
                      <w:r>
                        <w:rPr>
                          <w:sz w:val="22"/>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80" w:after="0"/>
        <w:ind w:left="1540" w:right="0" w:hanging="0"/>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The grant date fair values were computed in accordance with Financial Accounting Standards Board Accounting Standards Codification Subtopic 718. See Note 17 to the Consolidated Financial Statements included in our Annual Report on Form 10-K for the year ended December 31, 2025 for a discussion of the relevant assumptions used in calculating these amounts. </w:t>
      </w:r>
      <w:r>
        <mc:AlternateContent>
          <mc:Choice Requires="wps">
            <w:drawing>
              <wp:anchor behindDoc="0" distT="50800" distB="0" distL="0" distR="0" simplePos="0" locked="0" layoutInCell="1" allowOverlap="1" relativeHeight="310">
                <wp:simplePos x="0" y="0"/>
                <wp:positionH relativeFrom="column">
                  <wp:align>left</wp:align>
                </wp:positionH>
                <wp:positionV relativeFrom="line">
                  <wp:align>top</wp:align>
                </wp:positionV>
                <wp:extent cx="254000" cy="330200"/>
                <wp:effectExtent l="0" t="0" r="0" b="0"/>
                <wp:wrapSquare wrapText="right"/>
                <wp:docPr id="284" name="Frame179"/>
                <a:graphic xmlns:a="http://schemas.openxmlformats.org/drawingml/2006/main">
                  <a:graphicData uri="http://schemas.microsoft.com/office/word/2010/wordprocessingShape">
                    <wps:wsp>
                      <wps:cNvSpPr txBox="1"/>
                      <wps:spPr>
                        <a:xfrm>
                          <a:off x="0" y="0"/>
                          <a:ext cx="254000" cy="330200"/>
                        </a:xfrm>
                        <a:prstGeom prst="rect"/>
                        <a:solidFill>
                          <a:srgbClr val="FFFFFF"/>
                        </a:solidFill>
                      </wps:spPr>
                      <wps:txbx>
                        <w:txbxContent>
                          <w:p>
                            <w:pPr>
                              <w:pStyle w:val="TextBody"/>
                              <w:bidi w:val="0"/>
                              <w:spacing w:lineRule="atLeast" w:line="260" w:before="0" w:after="283"/>
                              <w:jc w:val="left"/>
                              <w:rPr>
                                <w:sz w:val="22"/>
                              </w:rPr>
                            </w:pPr>
                            <w:r>
                              <w:rPr>
                                <w:spacing w:val="-2"/>
                                <w:sz w:val="22"/>
                              </w:rPr>
                              <w:t>(6)</w:t>
                            </w:r>
                            <w:r>
                              <w:rPr>
                                <w:sz w:val="22"/>
                              </w:rPr>
                              <w:t xml:space="preserve"> </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60" w:before="0" w:after="283"/>
                        <w:jc w:val="left"/>
                        <w:rPr>
                          <w:sz w:val="22"/>
                        </w:rPr>
                      </w:pPr>
                      <w:r>
                        <w:rPr>
                          <w:spacing w:val="-2"/>
                          <w:sz w:val="22"/>
                        </w:rPr>
                        <w:t>(6)</w:t>
                      </w:r>
                      <w:r>
                        <w:rPr>
                          <w:sz w:val="22"/>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28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95" descr=""/>
                          <pic:cNvPicPr>
                            <a:picLocks noChangeAspect="1" noChangeArrowheads="1"/>
                          </pic:cNvPicPr>
                        </pic:nvPicPr>
                        <pic:blipFill>
                          <a:blip r:embed="rId107"/>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47</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caps w:val="false"/>
          <w:smallCaps w:val="false"/>
          <w:color w:val="FF6A00"/>
        </w:rPr>
      </w:pPr>
      <w:r>
        <w:rPr>
          <w:caps w:val="false"/>
          <w:smallCaps w:val="false"/>
          <w:color w:val="FF6A00"/>
          <w:spacing w:val="-2"/>
        </w:rPr>
        <w:t> </w:t>
      </w:r>
      <w:r>
        <w:rPr>
          <w:caps w:val="false"/>
          <w:smallCaps w:val="false"/>
          <w:color w:val="FF6A00"/>
        </w:rPr>
        <w:t xml:space="preserve"> </w:t>
      </w:r>
    </w:p>
    <w:p>
      <w:pPr>
        <w:pStyle w:val="TextBody"/>
        <w:bidi w:val="0"/>
        <w:spacing w:lineRule="atLeast" w:line="400" w:before="480" w:after="283"/>
        <w:ind w:left="1140" w:right="0" w:hanging="0"/>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2025 Outstanding Equity Awards at Fiscal Year-End</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6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following table sets forth information regarding outstanding equity awards held by our named executive officers as of December 31, 2025:</w:t>
      </w:r>
      <w:r>
        <w:rPr>
          <w:rFonts w:ascii="Arial;Helvetica;sans-serif" w:hAnsi="Arial;Helvetica;sans-serif"/>
          <w:b w:val="false"/>
          <w:i w:val="false"/>
          <w:caps w:val="false"/>
          <w:smallCaps w:val="false"/>
          <w:color w:val="000000"/>
          <w:spacing w:val="4"/>
          <w:sz w:val="22"/>
        </w:rPr>
        <w:t xml:space="preserve"> </w:t>
      </w:r>
    </w:p>
    <w:tbl>
      <w:tblPr>
        <w:tblW w:w="12914" w:type="dxa"/>
        <w:jc w:val="left"/>
        <w:tblInd w:w="1140" w:type="dxa"/>
        <w:tblLayout w:type="fixed"/>
        <w:tblCellMar>
          <w:top w:w="0" w:type="dxa"/>
          <w:left w:w="0" w:type="dxa"/>
          <w:bottom w:w="28" w:type="dxa"/>
          <w:right w:w="0" w:type="dxa"/>
        </w:tblCellMar>
      </w:tblPr>
      <w:tblGrid>
        <w:gridCol w:w="124"/>
        <w:gridCol w:w="894"/>
        <w:gridCol w:w="109"/>
        <w:gridCol w:w="109"/>
        <w:gridCol w:w="109"/>
        <w:gridCol w:w="109"/>
        <w:gridCol w:w="891"/>
        <w:gridCol w:w="112"/>
        <w:gridCol w:w="109"/>
        <w:gridCol w:w="109"/>
        <w:gridCol w:w="134"/>
        <w:gridCol w:w="134"/>
        <w:gridCol w:w="981"/>
        <w:gridCol w:w="135"/>
        <w:gridCol w:w="109"/>
        <w:gridCol w:w="109"/>
        <w:gridCol w:w="109"/>
        <w:gridCol w:w="226"/>
        <w:gridCol w:w="766"/>
        <w:gridCol w:w="109"/>
        <w:gridCol w:w="109"/>
        <w:gridCol w:w="109"/>
        <w:gridCol w:w="109"/>
        <w:gridCol w:w="109"/>
        <w:gridCol w:w="715"/>
        <w:gridCol w:w="109"/>
        <w:gridCol w:w="109"/>
        <w:gridCol w:w="109"/>
        <w:gridCol w:w="109"/>
        <w:gridCol w:w="109"/>
        <w:gridCol w:w="109"/>
        <w:gridCol w:w="796"/>
        <w:gridCol w:w="109"/>
        <w:gridCol w:w="109"/>
        <w:gridCol w:w="109"/>
        <w:gridCol w:w="109"/>
        <w:gridCol w:w="109"/>
        <w:gridCol w:w="1066"/>
        <w:gridCol w:w="109"/>
        <w:gridCol w:w="109"/>
        <w:gridCol w:w="109"/>
        <w:gridCol w:w="109"/>
        <w:gridCol w:w="109"/>
        <w:gridCol w:w="796"/>
        <w:gridCol w:w="109"/>
        <w:gridCol w:w="109"/>
        <w:gridCol w:w="109"/>
        <w:gridCol w:w="109"/>
        <w:gridCol w:w="109"/>
        <w:gridCol w:w="1066"/>
        <w:gridCol w:w="109"/>
        <w:gridCol w:w="154"/>
      </w:tblGrid>
      <w:tr>
        <w:trPr/>
        <w:tc>
          <w:tcPr>
            <w:tcW w:w="124" w:type="dxa"/>
            <w:tcBorders>
              <w:bottom w:val="single" w:sz="2" w:space="0" w:color="FF6A00"/>
            </w:tcBorders>
            <w:shd w:fill="FF6A00" w:val="clear"/>
            <w:vAlign w:val="center"/>
          </w:tcPr>
          <w:p>
            <w:pPr>
              <w:pStyle w:val="TableContents"/>
              <w:bidi w:val="0"/>
              <w:spacing w:before="0" w:after="283"/>
              <w:jc w:val="left"/>
              <w:rPr/>
            </w:pPr>
            <w:r>
              <w:rPr/>
              <w:t>​</w:t>
            </w:r>
          </w:p>
        </w:tc>
        <w:tc>
          <w:tcPr>
            <w:tcW w:w="894" w:type="dxa"/>
            <w:tcBorders>
              <w:bottom w:val="single" w:sz="2" w:space="0" w:color="FF6A00"/>
            </w:tcBorders>
            <w:shd w:fill="FF6A00" w:val="clear"/>
            <w:vAlign w:val="center"/>
          </w:tcPr>
          <w:p>
            <w:pPr>
              <w:pStyle w:val="TableContents"/>
              <w:bidi w:val="0"/>
              <w:spacing w:before="0" w:after="283"/>
              <w:jc w:val="left"/>
              <w:rPr/>
            </w:pPr>
            <w:r>
              <w:rPr/>
              <w:t>​</w:t>
            </w:r>
          </w:p>
        </w:tc>
        <w:tc>
          <w:tcPr>
            <w:tcW w:w="109" w:type="dxa"/>
            <w:tcBorders>
              <w:bottom w:val="single" w:sz="2" w:space="0" w:color="FF6A00"/>
            </w:tcBorders>
            <w:shd w:fill="FF6A00" w:val="clear"/>
            <w:vAlign w:val="center"/>
          </w:tcPr>
          <w:p>
            <w:pPr>
              <w:pStyle w:val="TableContents"/>
              <w:bidi w:val="0"/>
              <w:spacing w:before="0" w:after="283"/>
              <w:jc w:val="left"/>
              <w:rPr/>
            </w:pPr>
            <w:r>
              <w:rPr/>
              <w:t>​</w:t>
            </w:r>
          </w:p>
        </w:tc>
        <w:tc>
          <w:tcPr>
            <w:tcW w:w="109" w:type="dxa"/>
            <w:tcBorders>
              <w:bottom w:val="single" w:sz="2" w:space="0" w:color="FEFEFE"/>
            </w:tcBorders>
            <w:shd w:fill="FF6A00" w:val="clear"/>
            <w:vAlign w:val="center"/>
          </w:tcPr>
          <w:p>
            <w:pPr>
              <w:pStyle w:val="TableContents"/>
              <w:bidi w:val="0"/>
              <w:spacing w:before="0" w:after="283"/>
              <w:jc w:val="left"/>
              <w:rPr/>
            </w:pPr>
            <w:r>
              <w:rPr/>
              <w:t>​</w:t>
            </w:r>
          </w:p>
        </w:tc>
        <w:tc>
          <w:tcPr>
            <w:tcW w:w="5511" w:type="dxa"/>
            <w:gridSpan w:val="22"/>
            <w:tcBorders>
              <w:bottom w:val="single" w:sz="2" w:space="0" w:color="FEFEFE"/>
            </w:tcBorders>
            <w:shd w:fill="FF6A00" w:val="clear"/>
            <w:tcMar>
              <w:bottom w:w="40" w:type="dxa"/>
            </w:tcMar>
            <w:vAlign w:val="center"/>
          </w:tcPr>
          <w:p>
            <w:pPr>
              <w:pStyle w:val="TableContents"/>
              <w:bidi w:val="0"/>
              <w:spacing w:before="0" w:after="0"/>
              <w:jc w:val="center"/>
              <w:rPr>
                <w:spacing w:val="-1"/>
              </w:rPr>
            </w:pPr>
            <w:r>
              <w:rPr>
                <w:spacing w:val="-1"/>
              </w:rPr>
              <w:t xml:space="preserve">Option awards </w:t>
            </w:r>
          </w:p>
        </w:tc>
        <w:tc>
          <w:tcPr>
            <w:tcW w:w="109" w:type="dxa"/>
            <w:tcBorders>
              <w:bottom w:val="single" w:sz="2" w:space="0" w:color="FEFEFE"/>
            </w:tcBorders>
            <w:shd w:fill="FF6A00"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EFEFE"/>
            </w:tcBorders>
            <w:shd w:fill="FF6A00" w:val="clear"/>
            <w:vAlign w:val="center"/>
          </w:tcPr>
          <w:p>
            <w:pPr>
              <w:pStyle w:val="TableContents"/>
              <w:bidi w:val="0"/>
              <w:spacing w:before="0" w:after="283"/>
              <w:jc w:val="left"/>
              <w:rPr/>
            </w:pPr>
            <w:r>
              <w:rPr/>
              <w:t>​</w:t>
            </w:r>
          </w:p>
        </w:tc>
        <w:tc>
          <w:tcPr>
            <w:tcW w:w="5686" w:type="dxa"/>
            <w:gridSpan w:val="22"/>
            <w:tcBorders>
              <w:bottom w:val="single" w:sz="2" w:space="0" w:color="FEFEFE"/>
            </w:tcBorders>
            <w:shd w:fill="FF6A00" w:val="clear"/>
            <w:tcMar>
              <w:bottom w:w="40" w:type="dxa"/>
            </w:tcMar>
            <w:vAlign w:val="center"/>
          </w:tcPr>
          <w:p>
            <w:pPr>
              <w:pStyle w:val="TableContents"/>
              <w:bidi w:val="0"/>
              <w:spacing w:before="0" w:after="0"/>
              <w:jc w:val="center"/>
              <w:rPr>
                <w:spacing w:val="-1"/>
              </w:rPr>
            </w:pPr>
            <w:r>
              <w:rPr>
                <w:spacing w:val="-1"/>
              </w:rPr>
              <w:t xml:space="preserve">Stock awards </w:t>
            </w:r>
          </w:p>
        </w:tc>
        <w:tc>
          <w:tcPr>
            <w:tcW w:w="154" w:type="dxa"/>
            <w:tcBorders>
              <w:bottom w:val="single" w:sz="2" w:space="0" w:color="FEFEFE"/>
            </w:tcBorders>
            <w:shd w:fill="FF6A00" w:val="clear"/>
            <w:vAlign w:val="center"/>
          </w:tcPr>
          <w:p>
            <w:pPr>
              <w:pStyle w:val="TableContents"/>
              <w:bidi w:val="0"/>
              <w:spacing w:before="0" w:after="283"/>
              <w:jc w:val="left"/>
              <w:rPr/>
            </w:pPr>
            <w:r>
              <w:rPr/>
              <w:t>​</w:t>
            </w:r>
          </w:p>
        </w:tc>
      </w:tr>
      <w:tr>
        <w:trPr/>
        <w:tc>
          <w:tcPr>
            <w:tcW w:w="124" w:type="dxa"/>
            <w:tcBorders/>
            <w:shd w:fill="FF6A00" w:val="clear"/>
            <w:tcMar>
              <w:bottom w:w="0" w:type="dxa"/>
            </w:tcMar>
            <w:vAlign w:val="center"/>
          </w:tcPr>
          <w:p>
            <w:pPr>
              <w:pStyle w:val="TableContents"/>
              <w:bidi w:val="0"/>
              <w:spacing w:before="0" w:after="283"/>
              <w:jc w:val="left"/>
              <w:rPr/>
            </w:pPr>
            <w:r>
              <w:rPr/>
              <w:t>​</w:t>
            </w:r>
          </w:p>
        </w:tc>
        <w:tc>
          <w:tcPr>
            <w:tcW w:w="894" w:type="dxa"/>
            <w:tcBorders/>
            <w:shd w:fill="FF6A00" w:val="clear"/>
            <w:tcMar>
              <w:bottom w:w="0" w:type="dxa"/>
            </w:tcMar>
            <w:vAlign w:val="center"/>
          </w:tcPr>
          <w:p>
            <w:pPr>
              <w:pStyle w:val="TableContents"/>
              <w:bidi w:val="0"/>
              <w:spacing w:before="0" w:after="0"/>
              <w:jc w:val="left"/>
              <w:rPr>
                <w:spacing w:val="-1"/>
              </w:rPr>
            </w:pPr>
            <w:r>
              <w:rPr>
                <w:spacing w:val="-1"/>
              </w:rPr>
              <w:t xml:space="preserve">Name </w:t>
            </w:r>
          </w:p>
        </w:tc>
        <w:tc>
          <w:tcPr>
            <w:tcW w:w="109" w:type="dxa"/>
            <w:tcBorders/>
            <w:shd w:fill="FF6A00" w:val="clear"/>
            <w:tcMar>
              <w:bottom w:w="0" w:type="dxa"/>
            </w:tcMar>
            <w:vAlign w:val="center"/>
          </w:tcPr>
          <w:p>
            <w:pPr>
              <w:pStyle w:val="TableContents"/>
              <w:bidi w:val="0"/>
              <w:spacing w:before="0" w:after="283"/>
              <w:jc w:val="left"/>
              <w:rPr/>
            </w:pPr>
            <w:r>
              <w:rPr/>
              <w:t>​</w:t>
            </w:r>
          </w:p>
        </w:tc>
        <w:tc>
          <w:tcPr>
            <w:tcW w:w="109" w:type="dxa"/>
            <w:tcBorders/>
            <w:shd w:fill="FF6A00" w:val="clear"/>
            <w:tcMar>
              <w:bottom w:w="0" w:type="dxa"/>
            </w:tcMar>
            <w:vAlign w:val="center"/>
          </w:tcPr>
          <w:p>
            <w:pPr>
              <w:pStyle w:val="TableContents"/>
              <w:bidi w:val="0"/>
              <w:spacing w:before="0" w:after="283"/>
              <w:jc w:val="left"/>
              <w:rPr/>
            </w:pPr>
            <w:r>
              <w:rPr/>
              <w:t>​</w:t>
            </w:r>
          </w:p>
        </w:tc>
        <w:tc>
          <w:tcPr>
            <w:tcW w:w="1221" w:type="dxa"/>
            <w:gridSpan w:val="4"/>
            <w:tcBorders/>
            <w:shd w:fill="FF6A00" w:val="clear"/>
            <w:tcMar>
              <w:bottom w:w="0" w:type="dxa"/>
            </w:tcMar>
            <w:vAlign w:val="center"/>
          </w:tcPr>
          <w:p>
            <w:pPr>
              <w:pStyle w:val="TableContents"/>
              <w:bidi w:val="0"/>
              <w:spacing w:before="0" w:after="0"/>
              <w:jc w:val="center"/>
              <w:rPr>
                <w:spacing w:val="-1"/>
              </w:rPr>
            </w:pPr>
            <w:r>
              <w:rPr>
                <w:spacing w:val="-1"/>
              </w:rPr>
              <w:t xml:space="preserve">Number of </w:t>
              <w:br/>
              <w:t xml:space="preserve">securities </w:t>
              <w:br/>
              <w:t xml:space="preserve">underlying </w:t>
              <w:br/>
              <w:t xml:space="preserve">unexercised </w:t>
              <w:br/>
              <w:t xml:space="preserve">options (#) </w:t>
              <w:br/>
              <w:t xml:space="preserve">exercisable </w:t>
            </w:r>
          </w:p>
        </w:tc>
        <w:tc>
          <w:tcPr>
            <w:tcW w:w="109" w:type="dxa"/>
            <w:tcBorders/>
            <w:shd w:fill="FF6A00" w:val="clear"/>
            <w:tcMar>
              <w:bottom w:w="0" w:type="dxa"/>
            </w:tcMar>
            <w:vAlign w:val="center"/>
          </w:tcPr>
          <w:p>
            <w:pPr>
              <w:pStyle w:val="TableContents"/>
              <w:bidi w:val="0"/>
              <w:spacing w:before="0" w:after="283"/>
              <w:jc w:val="left"/>
              <w:rPr/>
            </w:pPr>
            <w:r>
              <w:rPr/>
              <w:t>​</w:t>
            </w:r>
          </w:p>
        </w:tc>
        <w:tc>
          <w:tcPr>
            <w:tcW w:w="109" w:type="dxa"/>
            <w:tcBorders/>
            <w:shd w:fill="FF6A00" w:val="clear"/>
            <w:tcMar>
              <w:bottom w:w="0" w:type="dxa"/>
            </w:tcMar>
            <w:vAlign w:val="center"/>
          </w:tcPr>
          <w:p>
            <w:pPr>
              <w:pStyle w:val="TableContents"/>
              <w:bidi w:val="0"/>
              <w:spacing w:before="0" w:after="283"/>
              <w:jc w:val="left"/>
              <w:rPr/>
            </w:pPr>
            <w:r>
              <w:rPr/>
              <w:t>​</w:t>
            </w:r>
          </w:p>
        </w:tc>
        <w:tc>
          <w:tcPr>
            <w:tcW w:w="1384" w:type="dxa"/>
            <w:gridSpan w:val="4"/>
            <w:tcBorders/>
            <w:shd w:fill="FF6A00" w:val="clear"/>
            <w:tcMar>
              <w:bottom w:w="0" w:type="dxa"/>
            </w:tcMar>
            <w:vAlign w:val="center"/>
          </w:tcPr>
          <w:p>
            <w:pPr>
              <w:pStyle w:val="TableContents"/>
              <w:bidi w:val="0"/>
              <w:spacing w:before="0" w:after="0"/>
              <w:jc w:val="center"/>
              <w:rPr>
                <w:spacing w:val="-1"/>
              </w:rPr>
            </w:pPr>
            <w:r>
              <w:rPr>
                <w:spacing w:val="-1"/>
              </w:rPr>
              <w:t xml:space="preserve">Number of </w:t>
              <w:br/>
              <w:t xml:space="preserve">securities </w:t>
              <w:br/>
              <w:t xml:space="preserve">underlying </w:t>
              <w:br/>
              <w:t xml:space="preserve">unexercised </w:t>
              <w:br/>
              <w:t xml:space="preserve">options (#) </w:t>
              <w:br/>
              <w:t xml:space="preserve">unexercisable </w:t>
            </w:r>
          </w:p>
        </w:tc>
        <w:tc>
          <w:tcPr>
            <w:tcW w:w="109" w:type="dxa"/>
            <w:tcBorders/>
            <w:shd w:fill="FF6A00" w:val="clear"/>
            <w:tcMar>
              <w:bottom w:w="0" w:type="dxa"/>
            </w:tcMar>
            <w:vAlign w:val="center"/>
          </w:tcPr>
          <w:p>
            <w:pPr>
              <w:pStyle w:val="TableContents"/>
              <w:bidi w:val="0"/>
              <w:spacing w:before="0" w:after="283"/>
              <w:jc w:val="left"/>
              <w:rPr/>
            </w:pPr>
            <w:r>
              <w:rPr/>
              <w:t>​</w:t>
            </w:r>
          </w:p>
        </w:tc>
        <w:tc>
          <w:tcPr>
            <w:tcW w:w="109" w:type="dxa"/>
            <w:tcBorders/>
            <w:shd w:fill="FF6A00" w:val="clear"/>
            <w:tcMar>
              <w:bottom w:w="0" w:type="dxa"/>
            </w:tcMar>
            <w:vAlign w:val="center"/>
          </w:tcPr>
          <w:p>
            <w:pPr>
              <w:pStyle w:val="TableContents"/>
              <w:bidi w:val="0"/>
              <w:spacing w:before="0" w:after="283"/>
              <w:jc w:val="left"/>
              <w:rPr/>
            </w:pPr>
            <w:r>
              <w:rPr/>
              <w:t>​</w:t>
            </w:r>
          </w:p>
        </w:tc>
        <w:tc>
          <w:tcPr>
            <w:tcW w:w="1210" w:type="dxa"/>
            <w:gridSpan w:val="4"/>
            <w:tcBorders/>
            <w:shd w:fill="FF6A00" w:val="clear"/>
            <w:tcMar>
              <w:bottom w:w="0" w:type="dxa"/>
            </w:tcMar>
            <w:vAlign w:val="center"/>
          </w:tcPr>
          <w:p>
            <w:pPr>
              <w:pStyle w:val="TableContents"/>
              <w:bidi w:val="0"/>
              <w:spacing w:before="0" w:after="0"/>
              <w:jc w:val="center"/>
              <w:rPr>
                <w:spacing w:val="-1"/>
              </w:rPr>
            </w:pPr>
            <w:r>
              <w:rPr>
                <w:spacing w:val="-1"/>
              </w:rPr>
              <w:t xml:space="preserve">Option </w:t>
              <w:br/>
              <w:t xml:space="preserve">exercise </w:t>
              <w:br/>
              <w:t xml:space="preserve">price </w:t>
              <w:br/>
              <w:t xml:space="preserve">($) </w:t>
            </w:r>
          </w:p>
        </w:tc>
        <w:tc>
          <w:tcPr>
            <w:tcW w:w="109" w:type="dxa"/>
            <w:tcBorders/>
            <w:shd w:fill="FF6A00" w:val="clear"/>
            <w:tcMar>
              <w:bottom w:w="0" w:type="dxa"/>
            </w:tcMar>
            <w:vAlign w:val="center"/>
          </w:tcPr>
          <w:p>
            <w:pPr>
              <w:pStyle w:val="TableContents"/>
              <w:bidi w:val="0"/>
              <w:spacing w:before="0" w:after="283"/>
              <w:jc w:val="left"/>
              <w:rPr/>
            </w:pPr>
            <w:r>
              <w:rPr/>
              <w:t>​</w:t>
            </w:r>
          </w:p>
        </w:tc>
        <w:tc>
          <w:tcPr>
            <w:tcW w:w="109" w:type="dxa"/>
            <w:tcBorders/>
            <w:shd w:fill="FF6A00" w:val="clear"/>
            <w:tcMar>
              <w:bottom w:w="0" w:type="dxa"/>
            </w:tcMar>
            <w:vAlign w:val="center"/>
          </w:tcPr>
          <w:p>
            <w:pPr>
              <w:pStyle w:val="TableContents"/>
              <w:bidi w:val="0"/>
              <w:spacing w:before="0" w:after="283"/>
              <w:jc w:val="left"/>
              <w:rPr/>
            </w:pPr>
            <w:r>
              <w:rPr/>
              <w:t>​</w:t>
            </w:r>
          </w:p>
        </w:tc>
        <w:tc>
          <w:tcPr>
            <w:tcW w:w="1042" w:type="dxa"/>
            <w:gridSpan w:val="4"/>
            <w:tcBorders/>
            <w:shd w:fill="FF6A00" w:val="clear"/>
            <w:tcMar>
              <w:bottom w:w="0" w:type="dxa"/>
            </w:tcMar>
            <w:vAlign w:val="center"/>
          </w:tcPr>
          <w:p>
            <w:pPr>
              <w:pStyle w:val="TableContents"/>
              <w:bidi w:val="0"/>
              <w:spacing w:before="0" w:after="0"/>
              <w:jc w:val="center"/>
              <w:rPr>
                <w:spacing w:val="-1"/>
              </w:rPr>
            </w:pPr>
            <w:r>
              <w:rPr>
                <w:spacing w:val="-1"/>
              </w:rPr>
              <w:t xml:space="preserve">Option </w:t>
              <w:br/>
              <w:t xml:space="preserve">expiration </w:t>
              <w:br/>
              <w:t xml:space="preserve">date </w:t>
            </w:r>
          </w:p>
        </w:tc>
        <w:tc>
          <w:tcPr>
            <w:tcW w:w="109" w:type="dxa"/>
            <w:tcBorders/>
            <w:shd w:fill="FF6A00"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FF6A00" w:val="clear"/>
            <w:tcMar>
              <w:bottom w:w="0" w:type="dxa"/>
            </w:tcMar>
            <w:vAlign w:val="center"/>
          </w:tcPr>
          <w:p>
            <w:pPr>
              <w:pStyle w:val="TableContents"/>
              <w:bidi w:val="0"/>
              <w:spacing w:before="0" w:after="283"/>
              <w:jc w:val="left"/>
              <w:rPr/>
            </w:pPr>
            <w:r>
              <w:rPr/>
              <w:t>​</w:t>
            </w:r>
          </w:p>
        </w:tc>
        <w:tc>
          <w:tcPr>
            <w:tcW w:w="1123" w:type="dxa"/>
            <w:gridSpan w:val="4"/>
            <w:tcBorders/>
            <w:shd w:fill="FF6A00" w:val="clear"/>
            <w:tcMar>
              <w:bottom w:w="0" w:type="dxa"/>
            </w:tcMar>
            <w:vAlign w:val="center"/>
          </w:tcPr>
          <w:p>
            <w:pPr>
              <w:pStyle w:val="TableContents"/>
              <w:bidi w:val="0"/>
              <w:spacing w:before="0" w:after="0"/>
              <w:jc w:val="center"/>
              <w:rPr>
                <w:spacing w:val="-1"/>
              </w:rPr>
            </w:pPr>
            <w:r>
              <w:rPr>
                <w:spacing w:val="-1"/>
              </w:rPr>
              <w:t xml:space="preserve">Number of </w:t>
              <w:br/>
              <w:t xml:space="preserve">shares or </w:t>
              <w:br/>
              <w:t xml:space="preserve">units of stock </w:t>
              <w:br/>
              <w:t xml:space="preserve">that have </w:t>
              <w:br/>
              <w:t xml:space="preserve">not vested </w:t>
              <w:br/>
              <w:t xml:space="preserve">(#) </w:t>
            </w:r>
          </w:p>
        </w:tc>
        <w:tc>
          <w:tcPr>
            <w:tcW w:w="109" w:type="dxa"/>
            <w:tcBorders/>
            <w:shd w:fill="FF6A00" w:val="clear"/>
            <w:tcMar>
              <w:bottom w:w="0" w:type="dxa"/>
            </w:tcMar>
            <w:vAlign w:val="center"/>
          </w:tcPr>
          <w:p>
            <w:pPr>
              <w:pStyle w:val="TableContents"/>
              <w:bidi w:val="0"/>
              <w:spacing w:before="0" w:after="283"/>
              <w:jc w:val="left"/>
              <w:rPr/>
            </w:pPr>
            <w:r>
              <w:rPr/>
              <w:t>​</w:t>
            </w:r>
          </w:p>
        </w:tc>
        <w:tc>
          <w:tcPr>
            <w:tcW w:w="109" w:type="dxa"/>
            <w:tcBorders/>
            <w:shd w:fill="FF6A00" w:val="clear"/>
            <w:tcMar>
              <w:bottom w:w="0" w:type="dxa"/>
            </w:tcMar>
            <w:vAlign w:val="center"/>
          </w:tcPr>
          <w:p>
            <w:pPr>
              <w:pStyle w:val="TableContents"/>
              <w:bidi w:val="0"/>
              <w:spacing w:before="0" w:after="283"/>
              <w:jc w:val="left"/>
              <w:rPr/>
            </w:pPr>
            <w:r>
              <w:rPr/>
              <w:t>​</w:t>
            </w:r>
          </w:p>
        </w:tc>
        <w:tc>
          <w:tcPr>
            <w:tcW w:w="1393" w:type="dxa"/>
            <w:gridSpan w:val="4"/>
            <w:tcBorders/>
            <w:shd w:fill="FF6A00" w:val="clear"/>
            <w:tcMar>
              <w:bottom w:w="0" w:type="dxa"/>
            </w:tcMar>
            <w:vAlign w:val="center"/>
          </w:tcPr>
          <w:p>
            <w:pPr>
              <w:pStyle w:val="TableContents"/>
              <w:bidi w:val="0"/>
              <w:spacing w:before="0" w:after="0"/>
              <w:jc w:val="center"/>
              <w:rPr>
                <w:spacing w:val="-1"/>
              </w:rPr>
            </w:pPr>
            <w:r>
              <w:rPr>
                <w:spacing w:val="-1"/>
              </w:rPr>
              <w:t xml:space="preserve">Market value </w:t>
              <w:br/>
              <w:t xml:space="preserve">of shares or </w:t>
              <w:br/>
              <w:t xml:space="preserve">units of </w:t>
              <w:br/>
              <w:t xml:space="preserve">stock </w:t>
              <w:br/>
              <w:t xml:space="preserve">that have </w:t>
              <w:br/>
              <w:t xml:space="preserve">not vested </w:t>
              <w:br/>
              <w:t xml:space="preserve">($) </w:t>
            </w:r>
          </w:p>
        </w:tc>
        <w:tc>
          <w:tcPr>
            <w:tcW w:w="109" w:type="dxa"/>
            <w:tcBorders/>
            <w:shd w:fill="FF6A00" w:val="clear"/>
            <w:tcMar>
              <w:bottom w:w="0" w:type="dxa"/>
            </w:tcMar>
            <w:vAlign w:val="center"/>
          </w:tcPr>
          <w:p>
            <w:pPr>
              <w:pStyle w:val="TableContents"/>
              <w:bidi w:val="0"/>
              <w:spacing w:before="0" w:after="283"/>
              <w:jc w:val="left"/>
              <w:rPr/>
            </w:pPr>
            <w:r>
              <w:rPr/>
              <w:t>​</w:t>
            </w:r>
          </w:p>
        </w:tc>
        <w:tc>
          <w:tcPr>
            <w:tcW w:w="109" w:type="dxa"/>
            <w:tcBorders/>
            <w:shd w:fill="FF6A00" w:val="clear"/>
            <w:tcMar>
              <w:bottom w:w="0" w:type="dxa"/>
            </w:tcMar>
            <w:vAlign w:val="center"/>
          </w:tcPr>
          <w:p>
            <w:pPr>
              <w:pStyle w:val="TableContents"/>
              <w:bidi w:val="0"/>
              <w:spacing w:before="0" w:after="283"/>
              <w:jc w:val="left"/>
              <w:rPr/>
            </w:pPr>
            <w:r>
              <w:rPr/>
              <w:t>​</w:t>
            </w:r>
          </w:p>
        </w:tc>
        <w:tc>
          <w:tcPr>
            <w:tcW w:w="1123" w:type="dxa"/>
            <w:gridSpan w:val="4"/>
            <w:tcBorders/>
            <w:shd w:fill="FF6A00" w:val="clear"/>
            <w:tcMar>
              <w:bottom w:w="0" w:type="dxa"/>
            </w:tcMar>
            <w:vAlign w:val="center"/>
          </w:tcPr>
          <w:p>
            <w:pPr>
              <w:pStyle w:val="TableContents"/>
              <w:bidi w:val="0"/>
              <w:spacing w:before="0" w:after="0"/>
              <w:jc w:val="center"/>
              <w:rPr>
                <w:spacing w:val="-1"/>
              </w:rPr>
            </w:pPr>
            <w:r>
              <w:rPr>
                <w:spacing w:val="-1"/>
              </w:rPr>
              <w:t xml:space="preserve">Equity incentive </w:t>
              <w:br/>
              <w:t xml:space="preserve">plan awards: </w:t>
              <w:br/>
              <w:t xml:space="preserve">number of </w:t>
              <w:br/>
              <w:t xml:space="preserve">unearned </w:t>
              <w:br/>
              <w:t xml:space="preserve">shares, units or </w:t>
              <w:br/>
              <w:t xml:space="preserve">other rights </w:t>
              <w:br/>
              <w:t xml:space="preserve">that have not </w:t>
              <w:br/>
              <w:t xml:space="preserve">vested (#) </w:t>
            </w:r>
          </w:p>
        </w:tc>
        <w:tc>
          <w:tcPr>
            <w:tcW w:w="109" w:type="dxa"/>
            <w:tcBorders/>
            <w:shd w:fill="FF6A00" w:val="clear"/>
            <w:tcMar>
              <w:bottom w:w="0" w:type="dxa"/>
            </w:tcMar>
            <w:vAlign w:val="center"/>
          </w:tcPr>
          <w:p>
            <w:pPr>
              <w:pStyle w:val="TableContents"/>
              <w:bidi w:val="0"/>
              <w:spacing w:before="0" w:after="283"/>
              <w:jc w:val="left"/>
              <w:rPr/>
            </w:pPr>
            <w:r>
              <w:rPr/>
              <w:t>​</w:t>
            </w:r>
          </w:p>
        </w:tc>
        <w:tc>
          <w:tcPr>
            <w:tcW w:w="109" w:type="dxa"/>
            <w:tcBorders/>
            <w:shd w:fill="FF6A00" w:val="clear"/>
            <w:tcMar>
              <w:bottom w:w="0" w:type="dxa"/>
            </w:tcMar>
            <w:vAlign w:val="center"/>
          </w:tcPr>
          <w:p>
            <w:pPr>
              <w:pStyle w:val="TableContents"/>
              <w:bidi w:val="0"/>
              <w:spacing w:before="0" w:after="283"/>
              <w:jc w:val="left"/>
              <w:rPr/>
            </w:pPr>
            <w:r>
              <w:rPr/>
              <w:t>​</w:t>
            </w:r>
          </w:p>
        </w:tc>
        <w:tc>
          <w:tcPr>
            <w:tcW w:w="1393" w:type="dxa"/>
            <w:gridSpan w:val="4"/>
            <w:tcBorders/>
            <w:shd w:fill="FF6A00" w:val="clear"/>
            <w:tcMar>
              <w:bottom w:w="0" w:type="dxa"/>
            </w:tcMar>
            <w:vAlign w:val="center"/>
          </w:tcPr>
          <w:p>
            <w:pPr>
              <w:pStyle w:val="TableContents"/>
              <w:bidi w:val="0"/>
              <w:spacing w:before="0" w:after="0"/>
              <w:jc w:val="center"/>
              <w:rPr>
                <w:spacing w:val="-1"/>
              </w:rPr>
            </w:pPr>
            <w:r>
              <w:rPr>
                <w:spacing w:val="-1"/>
              </w:rPr>
              <w:t xml:space="preserve">Equity incentive </w:t>
              <w:br/>
              <w:t xml:space="preserve">plan awards: </w:t>
              <w:br/>
              <w:t xml:space="preserve">market or </w:t>
              <w:br/>
              <w:t xml:space="preserve">payout value of </w:t>
              <w:br/>
              <w:t xml:space="preserve">unearned </w:t>
              <w:br/>
              <w:t xml:space="preserve">shares, units or </w:t>
              <w:br/>
              <w:t xml:space="preserve">other rights </w:t>
              <w:br/>
              <w:t xml:space="preserve">that have not </w:t>
              <w:br/>
              <w:t xml:space="preserve">vested ($) </w:t>
            </w:r>
          </w:p>
        </w:tc>
        <w:tc>
          <w:tcPr>
            <w:tcW w:w="154" w:type="dxa"/>
            <w:tcBorders/>
            <w:shd w:fill="FF6A00" w:val="clear"/>
            <w:tcMar>
              <w:bottom w:w="0" w:type="dxa"/>
            </w:tcMar>
            <w:vAlign w:val="center"/>
          </w:tcPr>
          <w:p>
            <w:pPr>
              <w:pStyle w:val="TableContents"/>
              <w:bidi w:val="0"/>
              <w:spacing w:before="0" w:after="283"/>
              <w:jc w:val="left"/>
              <w:rPr/>
            </w:pPr>
            <w:r>
              <w:rPr/>
              <w:t>​</w:t>
            </w:r>
          </w:p>
        </w:tc>
      </w:tr>
      <w:tr>
        <w:trPr/>
        <w:tc>
          <w:tcPr>
            <w:tcW w:w="124" w:type="dxa"/>
            <w:vMerge w:val="restart"/>
            <w:tcBorders/>
            <w:tcMar>
              <w:bottom w:w="0" w:type="dxa"/>
            </w:tcMar>
            <w:vAlign w:val="center"/>
          </w:tcPr>
          <w:p>
            <w:pPr>
              <w:pStyle w:val="TableContents"/>
              <w:bidi w:val="0"/>
              <w:spacing w:before="0" w:after="283"/>
              <w:jc w:val="left"/>
              <w:rPr/>
            </w:pPr>
            <w:r>
              <w:rPr/>
              <w:t>​</w:t>
            </w:r>
          </w:p>
        </w:tc>
        <w:tc>
          <w:tcPr>
            <w:tcW w:w="894" w:type="dxa"/>
            <w:vMerge w:val="restart"/>
            <w:tcBorders/>
            <w:tcMar>
              <w:bottom w:w="0" w:type="dxa"/>
            </w:tcMar>
            <w:vAlign w:val="center"/>
          </w:tcPr>
          <w:p>
            <w:pPr>
              <w:pStyle w:val="TableContents"/>
              <w:bidi w:val="0"/>
              <w:spacing w:lineRule="atLeast" w:line="180" w:before="0" w:after="0"/>
              <w:jc w:val="left"/>
              <w:rPr>
                <w:spacing w:val="-1"/>
              </w:rPr>
            </w:pPr>
            <w:r>
              <w:rPr>
                <w:spacing w:val="-1"/>
              </w:rPr>
              <w:t xml:space="preserve">Aaron Jagdfeld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80" w:before="0" w:after="283"/>
              <w:jc w:val="right"/>
              <w:rPr/>
            </w:pPr>
            <w:r>
              <w:rPr/>
              <w:t>​</w:t>
            </w:r>
          </w:p>
        </w:tc>
        <w:tc>
          <w:tcPr>
            <w:tcW w:w="891" w:type="dxa"/>
            <w:tcBorders/>
            <w:tcMar>
              <w:bottom w:w="0" w:type="dxa"/>
            </w:tcMar>
            <w:vAlign w:val="center"/>
          </w:tcPr>
          <w:p>
            <w:pPr>
              <w:pStyle w:val="TableContents"/>
              <w:bidi w:val="0"/>
              <w:spacing w:lineRule="atLeast" w:line="180" w:before="0" w:after="283"/>
              <w:jc w:val="right"/>
              <w:rPr/>
            </w:pPr>
            <w:r>
              <w:rPr/>
              <w:t>109,052</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lineRule="atLeast" w:line="180" w:before="0" w:after="283"/>
              <w:jc w:val="right"/>
              <w:rPr/>
            </w:pPr>
            <w:r>
              <w:rPr/>
              <w:t>​</w:t>
            </w:r>
          </w:p>
        </w:tc>
        <w:tc>
          <w:tcPr>
            <w:tcW w:w="981" w:type="dxa"/>
            <w:tcBorders/>
            <w:tcMar>
              <w:bottom w:w="0" w:type="dxa"/>
            </w:tcMar>
            <w:vAlign w:val="center"/>
          </w:tcPr>
          <w:p>
            <w:pPr>
              <w:pStyle w:val="TableContents"/>
              <w:bidi w:val="0"/>
              <w:spacing w:lineRule="atLeast" w:line="180" w:before="0" w:after="283"/>
              <w:jc w:val="right"/>
              <w:rPr/>
            </w:pPr>
            <w:r>
              <w:rPr/>
              <w:t>—</w:t>
            </w:r>
            <w:r>
              <w:rPr>
                <w:sz w:val="9"/>
              </w:rPr>
              <w:t>(1)</w:t>
            </w:r>
            <w:r>
              <w:rPr/>
              <w:t xml:space="preserve"> </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180" w:before="0" w:after="283"/>
              <w:jc w:val="right"/>
              <w:rPr/>
            </w:pPr>
            <w:r>
              <w:rPr/>
              <w:t>$</w:t>
            </w:r>
          </w:p>
        </w:tc>
        <w:tc>
          <w:tcPr>
            <w:tcW w:w="766" w:type="dxa"/>
            <w:tcBorders/>
            <w:tcMar>
              <w:bottom w:w="0" w:type="dxa"/>
            </w:tcMar>
            <w:vAlign w:val="center"/>
          </w:tcPr>
          <w:p>
            <w:pPr>
              <w:pStyle w:val="TableContents"/>
              <w:bidi w:val="0"/>
              <w:spacing w:lineRule="atLeast" w:line="180" w:before="0" w:after="283"/>
              <w:jc w:val="right"/>
              <w:rPr/>
            </w:pPr>
            <w:r>
              <w:rPr/>
              <w:t>33.23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80" w:before="0" w:after="283"/>
              <w:jc w:val="right"/>
              <w:rPr/>
            </w:pPr>
            <w:r>
              <w:rPr/>
              <w:t>​</w:t>
            </w:r>
          </w:p>
        </w:tc>
        <w:tc>
          <w:tcPr>
            <w:tcW w:w="715" w:type="dxa"/>
            <w:tcBorders/>
            <w:tcMar>
              <w:bottom w:w="0" w:type="dxa"/>
            </w:tcMar>
            <w:vAlign w:val="center"/>
          </w:tcPr>
          <w:p>
            <w:pPr>
              <w:pStyle w:val="TableContents"/>
              <w:bidi w:val="0"/>
              <w:spacing w:lineRule="atLeast" w:line="180" w:before="0" w:after="283"/>
              <w:jc w:val="right"/>
              <w:rPr/>
            </w:pPr>
            <w:r>
              <w:rPr/>
              <w:t>02/18/26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80" w:before="0" w:after="283"/>
              <w:jc w:val="right"/>
              <w:rPr/>
            </w:pPr>
            <w:r>
              <w:rPr/>
              <w:t>​</w:t>
            </w:r>
          </w:p>
        </w:tc>
        <w:tc>
          <w:tcPr>
            <w:tcW w:w="796" w:type="dxa"/>
            <w:tcBorders/>
            <w:tcMar>
              <w:bottom w:w="0" w:type="dxa"/>
            </w:tcMar>
            <w:vAlign w:val="center"/>
          </w:tcPr>
          <w:p>
            <w:pPr>
              <w:pStyle w:val="TableContents"/>
              <w:bidi w:val="0"/>
              <w:spacing w:lineRule="atLeast" w:line="18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80" w:before="0" w:after="283"/>
              <w:jc w:val="right"/>
              <w:rPr/>
            </w:pPr>
            <w:r>
              <w:rPr/>
              <w:t>​</w:t>
            </w:r>
          </w:p>
        </w:tc>
        <w:tc>
          <w:tcPr>
            <w:tcW w:w="1066" w:type="dxa"/>
            <w:tcBorders/>
            <w:tcMar>
              <w:bottom w:w="0" w:type="dxa"/>
            </w:tcMar>
            <w:vAlign w:val="center"/>
          </w:tcPr>
          <w:p>
            <w:pPr>
              <w:pStyle w:val="TableContents"/>
              <w:bidi w:val="0"/>
              <w:spacing w:lineRule="atLeast" w:line="18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80" w:before="0" w:after="283"/>
              <w:jc w:val="right"/>
              <w:rPr/>
            </w:pPr>
            <w:r>
              <w:rPr/>
              <w:t>​</w:t>
            </w:r>
          </w:p>
        </w:tc>
        <w:tc>
          <w:tcPr>
            <w:tcW w:w="796" w:type="dxa"/>
            <w:tcBorders/>
            <w:tcMar>
              <w:bottom w:w="0" w:type="dxa"/>
            </w:tcMar>
            <w:vAlign w:val="center"/>
          </w:tcPr>
          <w:p>
            <w:pPr>
              <w:pStyle w:val="TableContents"/>
              <w:bidi w:val="0"/>
              <w:spacing w:lineRule="atLeast" w:line="18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80" w:before="0" w:after="283"/>
              <w:jc w:val="right"/>
              <w:rPr/>
            </w:pPr>
            <w:r>
              <w:rPr/>
              <w:t>​</w:t>
            </w:r>
          </w:p>
        </w:tc>
        <w:tc>
          <w:tcPr>
            <w:tcW w:w="1066" w:type="dxa"/>
            <w:tcBorders/>
            <w:tcMar>
              <w:bottom w:w="0" w:type="dxa"/>
            </w:tcMar>
            <w:vAlign w:val="center"/>
          </w:tcPr>
          <w:p>
            <w:pPr>
              <w:pStyle w:val="TableContents"/>
              <w:bidi w:val="0"/>
              <w:spacing w:lineRule="atLeast" w:line="18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894"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1" w:type="dxa"/>
            <w:tcBorders/>
            <w:tcMar>
              <w:bottom w:w="0" w:type="dxa"/>
            </w:tcMar>
            <w:vAlign w:val="center"/>
          </w:tcPr>
          <w:p>
            <w:pPr>
              <w:pStyle w:val="TableContents"/>
              <w:bidi w:val="0"/>
              <w:spacing w:before="0" w:after="283"/>
              <w:jc w:val="right"/>
              <w:rPr/>
            </w:pPr>
            <w:r>
              <w:rPr/>
              <w:t>95,069</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right"/>
              <w:rPr/>
            </w:pPr>
            <w:r>
              <w:rPr/>
              <w:t>​</w:t>
            </w:r>
          </w:p>
        </w:tc>
        <w:tc>
          <w:tcPr>
            <w:tcW w:w="981" w:type="dxa"/>
            <w:tcBorders/>
            <w:tcMar>
              <w:bottom w:w="0" w:type="dxa"/>
            </w:tcMar>
            <w:vAlign w:val="center"/>
          </w:tcPr>
          <w:p>
            <w:pPr>
              <w:pStyle w:val="TableContents"/>
              <w:bidi w:val="0"/>
              <w:spacing w:before="0" w:after="283"/>
              <w:jc w:val="right"/>
              <w:rPr/>
            </w:pPr>
            <w:r>
              <w:rPr/>
              <w:t>—</w:t>
            </w:r>
            <w:r>
              <w:rPr>
                <w:sz w:val="9"/>
              </w:rPr>
              <w:t>(2)</w:t>
            </w:r>
            <w:r>
              <w:rPr/>
              <w:t xml:space="preserve"> </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40.12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03/01/27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894"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1" w:type="dxa"/>
            <w:tcBorders/>
            <w:tcMar>
              <w:bottom w:w="0" w:type="dxa"/>
            </w:tcMar>
            <w:vAlign w:val="center"/>
          </w:tcPr>
          <w:p>
            <w:pPr>
              <w:pStyle w:val="TableContents"/>
              <w:bidi w:val="0"/>
              <w:spacing w:before="0" w:after="283"/>
              <w:jc w:val="right"/>
              <w:rPr/>
            </w:pPr>
            <w:r>
              <w:rPr/>
              <w:t>94,044</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right"/>
              <w:rPr/>
            </w:pPr>
            <w:r>
              <w:rPr/>
              <w:t>​</w:t>
            </w:r>
          </w:p>
        </w:tc>
        <w:tc>
          <w:tcPr>
            <w:tcW w:w="981" w:type="dxa"/>
            <w:tcBorders/>
            <w:tcMar>
              <w:bottom w:w="0" w:type="dxa"/>
            </w:tcMar>
            <w:vAlign w:val="center"/>
          </w:tcPr>
          <w:p>
            <w:pPr>
              <w:pStyle w:val="TableContents"/>
              <w:bidi w:val="0"/>
              <w:spacing w:before="0" w:after="283"/>
              <w:jc w:val="right"/>
              <w:rPr/>
            </w:pPr>
            <w:r>
              <w:rPr/>
              <w:t>—</w:t>
            </w:r>
            <w:r>
              <w:rPr>
                <w:sz w:val="9"/>
              </w:rPr>
              <w:t>(3)</w:t>
            </w:r>
            <w:r>
              <w:rPr/>
              <w:t xml:space="preserve"> </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43.88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03/01/28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894"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1" w:type="dxa"/>
            <w:tcBorders/>
            <w:tcMar>
              <w:bottom w:w="0" w:type="dxa"/>
            </w:tcMar>
            <w:vAlign w:val="center"/>
          </w:tcPr>
          <w:p>
            <w:pPr>
              <w:pStyle w:val="TableContents"/>
              <w:bidi w:val="0"/>
              <w:spacing w:before="0" w:after="283"/>
              <w:jc w:val="right"/>
              <w:rPr/>
            </w:pPr>
            <w:r>
              <w:rPr/>
              <w:t>90,533</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right"/>
              <w:rPr/>
            </w:pPr>
            <w:r>
              <w:rPr/>
              <w:t>​</w:t>
            </w:r>
          </w:p>
        </w:tc>
        <w:tc>
          <w:tcPr>
            <w:tcW w:w="981" w:type="dxa"/>
            <w:tcBorders/>
            <w:tcMar>
              <w:bottom w:w="0" w:type="dxa"/>
            </w:tcMar>
            <w:vAlign w:val="center"/>
          </w:tcPr>
          <w:p>
            <w:pPr>
              <w:pStyle w:val="TableContents"/>
              <w:bidi w:val="0"/>
              <w:spacing w:before="0" w:after="283"/>
              <w:jc w:val="right"/>
              <w:rPr/>
            </w:pPr>
            <w:r>
              <w:rPr/>
              <w:t>—</w:t>
            </w:r>
            <w:r>
              <w:rPr>
                <w:sz w:val="9"/>
              </w:rPr>
              <w:t>(4)</w:t>
            </w:r>
            <w:r>
              <w:rPr/>
              <w:t xml:space="preserve"> </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52.07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03/01/29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894"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1" w:type="dxa"/>
            <w:tcBorders/>
            <w:tcMar>
              <w:bottom w:w="0" w:type="dxa"/>
            </w:tcMar>
            <w:vAlign w:val="center"/>
          </w:tcPr>
          <w:p>
            <w:pPr>
              <w:pStyle w:val="TableContents"/>
              <w:bidi w:val="0"/>
              <w:spacing w:before="0" w:after="283"/>
              <w:jc w:val="right"/>
              <w:rPr/>
            </w:pPr>
            <w:r>
              <w:rPr/>
              <w:t>37,762</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right"/>
              <w:rPr/>
            </w:pPr>
            <w:r>
              <w:rPr/>
              <w:t>​</w:t>
            </w:r>
          </w:p>
        </w:tc>
        <w:tc>
          <w:tcPr>
            <w:tcW w:w="981" w:type="dxa"/>
            <w:tcBorders/>
            <w:tcMar>
              <w:bottom w:w="0" w:type="dxa"/>
            </w:tcMar>
            <w:vAlign w:val="center"/>
          </w:tcPr>
          <w:p>
            <w:pPr>
              <w:pStyle w:val="TableContents"/>
              <w:bidi w:val="0"/>
              <w:spacing w:before="0" w:after="283"/>
              <w:jc w:val="right"/>
              <w:rPr/>
            </w:pPr>
            <w:r>
              <w:rPr/>
              <w:t>—</w:t>
            </w:r>
            <w:r>
              <w:rPr>
                <w:sz w:val="9"/>
              </w:rPr>
              <w:t>(5)</w:t>
            </w:r>
            <w:r>
              <w:rPr/>
              <w:t xml:space="preserve"> </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102.42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03/01/30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894"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1" w:type="dxa"/>
            <w:tcBorders/>
            <w:tcMar>
              <w:bottom w:w="0" w:type="dxa"/>
            </w:tcMar>
            <w:vAlign w:val="center"/>
          </w:tcPr>
          <w:p>
            <w:pPr>
              <w:pStyle w:val="TableContents"/>
              <w:bidi w:val="0"/>
              <w:spacing w:before="0" w:after="283"/>
              <w:jc w:val="right"/>
              <w:rPr/>
            </w:pPr>
            <w:r>
              <w:rPr/>
              <w:t>13,590</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right"/>
              <w:rPr/>
            </w:pPr>
            <w:r>
              <w:rPr/>
              <w:t>​</w:t>
            </w:r>
          </w:p>
        </w:tc>
        <w:tc>
          <w:tcPr>
            <w:tcW w:w="981" w:type="dxa"/>
            <w:tcBorders/>
            <w:tcMar>
              <w:bottom w:w="0" w:type="dxa"/>
            </w:tcMar>
            <w:vAlign w:val="center"/>
          </w:tcPr>
          <w:p>
            <w:pPr>
              <w:pStyle w:val="TableContents"/>
              <w:bidi w:val="0"/>
              <w:spacing w:before="0" w:after="283"/>
              <w:jc w:val="right"/>
              <w:rPr/>
            </w:pPr>
            <w:r>
              <w:rPr/>
              <w:t>—</w:t>
            </w:r>
            <w:r>
              <w:rPr>
                <w:sz w:val="9"/>
              </w:rPr>
              <w:t>(6)</w:t>
            </w:r>
            <w:r>
              <w:rPr/>
              <w:t xml:space="preserve"> </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335.91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03/01/31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894"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1" w:type="dxa"/>
            <w:tcBorders/>
            <w:tcMar>
              <w:bottom w:w="0" w:type="dxa"/>
            </w:tcMar>
            <w:vAlign w:val="center"/>
          </w:tcPr>
          <w:p>
            <w:pPr>
              <w:pStyle w:val="TableContents"/>
              <w:bidi w:val="0"/>
              <w:spacing w:before="0" w:after="283"/>
              <w:jc w:val="right"/>
              <w:rPr/>
            </w:pPr>
            <w:r>
              <w:rPr/>
              <w:t>11,349</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right"/>
              <w:rPr/>
            </w:pPr>
            <w:r>
              <w:rPr/>
              <w:t>​</w:t>
            </w:r>
          </w:p>
        </w:tc>
        <w:tc>
          <w:tcPr>
            <w:tcW w:w="981" w:type="dxa"/>
            <w:tcBorders/>
            <w:tcMar>
              <w:bottom w:w="0" w:type="dxa"/>
            </w:tcMar>
            <w:vAlign w:val="center"/>
          </w:tcPr>
          <w:p>
            <w:pPr>
              <w:pStyle w:val="TableContents"/>
              <w:bidi w:val="0"/>
              <w:spacing w:before="0" w:after="283"/>
              <w:jc w:val="right"/>
              <w:rPr/>
            </w:pPr>
            <w:r>
              <w:rPr/>
              <w:t>3,784</w:t>
            </w:r>
            <w:r>
              <w:rPr>
                <w:sz w:val="9"/>
              </w:rPr>
              <w:t>(7)</w:t>
            </w:r>
            <w:r>
              <w:rPr/>
              <w:t xml:space="preserve"> </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315.88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03/01/32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5,571</w:t>
            </w:r>
            <w:r>
              <w:rPr>
                <w:sz w:val="9"/>
              </w:rPr>
              <w:t>(11)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759,717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8,358</w:t>
            </w:r>
            <w:r>
              <w:rPr>
                <w:sz w:val="9"/>
              </w:rPr>
              <w:t>(12)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1,139,712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894"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1" w:type="dxa"/>
            <w:tcBorders/>
            <w:tcMar>
              <w:bottom w:w="0" w:type="dxa"/>
            </w:tcMar>
            <w:vAlign w:val="center"/>
          </w:tcPr>
          <w:p>
            <w:pPr>
              <w:pStyle w:val="TableContents"/>
              <w:bidi w:val="0"/>
              <w:spacing w:before="0" w:after="283"/>
              <w:jc w:val="right"/>
              <w:rPr/>
            </w:pPr>
            <w:r>
              <w:rPr/>
              <w:t>16,775</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right"/>
              <w:rPr/>
            </w:pPr>
            <w:r>
              <w:rPr/>
              <w:t>​</w:t>
            </w:r>
          </w:p>
        </w:tc>
        <w:tc>
          <w:tcPr>
            <w:tcW w:w="981" w:type="dxa"/>
            <w:tcBorders/>
            <w:tcMar>
              <w:bottom w:w="0" w:type="dxa"/>
            </w:tcMar>
            <w:vAlign w:val="center"/>
          </w:tcPr>
          <w:p>
            <w:pPr>
              <w:pStyle w:val="TableContents"/>
              <w:bidi w:val="0"/>
              <w:spacing w:before="0" w:after="283"/>
              <w:jc w:val="right"/>
              <w:rPr/>
            </w:pPr>
            <w:r>
              <w:rPr/>
              <w:t>16,776</w:t>
            </w:r>
            <w:r>
              <w:rPr>
                <w:sz w:val="9"/>
              </w:rPr>
              <w:t>(8)</w:t>
            </w:r>
            <w:r>
              <w:rPr/>
              <w:t xml:space="preserve"> </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119.54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03/01/33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9,264</w:t>
            </w:r>
            <w:r>
              <w:rPr>
                <w:sz w:val="9"/>
              </w:rPr>
              <w:t>(14)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1,263,332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13,896</w:t>
            </w:r>
            <w:r>
              <w:rPr>
                <w:sz w:val="9"/>
              </w:rPr>
              <w:t>(15)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1,894,929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894"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1" w:type="dxa"/>
            <w:tcBorders/>
            <w:tcMar>
              <w:bottom w:w="0" w:type="dxa"/>
            </w:tcMar>
            <w:vAlign w:val="center"/>
          </w:tcPr>
          <w:p>
            <w:pPr>
              <w:pStyle w:val="TableContents"/>
              <w:bidi w:val="0"/>
              <w:spacing w:before="0" w:after="283"/>
              <w:jc w:val="right"/>
              <w:rPr/>
            </w:pPr>
            <w:r>
              <w:rPr/>
              <w:t>6,588</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right"/>
              <w:rPr/>
            </w:pPr>
            <w:r>
              <w:rPr/>
              <w:t>​</w:t>
            </w:r>
          </w:p>
        </w:tc>
        <w:tc>
          <w:tcPr>
            <w:tcW w:w="981" w:type="dxa"/>
            <w:tcBorders/>
            <w:tcMar>
              <w:bottom w:w="0" w:type="dxa"/>
            </w:tcMar>
            <w:vAlign w:val="center"/>
          </w:tcPr>
          <w:p>
            <w:pPr>
              <w:pStyle w:val="TableContents"/>
              <w:bidi w:val="0"/>
              <w:spacing w:before="0" w:after="283"/>
              <w:jc w:val="right"/>
              <w:rPr/>
            </w:pPr>
            <w:r>
              <w:rPr/>
              <w:t>19,764</w:t>
            </w:r>
            <w:r>
              <w:rPr>
                <w:sz w:val="9"/>
              </w:rPr>
              <w:t>(9)</w:t>
            </w:r>
            <w:r>
              <w:rPr/>
              <w:t xml:space="preserve"> </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112.45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03/01/34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12,888</w:t>
            </w:r>
            <w:r>
              <w:rPr>
                <w:sz w:val="9"/>
              </w:rPr>
              <w:t>(16)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1,757,537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12,888</w:t>
            </w:r>
            <w:r>
              <w:rPr>
                <w:sz w:val="9"/>
              </w:rPr>
              <w:t>(17)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1,757,537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894"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1"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right"/>
              <w:rPr/>
            </w:pPr>
            <w:r>
              <w:rPr/>
              <w:t>​</w:t>
            </w:r>
          </w:p>
        </w:tc>
        <w:tc>
          <w:tcPr>
            <w:tcW w:w="981" w:type="dxa"/>
            <w:tcBorders/>
            <w:tcMar>
              <w:bottom w:w="0" w:type="dxa"/>
            </w:tcMar>
            <w:vAlign w:val="center"/>
          </w:tcPr>
          <w:p>
            <w:pPr>
              <w:pStyle w:val="TableContents"/>
              <w:bidi w:val="0"/>
              <w:spacing w:before="0" w:after="283"/>
              <w:jc w:val="right"/>
              <w:rPr/>
            </w:pPr>
            <w:r>
              <w:rPr/>
              <w:t>24,251</w:t>
            </w:r>
            <w:r>
              <w:rPr>
                <w:sz w:val="9"/>
              </w:rPr>
              <w:t>(10)</w:t>
            </w:r>
            <w:r>
              <w:rPr/>
              <w:t xml:space="preserve"> </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135.79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03/01/35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restart"/>
            <w:tcBorders/>
            <w:shd w:fill="B2B2B2" w:val="clear"/>
            <w:tcMar>
              <w:bottom w:w="0" w:type="dxa"/>
            </w:tcMar>
            <w:vAlign w:val="center"/>
          </w:tcPr>
          <w:p>
            <w:pPr>
              <w:pStyle w:val="TableContents"/>
              <w:bidi w:val="0"/>
              <w:spacing w:before="0" w:after="283"/>
              <w:jc w:val="left"/>
              <w:rPr/>
            </w:pPr>
            <w:r>
              <w:rPr/>
              <w:t>​</w:t>
            </w:r>
          </w:p>
        </w:tc>
        <w:tc>
          <w:tcPr>
            <w:tcW w:w="894" w:type="dxa"/>
            <w:vMerge w:val="restart"/>
            <w:tcBorders/>
            <w:shd w:fill="B2B2B2" w:val="clear"/>
            <w:tcMar>
              <w:bottom w:w="0" w:type="dxa"/>
            </w:tcMar>
            <w:vAlign w:val="center"/>
          </w:tcPr>
          <w:p>
            <w:pPr>
              <w:pStyle w:val="TableContents"/>
              <w:bidi w:val="0"/>
              <w:spacing w:lineRule="atLeast" w:line="180" w:before="0" w:after="0"/>
              <w:jc w:val="left"/>
              <w:rPr>
                <w:spacing w:val="-1"/>
              </w:rPr>
            </w:pPr>
            <w:r>
              <w:rPr>
                <w:spacing w:val="-1"/>
              </w:rPr>
              <w:t xml:space="preserve">York Ragen </w:t>
            </w:r>
          </w:p>
        </w:tc>
        <w:tc>
          <w:tcPr>
            <w:tcW w:w="109" w:type="dxa"/>
            <w:vMerge w:val="restart"/>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lineRule="atLeast" w:line="180" w:before="0" w:after="283"/>
              <w:jc w:val="right"/>
              <w:rPr/>
            </w:pPr>
            <w:r>
              <w:rPr/>
              <w:t>​</w:t>
            </w:r>
          </w:p>
        </w:tc>
        <w:tc>
          <w:tcPr>
            <w:tcW w:w="891" w:type="dxa"/>
            <w:tcBorders/>
            <w:shd w:fill="B2B2B2" w:val="clear"/>
            <w:tcMar>
              <w:bottom w:w="0" w:type="dxa"/>
            </w:tcMar>
            <w:vAlign w:val="center"/>
          </w:tcPr>
          <w:p>
            <w:pPr>
              <w:pStyle w:val="TableContents"/>
              <w:bidi w:val="0"/>
              <w:spacing w:lineRule="atLeast" w:line="180" w:before="0" w:after="283"/>
              <w:jc w:val="right"/>
              <w:rPr/>
            </w:pPr>
            <w:r>
              <w:rPr/>
              <w:t>24,362</w:t>
            </w:r>
          </w:p>
        </w:tc>
        <w:tc>
          <w:tcPr>
            <w:tcW w:w="112"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34" w:type="dxa"/>
            <w:tcBorders/>
            <w:shd w:fill="B2B2B2" w:val="clear"/>
            <w:tcMar>
              <w:bottom w:w="0" w:type="dxa"/>
            </w:tcMar>
            <w:vAlign w:val="center"/>
          </w:tcPr>
          <w:p>
            <w:pPr>
              <w:pStyle w:val="TableContents"/>
              <w:bidi w:val="0"/>
              <w:spacing w:before="0" w:after="283"/>
              <w:jc w:val="left"/>
              <w:rPr/>
            </w:pPr>
            <w:r>
              <w:rPr/>
              <w:t>​</w:t>
            </w:r>
          </w:p>
        </w:tc>
        <w:tc>
          <w:tcPr>
            <w:tcW w:w="134" w:type="dxa"/>
            <w:tcBorders/>
            <w:shd w:fill="B2B2B2" w:val="clear"/>
            <w:tcMar>
              <w:bottom w:w="0" w:type="dxa"/>
            </w:tcMar>
            <w:vAlign w:val="center"/>
          </w:tcPr>
          <w:p>
            <w:pPr>
              <w:pStyle w:val="TableContents"/>
              <w:bidi w:val="0"/>
              <w:spacing w:lineRule="atLeast" w:line="180" w:before="0" w:after="283"/>
              <w:jc w:val="right"/>
              <w:rPr/>
            </w:pPr>
            <w:r>
              <w:rPr/>
              <w:t>​</w:t>
            </w:r>
          </w:p>
        </w:tc>
        <w:tc>
          <w:tcPr>
            <w:tcW w:w="981" w:type="dxa"/>
            <w:tcBorders/>
            <w:shd w:fill="B2B2B2" w:val="clear"/>
            <w:tcMar>
              <w:bottom w:w="0" w:type="dxa"/>
            </w:tcMar>
            <w:vAlign w:val="center"/>
          </w:tcPr>
          <w:p>
            <w:pPr>
              <w:pStyle w:val="TableContents"/>
              <w:bidi w:val="0"/>
              <w:spacing w:lineRule="atLeast" w:line="180" w:before="0" w:after="283"/>
              <w:jc w:val="right"/>
              <w:rPr/>
            </w:pPr>
            <w:r>
              <w:rPr/>
              <w:t>—</w:t>
            </w:r>
            <w:r>
              <w:rPr>
                <w:sz w:val="9"/>
              </w:rPr>
              <w:t>(2)</w:t>
            </w:r>
            <w:r>
              <w:rPr/>
              <w:t xml:space="preserve"> </w:t>
            </w:r>
          </w:p>
        </w:tc>
        <w:tc>
          <w:tcPr>
            <w:tcW w:w="135"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226" w:type="dxa"/>
            <w:tcBorders/>
            <w:shd w:fill="B2B2B2" w:val="clear"/>
            <w:tcMar>
              <w:bottom w:w="0" w:type="dxa"/>
            </w:tcMar>
            <w:vAlign w:val="center"/>
          </w:tcPr>
          <w:p>
            <w:pPr>
              <w:pStyle w:val="TableContents"/>
              <w:bidi w:val="0"/>
              <w:spacing w:lineRule="atLeast" w:line="180" w:before="0" w:after="283"/>
              <w:jc w:val="right"/>
              <w:rPr/>
            </w:pPr>
            <w:r>
              <w:rPr/>
              <w:t>$</w:t>
            </w:r>
          </w:p>
        </w:tc>
        <w:tc>
          <w:tcPr>
            <w:tcW w:w="766" w:type="dxa"/>
            <w:tcBorders/>
            <w:shd w:fill="B2B2B2" w:val="clear"/>
            <w:tcMar>
              <w:bottom w:w="0" w:type="dxa"/>
            </w:tcMar>
            <w:vAlign w:val="center"/>
          </w:tcPr>
          <w:p>
            <w:pPr>
              <w:pStyle w:val="TableContents"/>
              <w:bidi w:val="0"/>
              <w:spacing w:lineRule="atLeast" w:line="180" w:before="0" w:after="283"/>
              <w:jc w:val="right"/>
              <w:rPr/>
            </w:pPr>
            <w:r>
              <w:rPr/>
              <w:t>40.12</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lineRule="atLeast" w:line="180" w:before="0" w:after="283"/>
              <w:jc w:val="right"/>
              <w:rPr/>
            </w:pPr>
            <w:r>
              <w:rPr/>
              <w:t>​</w:t>
            </w:r>
          </w:p>
        </w:tc>
        <w:tc>
          <w:tcPr>
            <w:tcW w:w="715" w:type="dxa"/>
            <w:tcBorders/>
            <w:shd w:fill="B2B2B2" w:val="clear"/>
            <w:tcMar>
              <w:bottom w:w="0" w:type="dxa"/>
            </w:tcMar>
            <w:vAlign w:val="center"/>
          </w:tcPr>
          <w:p>
            <w:pPr>
              <w:pStyle w:val="TableContents"/>
              <w:bidi w:val="0"/>
              <w:spacing w:lineRule="atLeast" w:line="180" w:before="0" w:after="283"/>
              <w:jc w:val="right"/>
              <w:rPr/>
            </w:pPr>
            <w:r>
              <w:rPr/>
              <w:t>03/01/27</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lineRule="atLeast" w:line="180" w:before="0" w:after="283"/>
              <w:jc w:val="right"/>
              <w:rPr/>
            </w:pPr>
            <w:r>
              <w:rPr/>
              <w:t>​</w:t>
            </w:r>
          </w:p>
        </w:tc>
        <w:tc>
          <w:tcPr>
            <w:tcW w:w="796" w:type="dxa"/>
            <w:tcBorders/>
            <w:shd w:fill="B2B2B2" w:val="clear"/>
            <w:tcMar>
              <w:bottom w:w="0" w:type="dxa"/>
            </w:tcMar>
            <w:vAlign w:val="center"/>
          </w:tcPr>
          <w:p>
            <w:pPr>
              <w:pStyle w:val="TableContents"/>
              <w:bidi w:val="0"/>
              <w:spacing w:lineRule="atLeast" w:line="180"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lineRule="atLeast" w:line="180" w:before="0" w:after="283"/>
              <w:jc w:val="right"/>
              <w:rPr/>
            </w:pPr>
            <w:r>
              <w:rPr/>
              <w:t>​</w:t>
            </w:r>
          </w:p>
        </w:tc>
        <w:tc>
          <w:tcPr>
            <w:tcW w:w="1066" w:type="dxa"/>
            <w:tcBorders/>
            <w:shd w:fill="B2B2B2" w:val="clear"/>
            <w:tcMar>
              <w:bottom w:w="0" w:type="dxa"/>
            </w:tcMar>
            <w:vAlign w:val="center"/>
          </w:tcPr>
          <w:p>
            <w:pPr>
              <w:pStyle w:val="TableContents"/>
              <w:bidi w:val="0"/>
              <w:spacing w:lineRule="atLeast" w:line="180"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lineRule="atLeast" w:line="180" w:before="0" w:after="283"/>
              <w:jc w:val="right"/>
              <w:rPr/>
            </w:pPr>
            <w:r>
              <w:rPr/>
              <w:t>​</w:t>
            </w:r>
          </w:p>
        </w:tc>
        <w:tc>
          <w:tcPr>
            <w:tcW w:w="796" w:type="dxa"/>
            <w:tcBorders/>
            <w:shd w:fill="B2B2B2" w:val="clear"/>
            <w:tcMar>
              <w:bottom w:w="0" w:type="dxa"/>
            </w:tcMar>
            <w:vAlign w:val="center"/>
          </w:tcPr>
          <w:p>
            <w:pPr>
              <w:pStyle w:val="TableContents"/>
              <w:bidi w:val="0"/>
              <w:spacing w:lineRule="atLeast" w:line="180"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lineRule="atLeast" w:line="180" w:before="0" w:after="283"/>
              <w:jc w:val="right"/>
              <w:rPr/>
            </w:pPr>
            <w:r>
              <w:rPr/>
              <w:t>​</w:t>
            </w:r>
          </w:p>
        </w:tc>
        <w:tc>
          <w:tcPr>
            <w:tcW w:w="1066" w:type="dxa"/>
            <w:tcBorders/>
            <w:shd w:fill="B2B2B2" w:val="clear"/>
            <w:tcMar>
              <w:bottom w:w="0" w:type="dxa"/>
            </w:tcMar>
            <w:vAlign w:val="center"/>
          </w:tcPr>
          <w:p>
            <w:pPr>
              <w:pStyle w:val="TableContents"/>
              <w:bidi w:val="0"/>
              <w:spacing w:lineRule="atLeast" w:line="180"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54" w:type="dxa"/>
            <w:tcBorders/>
            <w:shd w:fill="B2B2B2" w:val="clear"/>
            <w:tcMar>
              <w:bottom w:w="0" w:type="dxa"/>
            </w:tcMar>
            <w:vAlign w:val="center"/>
          </w:tcPr>
          <w:p>
            <w:pPr>
              <w:pStyle w:val="TableContents"/>
              <w:bidi w:val="0"/>
              <w:spacing w:before="0" w:after="283"/>
              <w:jc w:val="left"/>
              <w:rPr/>
            </w:pPr>
            <w:r>
              <w:rPr/>
              <w:t>​</w:t>
            </w:r>
          </w:p>
        </w:tc>
      </w:tr>
      <w:tr>
        <w:trPr/>
        <w:tc>
          <w:tcPr>
            <w:tcW w:w="124" w:type="dxa"/>
            <w:vMerge w:val="continue"/>
            <w:tcBorders/>
            <w:shd w:fill="B2B2B2" w:val="clear"/>
            <w:tcMar>
              <w:bottom w:w="0" w:type="dxa"/>
            </w:tcMar>
            <w:vAlign w:val="center"/>
          </w:tcPr>
          <w:p>
            <w:pPr>
              <w:pStyle w:val="Normal"/>
              <w:bidi w:val="0"/>
              <w:jc w:val="left"/>
              <w:rPr/>
            </w:pPr>
            <w:r>
              <w:rPr/>
            </w:r>
          </w:p>
        </w:tc>
        <w:tc>
          <w:tcPr>
            <w:tcW w:w="894" w:type="dxa"/>
            <w:vMerge w:val="continue"/>
            <w:tcBorders/>
            <w:shd w:fill="B2B2B2" w:val="clear"/>
            <w:tcMar>
              <w:bottom w:w="0" w:type="dxa"/>
            </w:tcMar>
            <w:vAlign w:val="center"/>
          </w:tcPr>
          <w:p>
            <w:pPr>
              <w:pStyle w:val="Normal"/>
              <w:bidi w:val="0"/>
              <w:jc w:val="left"/>
              <w:rPr/>
            </w:pPr>
            <w:r>
              <w:rPr/>
            </w:r>
          </w:p>
        </w:tc>
        <w:tc>
          <w:tcPr>
            <w:tcW w:w="109" w:type="dxa"/>
            <w:vMerge w:val="continue"/>
            <w:tcBorders/>
            <w:shd w:fill="B2B2B2" w:val="clear"/>
            <w:tcMar>
              <w:bottom w:w="0" w:type="dxa"/>
            </w:tcMar>
            <w:vAlign w:val="center"/>
          </w:tcPr>
          <w:p>
            <w:pPr>
              <w:pStyle w:val="Normal"/>
              <w:bidi w:val="0"/>
              <w:jc w:val="left"/>
              <w:rPr/>
            </w:pPr>
            <w:r>
              <w:rPr/>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891" w:type="dxa"/>
            <w:tcBorders/>
            <w:shd w:fill="B2B2B2" w:val="clear"/>
            <w:tcMar>
              <w:bottom w:w="0" w:type="dxa"/>
            </w:tcMar>
            <w:vAlign w:val="center"/>
          </w:tcPr>
          <w:p>
            <w:pPr>
              <w:pStyle w:val="TableContents"/>
              <w:bidi w:val="0"/>
              <w:spacing w:before="0" w:after="283"/>
              <w:jc w:val="right"/>
              <w:rPr/>
            </w:pPr>
            <w:r>
              <w:rPr/>
              <w:t>23,791</w:t>
            </w:r>
          </w:p>
        </w:tc>
        <w:tc>
          <w:tcPr>
            <w:tcW w:w="112"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34" w:type="dxa"/>
            <w:tcBorders/>
            <w:shd w:fill="B2B2B2" w:val="clear"/>
            <w:tcMar>
              <w:bottom w:w="0" w:type="dxa"/>
            </w:tcMar>
            <w:vAlign w:val="center"/>
          </w:tcPr>
          <w:p>
            <w:pPr>
              <w:pStyle w:val="TableContents"/>
              <w:bidi w:val="0"/>
              <w:spacing w:before="0" w:after="283"/>
              <w:jc w:val="left"/>
              <w:rPr/>
            </w:pPr>
            <w:r>
              <w:rPr/>
              <w:t>​</w:t>
            </w:r>
          </w:p>
        </w:tc>
        <w:tc>
          <w:tcPr>
            <w:tcW w:w="134" w:type="dxa"/>
            <w:tcBorders/>
            <w:shd w:fill="B2B2B2" w:val="clear"/>
            <w:tcMar>
              <w:bottom w:w="0" w:type="dxa"/>
            </w:tcMar>
            <w:vAlign w:val="center"/>
          </w:tcPr>
          <w:p>
            <w:pPr>
              <w:pStyle w:val="TableContents"/>
              <w:bidi w:val="0"/>
              <w:spacing w:before="0" w:after="283"/>
              <w:jc w:val="right"/>
              <w:rPr/>
            </w:pPr>
            <w:r>
              <w:rPr/>
              <w:t>​</w:t>
            </w:r>
          </w:p>
        </w:tc>
        <w:tc>
          <w:tcPr>
            <w:tcW w:w="981" w:type="dxa"/>
            <w:tcBorders/>
            <w:shd w:fill="B2B2B2" w:val="clear"/>
            <w:tcMar>
              <w:bottom w:w="0" w:type="dxa"/>
            </w:tcMar>
            <w:vAlign w:val="center"/>
          </w:tcPr>
          <w:p>
            <w:pPr>
              <w:pStyle w:val="TableContents"/>
              <w:bidi w:val="0"/>
              <w:spacing w:before="0" w:after="283"/>
              <w:jc w:val="right"/>
              <w:rPr/>
            </w:pPr>
            <w:r>
              <w:rPr/>
              <w:t>—</w:t>
            </w:r>
            <w:r>
              <w:rPr>
                <w:sz w:val="9"/>
              </w:rPr>
              <w:t>(3)</w:t>
            </w:r>
            <w:r>
              <w:rPr/>
              <w:t xml:space="preserve"> </w:t>
            </w:r>
          </w:p>
        </w:tc>
        <w:tc>
          <w:tcPr>
            <w:tcW w:w="135"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226" w:type="dxa"/>
            <w:tcBorders/>
            <w:shd w:fill="B2B2B2" w:val="clear"/>
            <w:tcMar>
              <w:bottom w:w="0" w:type="dxa"/>
            </w:tcMar>
            <w:vAlign w:val="center"/>
          </w:tcPr>
          <w:p>
            <w:pPr>
              <w:pStyle w:val="TableContents"/>
              <w:bidi w:val="0"/>
              <w:spacing w:before="0" w:after="283"/>
              <w:jc w:val="right"/>
              <w:rPr/>
            </w:pPr>
            <w:r>
              <w:rPr/>
              <w:t>$</w:t>
            </w:r>
          </w:p>
        </w:tc>
        <w:tc>
          <w:tcPr>
            <w:tcW w:w="766" w:type="dxa"/>
            <w:tcBorders/>
            <w:shd w:fill="B2B2B2" w:val="clear"/>
            <w:tcMar>
              <w:bottom w:w="0" w:type="dxa"/>
            </w:tcMar>
            <w:vAlign w:val="center"/>
          </w:tcPr>
          <w:p>
            <w:pPr>
              <w:pStyle w:val="TableContents"/>
              <w:bidi w:val="0"/>
              <w:spacing w:before="0" w:after="283"/>
              <w:jc w:val="right"/>
              <w:rPr/>
            </w:pPr>
            <w:r>
              <w:rPr/>
              <w:t>43.88</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15" w:type="dxa"/>
            <w:tcBorders/>
            <w:shd w:fill="B2B2B2" w:val="clear"/>
            <w:tcMar>
              <w:bottom w:w="0" w:type="dxa"/>
            </w:tcMar>
            <w:vAlign w:val="center"/>
          </w:tcPr>
          <w:p>
            <w:pPr>
              <w:pStyle w:val="TableContents"/>
              <w:bidi w:val="0"/>
              <w:spacing w:before="0" w:after="283"/>
              <w:jc w:val="right"/>
              <w:rPr/>
            </w:pPr>
            <w:r>
              <w:rPr/>
              <w:t>03/01/28</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9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106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9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106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54" w:type="dxa"/>
            <w:tcBorders/>
            <w:shd w:fill="B2B2B2" w:val="clear"/>
            <w:tcMar>
              <w:bottom w:w="0" w:type="dxa"/>
            </w:tcMar>
            <w:vAlign w:val="center"/>
          </w:tcPr>
          <w:p>
            <w:pPr>
              <w:pStyle w:val="TableContents"/>
              <w:bidi w:val="0"/>
              <w:spacing w:before="0" w:after="283"/>
              <w:jc w:val="left"/>
              <w:rPr/>
            </w:pPr>
            <w:r>
              <w:rPr/>
              <w:t>​</w:t>
            </w:r>
          </w:p>
        </w:tc>
      </w:tr>
      <w:tr>
        <w:trPr/>
        <w:tc>
          <w:tcPr>
            <w:tcW w:w="124" w:type="dxa"/>
            <w:vMerge w:val="continue"/>
            <w:tcBorders/>
            <w:shd w:fill="B2B2B2" w:val="clear"/>
            <w:tcMar>
              <w:bottom w:w="0" w:type="dxa"/>
            </w:tcMar>
            <w:vAlign w:val="center"/>
          </w:tcPr>
          <w:p>
            <w:pPr>
              <w:pStyle w:val="Normal"/>
              <w:bidi w:val="0"/>
              <w:jc w:val="left"/>
              <w:rPr/>
            </w:pPr>
            <w:r>
              <w:rPr/>
            </w:r>
          </w:p>
        </w:tc>
        <w:tc>
          <w:tcPr>
            <w:tcW w:w="894" w:type="dxa"/>
            <w:vMerge w:val="continue"/>
            <w:tcBorders/>
            <w:shd w:fill="B2B2B2" w:val="clear"/>
            <w:tcMar>
              <w:bottom w:w="0" w:type="dxa"/>
            </w:tcMar>
            <w:vAlign w:val="center"/>
          </w:tcPr>
          <w:p>
            <w:pPr>
              <w:pStyle w:val="Normal"/>
              <w:bidi w:val="0"/>
              <w:jc w:val="left"/>
              <w:rPr/>
            </w:pPr>
            <w:r>
              <w:rPr/>
            </w:r>
          </w:p>
        </w:tc>
        <w:tc>
          <w:tcPr>
            <w:tcW w:w="109" w:type="dxa"/>
            <w:vMerge w:val="continue"/>
            <w:tcBorders/>
            <w:shd w:fill="B2B2B2" w:val="clear"/>
            <w:tcMar>
              <w:bottom w:w="0" w:type="dxa"/>
            </w:tcMar>
            <w:vAlign w:val="center"/>
          </w:tcPr>
          <w:p>
            <w:pPr>
              <w:pStyle w:val="Normal"/>
              <w:bidi w:val="0"/>
              <w:jc w:val="left"/>
              <w:rPr/>
            </w:pPr>
            <w:r>
              <w:rPr/>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891" w:type="dxa"/>
            <w:tcBorders/>
            <w:shd w:fill="B2B2B2" w:val="clear"/>
            <w:tcMar>
              <w:bottom w:w="0" w:type="dxa"/>
            </w:tcMar>
            <w:vAlign w:val="center"/>
          </w:tcPr>
          <w:p>
            <w:pPr>
              <w:pStyle w:val="TableContents"/>
              <w:bidi w:val="0"/>
              <w:spacing w:before="0" w:after="283"/>
              <w:jc w:val="right"/>
              <w:rPr/>
            </w:pPr>
            <w:r>
              <w:rPr/>
              <w:t>22,634</w:t>
            </w:r>
          </w:p>
        </w:tc>
        <w:tc>
          <w:tcPr>
            <w:tcW w:w="112"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34" w:type="dxa"/>
            <w:tcBorders/>
            <w:shd w:fill="B2B2B2" w:val="clear"/>
            <w:tcMar>
              <w:bottom w:w="0" w:type="dxa"/>
            </w:tcMar>
            <w:vAlign w:val="center"/>
          </w:tcPr>
          <w:p>
            <w:pPr>
              <w:pStyle w:val="TableContents"/>
              <w:bidi w:val="0"/>
              <w:spacing w:before="0" w:after="283"/>
              <w:jc w:val="left"/>
              <w:rPr/>
            </w:pPr>
            <w:r>
              <w:rPr/>
              <w:t>​</w:t>
            </w:r>
          </w:p>
        </w:tc>
        <w:tc>
          <w:tcPr>
            <w:tcW w:w="134" w:type="dxa"/>
            <w:tcBorders/>
            <w:shd w:fill="B2B2B2" w:val="clear"/>
            <w:tcMar>
              <w:bottom w:w="0" w:type="dxa"/>
            </w:tcMar>
            <w:vAlign w:val="center"/>
          </w:tcPr>
          <w:p>
            <w:pPr>
              <w:pStyle w:val="TableContents"/>
              <w:bidi w:val="0"/>
              <w:spacing w:before="0" w:after="283"/>
              <w:jc w:val="right"/>
              <w:rPr/>
            </w:pPr>
            <w:r>
              <w:rPr/>
              <w:t>​</w:t>
            </w:r>
          </w:p>
        </w:tc>
        <w:tc>
          <w:tcPr>
            <w:tcW w:w="981" w:type="dxa"/>
            <w:tcBorders/>
            <w:shd w:fill="B2B2B2" w:val="clear"/>
            <w:tcMar>
              <w:bottom w:w="0" w:type="dxa"/>
            </w:tcMar>
            <w:vAlign w:val="center"/>
          </w:tcPr>
          <w:p>
            <w:pPr>
              <w:pStyle w:val="TableContents"/>
              <w:bidi w:val="0"/>
              <w:spacing w:before="0" w:after="283"/>
              <w:jc w:val="right"/>
              <w:rPr/>
            </w:pPr>
            <w:r>
              <w:rPr/>
              <w:t>—</w:t>
            </w:r>
            <w:r>
              <w:rPr>
                <w:sz w:val="9"/>
              </w:rPr>
              <w:t>(4)</w:t>
            </w:r>
            <w:r>
              <w:rPr/>
              <w:t xml:space="preserve"> </w:t>
            </w:r>
          </w:p>
        </w:tc>
        <w:tc>
          <w:tcPr>
            <w:tcW w:w="135"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226" w:type="dxa"/>
            <w:tcBorders/>
            <w:shd w:fill="B2B2B2" w:val="clear"/>
            <w:tcMar>
              <w:bottom w:w="0" w:type="dxa"/>
            </w:tcMar>
            <w:vAlign w:val="center"/>
          </w:tcPr>
          <w:p>
            <w:pPr>
              <w:pStyle w:val="TableContents"/>
              <w:bidi w:val="0"/>
              <w:spacing w:before="0" w:after="283"/>
              <w:jc w:val="right"/>
              <w:rPr/>
            </w:pPr>
            <w:r>
              <w:rPr/>
              <w:t>$</w:t>
            </w:r>
          </w:p>
        </w:tc>
        <w:tc>
          <w:tcPr>
            <w:tcW w:w="766" w:type="dxa"/>
            <w:tcBorders/>
            <w:shd w:fill="B2B2B2" w:val="clear"/>
            <w:tcMar>
              <w:bottom w:w="0" w:type="dxa"/>
            </w:tcMar>
            <w:vAlign w:val="center"/>
          </w:tcPr>
          <w:p>
            <w:pPr>
              <w:pStyle w:val="TableContents"/>
              <w:bidi w:val="0"/>
              <w:spacing w:before="0" w:after="283"/>
              <w:jc w:val="right"/>
              <w:rPr/>
            </w:pPr>
            <w:r>
              <w:rPr/>
              <w:t>52.07</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15" w:type="dxa"/>
            <w:tcBorders/>
            <w:shd w:fill="B2B2B2" w:val="clear"/>
            <w:tcMar>
              <w:bottom w:w="0" w:type="dxa"/>
            </w:tcMar>
            <w:vAlign w:val="center"/>
          </w:tcPr>
          <w:p>
            <w:pPr>
              <w:pStyle w:val="TableContents"/>
              <w:bidi w:val="0"/>
              <w:spacing w:before="0" w:after="283"/>
              <w:jc w:val="right"/>
              <w:rPr/>
            </w:pPr>
            <w:r>
              <w:rPr/>
              <w:t>03/01/29</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9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106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9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106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54" w:type="dxa"/>
            <w:tcBorders/>
            <w:shd w:fill="B2B2B2" w:val="clear"/>
            <w:tcMar>
              <w:bottom w:w="0" w:type="dxa"/>
            </w:tcMar>
            <w:vAlign w:val="center"/>
          </w:tcPr>
          <w:p>
            <w:pPr>
              <w:pStyle w:val="TableContents"/>
              <w:bidi w:val="0"/>
              <w:spacing w:before="0" w:after="283"/>
              <w:jc w:val="left"/>
              <w:rPr/>
            </w:pPr>
            <w:r>
              <w:rPr/>
              <w:t>​</w:t>
            </w:r>
          </w:p>
        </w:tc>
      </w:tr>
      <w:tr>
        <w:trPr/>
        <w:tc>
          <w:tcPr>
            <w:tcW w:w="124" w:type="dxa"/>
            <w:vMerge w:val="continue"/>
            <w:tcBorders/>
            <w:shd w:fill="B2B2B2" w:val="clear"/>
            <w:tcMar>
              <w:bottom w:w="0" w:type="dxa"/>
            </w:tcMar>
            <w:vAlign w:val="center"/>
          </w:tcPr>
          <w:p>
            <w:pPr>
              <w:pStyle w:val="Normal"/>
              <w:bidi w:val="0"/>
              <w:jc w:val="left"/>
              <w:rPr/>
            </w:pPr>
            <w:r>
              <w:rPr/>
            </w:r>
          </w:p>
        </w:tc>
        <w:tc>
          <w:tcPr>
            <w:tcW w:w="894" w:type="dxa"/>
            <w:vMerge w:val="continue"/>
            <w:tcBorders/>
            <w:shd w:fill="B2B2B2" w:val="clear"/>
            <w:tcMar>
              <w:bottom w:w="0" w:type="dxa"/>
            </w:tcMar>
            <w:vAlign w:val="center"/>
          </w:tcPr>
          <w:p>
            <w:pPr>
              <w:pStyle w:val="Normal"/>
              <w:bidi w:val="0"/>
              <w:jc w:val="left"/>
              <w:rPr/>
            </w:pPr>
            <w:r>
              <w:rPr/>
            </w:r>
          </w:p>
        </w:tc>
        <w:tc>
          <w:tcPr>
            <w:tcW w:w="109" w:type="dxa"/>
            <w:vMerge w:val="continue"/>
            <w:tcBorders/>
            <w:shd w:fill="B2B2B2" w:val="clear"/>
            <w:tcMar>
              <w:bottom w:w="0" w:type="dxa"/>
            </w:tcMar>
            <w:vAlign w:val="center"/>
          </w:tcPr>
          <w:p>
            <w:pPr>
              <w:pStyle w:val="Normal"/>
              <w:bidi w:val="0"/>
              <w:jc w:val="left"/>
              <w:rPr/>
            </w:pPr>
            <w:r>
              <w:rPr/>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891" w:type="dxa"/>
            <w:tcBorders/>
            <w:shd w:fill="B2B2B2" w:val="clear"/>
            <w:tcMar>
              <w:bottom w:w="0" w:type="dxa"/>
            </w:tcMar>
            <w:vAlign w:val="center"/>
          </w:tcPr>
          <w:p>
            <w:pPr>
              <w:pStyle w:val="TableContents"/>
              <w:bidi w:val="0"/>
              <w:spacing w:before="0" w:after="283"/>
              <w:jc w:val="right"/>
              <w:rPr/>
            </w:pPr>
            <w:r>
              <w:rPr/>
              <w:t>8,497</w:t>
            </w:r>
          </w:p>
        </w:tc>
        <w:tc>
          <w:tcPr>
            <w:tcW w:w="112"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34" w:type="dxa"/>
            <w:tcBorders/>
            <w:shd w:fill="B2B2B2" w:val="clear"/>
            <w:tcMar>
              <w:bottom w:w="0" w:type="dxa"/>
            </w:tcMar>
            <w:vAlign w:val="center"/>
          </w:tcPr>
          <w:p>
            <w:pPr>
              <w:pStyle w:val="TableContents"/>
              <w:bidi w:val="0"/>
              <w:spacing w:before="0" w:after="283"/>
              <w:jc w:val="left"/>
              <w:rPr/>
            </w:pPr>
            <w:r>
              <w:rPr/>
              <w:t>​</w:t>
            </w:r>
          </w:p>
        </w:tc>
        <w:tc>
          <w:tcPr>
            <w:tcW w:w="134" w:type="dxa"/>
            <w:tcBorders/>
            <w:shd w:fill="B2B2B2" w:val="clear"/>
            <w:tcMar>
              <w:bottom w:w="0" w:type="dxa"/>
            </w:tcMar>
            <w:vAlign w:val="center"/>
          </w:tcPr>
          <w:p>
            <w:pPr>
              <w:pStyle w:val="TableContents"/>
              <w:bidi w:val="0"/>
              <w:spacing w:before="0" w:after="283"/>
              <w:jc w:val="right"/>
              <w:rPr/>
            </w:pPr>
            <w:r>
              <w:rPr/>
              <w:t>​</w:t>
            </w:r>
          </w:p>
        </w:tc>
        <w:tc>
          <w:tcPr>
            <w:tcW w:w="981" w:type="dxa"/>
            <w:tcBorders/>
            <w:shd w:fill="B2B2B2" w:val="clear"/>
            <w:tcMar>
              <w:bottom w:w="0" w:type="dxa"/>
            </w:tcMar>
            <w:vAlign w:val="center"/>
          </w:tcPr>
          <w:p>
            <w:pPr>
              <w:pStyle w:val="TableContents"/>
              <w:bidi w:val="0"/>
              <w:spacing w:before="0" w:after="283"/>
              <w:jc w:val="right"/>
              <w:rPr/>
            </w:pPr>
            <w:r>
              <w:rPr/>
              <w:t>—</w:t>
            </w:r>
            <w:r>
              <w:rPr>
                <w:sz w:val="9"/>
              </w:rPr>
              <w:t>(5)</w:t>
            </w:r>
            <w:r>
              <w:rPr/>
              <w:t xml:space="preserve"> </w:t>
            </w:r>
          </w:p>
        </w:tc>
        <w:tc>
          <w:tcPr>
            <w:tcW w:w="135"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226" w:type="dxa"/>
            <w:tcBorders/>
            <w:shd w:fill="B2B2B2" w:val="clear"/>
            <w:tcMar>
              <w:bottom w:w="0" w:type="dxa"/>
            </w:tcMar>
            <w:vAlign w:val="center"/>
          </w:tcPr>
          <w:p>
            <w:pPr>
              <w:pStyle w:val="TableContents"/>
              <w:bidi w:val="0"/>
              <w:spacing w:before="0" w:after="283"/>
              <w:jc w:val="right"/>
              <w:rPr/>
            </w:pPr>
            <w:r>
              <w:rPr/>
              <w:t>$</w:t>
            </w:r>
          </w:p>
        </w:tc>
        <w:tc>
          <w:tcPr>
            <w:tcW w:w="766" w:type="dxa"/>
            <w:tcBorders/>
            <w:shd w:fill="B2B2B2" w:val="clear"/>
            <w:tcMar>
              <w:bottom w:w="0" w:type="dxa"/>
            </w:tcMar>
            <w:vAlign w:val="center"/>
          </w:tcPr>
          <w:p>
            <w:pPr>
              <w:pStyle w:val="TableContents"/>
              <w:bidi w:val="0"/>
              <w:spacing w:before="0" w:after="283"/>
              <w:jc w:val="right"/>
              <w:rPr/>
            </w:pPr>
            <w:r>
              <w:rPr/>
              <w:t>102.42</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15" w:type="dxa"/>
            <w:tcBorders/>
            <w:shd w:fill="B2B2B2" w:val="clear"/>
            <w:tcMar>
              <w:bottom w:w="0" w:type="dxa"/>
            </w:tcMar>
            <w:vAlign w:val="center"/>
          </w:tcPr>
          <w:p>
            <w:pPr>
              <w:pStyle w:val="TableContents"/>
              <w:bidi w:val="0"/>
              <w:spacing w:before="0" w:after="283"/>
              <w:jc w:val="right"/>
              <w:rPr/>
            </w:pPr>
            <w:r>
              <w:rPr/>
              <w:t>03/01/30</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9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106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9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106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54" w:type="dxa"/>
            <w:tcBorders/>
            <w:shd w:fill="B2B2B2" w:val="clear"/>
            <w:tcMar>
              <w:bottom w:w="0" w:type="dxa"/>
            </w:tcMar>
            <w:vAlign w:val="center"/>
          </w:tcPr>
          <w:p>
            <w:pPr>
              <w:pStyle w:val="TableContents"/>
              <w:bidi w:val="0"/>
              <w:spacing w:before="0" w:after="283"/>
              <w:jc w:val="left"/>
              <w:rPr/>
            </w:pPr>
            <w:r>
              <w:rPr/>
              <w:t>​</w:t>
            </w:r>
          </w:p>
        </w:tc>
      </w:tr>
      <w:tr>
        <w:trPr/>
        <w:tc>
          <w:tcPr>
            <w:tcW w:w="124" w:type="dxa"/>
            <w:vMerge w:val="continue"/>
            <w:tcBorders/>
            <w:shd w:fill="B2B2B2" w:val="clear"/>
            <w:tcMar>
              <w:bottom w:w="0" w:type="dxa"/>
            </w:tcMar>
            <w:vAlign w:val="center"/>
          </w:tcPr>
          <w:p>
            <w:pPr>
              <w:pStyle w:val="Normal"/>
              <w:bidi w:val="0"/>
              <w:jc w:val="left"/>
              <w:rPr/>
            </w:pPr>
            <w:r>
              <w:rPr/>
            </w:r>
          </w:p>
        </w:tc>
        <w:tc>
          <w:tcPr>
            <w:tcW w:w="894" w:type="dxa"/>
            <w:vMerge w:val="continue"/>
            <w:tcBorders/>
            <w:shd w:fill="B2B2B2" w:val="clear"/>
            <w:tcMar>
              <w:bottom w:w="0" w:type="dxa"/>
            </w:tcMar>
            <w:vAlign w:val="center"/>
          </w:tcPr>
          <w:p>
            <w:pPr>
              <w:pStyle w:val="Normal"/>
              <w:bidi w:val="0"/>
              <w:jc w:val="left"/>
              <w:rPr/>
            </w:pPr>
            <w:r>
              <w:rPr/>
            </w:r>
          </w:p>
        </w:tc>
        <w:tc>
          <w:tcPr>
            <w:tcW w:w="109" w:type="dxa"/>
            <w:vMerge w:val="continue"/>
            <w:tcBorders/>
            <w:shd w:fill="B2B2B2" w:val="clear"/>
            <w:tcMar>
              <w:bottom w:w="0" w:type="dxa"/>
            </w:tcMar>
            <w:vAlign w:val="center"/>
          </w:tcPr>
          <w:p>
            <w:pPr>
              <w:pStyle w:val="Normal"/>
              <w:bidi w:val="0"/>
              <w:jc w:val="left"/>
              <w:rPr/>
            </w:pPr>
            <w:r>
              <w:rPr/>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891" w:type="dxa"/>
            <w:tcBorders/>
            <w:shd w:fill="B2B2B2" w:val="clear"/>
            <w:tcMar>
              <w:bottom w:w="0" w:type="dxa"/>
            </w:tcMar>
            <w:vAlign w:val="center"/>
          </w:tcPr>
          <w:p>
            <w:pPr>
              <w:pStyle w:val="TableContents"/>
              <w:bidi w:val="0"/>
              <w:spacing w:before="0" w:after="283"/>
              <w:jc w:val="right"/>
              <w:rPr/>
            </w:pPr>
            <w:r>
              <w:rPr/>
              <w:t>2,582</w:t>
            </w:r>
          </w:p>
        </w:tc>
        <w:tc>
          <w:tcPr>
            <w:tcW w:w="112"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34" w:type="dxa"/>
            <w:tcBorders/>
            <w:shd w:fill="B2B2B2" w:val="clear"/>
            <w:tcMar>
              <w:bottom w:w="0" w:type="dxa"/>
            </w:tcMar>
            <w:vAlign w:val="center"/>
          </w:tcPr>
          <w:p>
            <w:pPr>
              <w:pStyle w:val="TableContents"/>
              <w:bidi w:val="0"/>
              <w:spacing w:before="0" w:after="283"/>
              <w:jc w:val="left"/>
              <w:rPr/>
            </w:pPr>
            <w:r>
              <w:rPr/>
              <w:t>​</w:t>
            </w:r>
          </w:p>
        </w:tc>
        <w:tc>
          <w:tcPr>
            <w:tcW w:w="134" w:type="dxa"/>
            <w:tcBorders/>
            <w:shd w:fill="B2B2B2" w:val="clear"/>
            <w:tcMar>
              <w:bottom w:w="0" w:type="dxa"/>
            </w:tcMar>
            <w:vAlign w:val="center"/>
          </w:tcPr>
          <w:p>
            <w:pPr>
              <w:pStyle w:val="TableContents"/>
              <w:bidi w:val="0"/>
              <w:spacing w:before="0" w:after="283"/>
              <w:jc w:val="right"/>
              <w:rPr/>
            </w:pPr>
            <w:r>
              <w:rPr/>
              <w:t>​</w:t>
            </w:r>
          </w:p>
        </w:tc>
        <w:tc>
          <w:tcPr>
            <w:tcW w:w="981" w:type="dxa"/>
            <w:tcBorders/>
            <w:shd w:fill="B2B2B2" w:val="clear"/>
            <w:tcMar>
              <w:bottom w:w="0" w:type="dxa"/>
            </w:tcMar>
            <w:vAlign w:val="center"/>
          </w:tcPr>
          <w:p>
            <w:pPr>
              <w:pStyle w:val="TableContents"/>
              <w:bidi w:val="0"/>
              <w:spacing w:before="0" w:after="283"/>
              <w:jc w:val="right"/>
              <w:rPr/>
            </w:pPr>
            <w:r>
              <w:rPr/>
              <w:t>—</w:t>
            </w:r>
            <w:r>
              <w:rPr>
                <w:sz w:val="9"/>
              </w:rPr>
              <w:t>(6)</w:t>
            </w:r>
            <w:r>
              <w:rPr/>
              <w:t xml:space="preserve"> </w:t>
            </w:r>
          </w:p>
        </w:tc>
        <w:tc>
          <w:tcPr>
            <w:tcW w:w="135"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226" w:type="dxa"/>
            <w:tcBorders/>
            <w:shd w:fill="B2B2B2" w:val="clear"/>
            <w:tcMar>
              <w:bottom w:w="0" w:type="dxa"/>
            </w:tcMar>
            <w:vAlign w:val="center"/>
          </w:tcPr>
          <w:p>
            <w:pPr>
              <w:pStyle w:val="TableContents"/>
              <w:bidi w:val="0"/>
              <w:spacing w:before="0" w:after="283"/>
              <w:jc w:val="right"/>
              <w:rPr/>
            </w:pPr>
            <w:r>
              <w:rPr/>
              <w:t>$</w:t>
            </w:r>
          </w:p>
        </w:tc>
        <w:tc>
          <w:tcPr>
            <w:tcW w:w="766" w:type="dxa"/>
            <w:tcBorders/>
            <w:shd w:fill="B2B2B2" w:val="clear"/>
            <w:tcMar>
              <w:bottom w:w="0" w:type="dxa"/>
            </w:tcMar>
            <w:vAlign w:val="center"/>
          </w:tcPr>
          <w:p>
            <w:pPr>
              <w:pStyle w:val="TableContents"/>
              <w:bidi w:val="0"/>
              <w:spacing w:before="0" w:after="283"/>
              <w:jc w:val="right"/>
              <w:rPr/>
            </w:pPr>
            <w:r>
              <w:rPr/>
              <w:t>335.91</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15" w:type="dxa"/>
            <w:tcBorders/>
            <w:shd w:fill="B2B2B2" w:val="clear"/>
            <w:tcMar>
              <w:bottom w:w="0" w:type="dxa"/>
            </w:tcMar>
            <w:vAlign w:val="center"/>
          </w:tcPr>
          <w:p>
            <w:pPr>
              <w:pStyle w:val="TableContents"/>
              <w:bidi w:val="0"/>
              <w:spacing w:before="0" w:after="283"/>
              <w:jc w:val="right"/>
              <w:rPr/>
            </w:pPr>
            <w:r>
              <w:rPr/>
              <w:t>03/01/31</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9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106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9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106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54" w:type="dxa"/>
            <w:tcBorders/>
            <w:shd w:fill="B2B2B2" w:val="clear"/>
            <w:tcMar>
              <w:bottom w:w="0" w:type="dxa"/>
            </w:tcMar>
            <w:vAlign w:val="center"/>
          </w:tcPr>
          <w:p>
            <w:pPr>
              <w:pStyle w:val="TableContents"/>
              <w:bidi w:val="0"/>
              <w:spacing w:before="0" w:after="283"/>
              <w:jc w:val="left"/>
              <w:rPr/>
            </w:pPr>
            <w:r>
              <w:rPr/>
              <w:t>​</w:t>
            </w:r>
          </w:p>
        </w:tc>
      </w:tr>
      <w:tr>
        <w:trPr/>
        <w:tc>
          <w:tcPr>
            <w:tcW w:w="124" w:type="dxa"/>
            <w:vMerge w:val="continue"/>
            <w:tcBorders/>
            <w:shd w:fill="B2B2B2" w:val="clear"/>
            <w:tcMar>
              <w:bottom w:w="0" w:type="dxa"/>
            </w:tcMar>
            <w:vAlign w:val="center"/>
          </w:tcPr>
          <w:p>
            <w:pPr>
              <w:pStyle w:val="Normal"/>
              <w:bidi w:val="0"/>
              <w:jc w:val="left"/>
              <w:rPr/>
            </w:pPr>
            <w:r>
              <w:rPr/>
            </w:r>
          </w:p>
        </w:tc>
        <w:tc>
          <w:tcPr>
            <w:tcW w:w="894" w:type="dxa"/>
            <w:vMerge w:val="continue"/>
            <w:tcBorders/>
            <w:shd w:fill="B2B2B2" w:val="clear"/>
            <w:tcMar>
              <w:bottom w:w="0" w:type="dxa"/>
            </w:tcMar>
            <w:vAlign w:val="center"/>
          </w:tcPr>
          <w:p>
            <w:pPr>
              <w:pStyle w:val="Normal"/>
              <w:bidi w:val="0"/>
              <w:jc w:val="left"/>
              <w:rPr/>
            </w:pPr>
            <w:r>
              <w:rPr/>
            </w:r>
          </w:p>
        </w:tc>
        <w:tc>
          <w:tcPr>
            <w:tcW w:w="109" w:type="dxa"/>
            <w:vMerge w:val="continue"/>
            <w:tcBorders/>
            <w:shd w:fill="B2B2B2" w:val="clear"/>
            <w:tcMar>
              <w:bottom w:w="0" w:type="dxa"/>
            </w:tcMar>
            <w:vAlign w:val="center"/>
          </w:tcPr>
          <w:p>
            <w:pPr>
              <w:pStyle w:val="Normal"/>
              <w:bidi w:val="0"/>
              <w:jc w:val="left"/>
              <w:rPr/>
            </w:pPr>
            <w:r>
              <w:rPr/>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891" w:type="dxa"/>
            <w:tcBorders/>
            <w:shd w:fill="B2B2B2" w:val="clear"/>
            <w:tcMar>
              <w:bottom w:w="0" w:type="dxa"/>
            </w:tcMar>
            <w:vAlign w:val="center"/>
          </w:tcPr>
          <w:p>
            <w:pPr>
              <w:pStyle w:val="TableContents"/>
              <w:bidi w:val="0"/>
              <w:spacing w:before="0" w:after="283"/>
              <w:jc w:val="right"/>
              <w:rPr/>
            </w:pPr>
            <w:r>
              <w:rPr/>
              <w:t>2,591</w:t>
            </w:r>
          </w:p>
        </w:tc>
        <w:tc>
          <w:tcPr>
            <w:tcW w:w="112"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34" w:type="dxa"/>
            <w:tcBorders/>
            <w:shd w:fill="B2B2B2" w:val="clear"/>
            <w:tcMar>
              <w:bottom w:w="0" w:type="dxa"/>
            </w:tcMar>
            <w:vAlign w:val="center"/>
          </w:tcPr>
          <w:p>
            <w:pPr>
              <w:pStyle w:val="TableContents"/>
              <w:bidi w:val="0"/>
              <w:spacing w:before="0" w:after="283"/>
              <w:jc w:val="left"/>
              <w:rPr/>
            </w:pPr>
            <w:r>
              <w:rPr/>
              <w:t>​</w:t>
            </w:r>
          </w:p>
        </w:tc>
        <w:tc>
          <w:tcPr>
            <w:tcW w:w="134" w:type="dxa"/>
            <w:tcBorders/>
            <w:shd w:fill="B2B2B2" w:val="clear"/>
            <w:tcMar>
              <w:bottom w:w="0" w:type="dxa"/>
            </w:tcMar>
            <w:vAlign w:val="center"/>
          </w:tcPr>
          <w:p>
            <w:pPr>
              <w:pStyle w:val="TableContents"/>
              <w:bidi w:val="0"/>
              <w:spacing w:before="0" w:after="283"/>
              <w:jc w:val="right"/>
              <w:rPr/>
            </w:pPr>
            <w:r>
              <w:rPr/>
              <w:t>​</w:t>
            </w:r>
          </w:p>
        </w:tc>
        <w:tc>
          <w:tcPr>
            <w:tcW w:w="981" w:type="dxa"/>
            <w:tcBorders/>
            <w:shd w:fill="B2B2B2" w:val="clear"/>
            <w:tcMar>
              <w:bottom w:w="0" w:type="dxa"/>
            </w:tcMar>
            <w:vAlign w:val="center"/>
          </w:tcPr>
          <w:p>
            <w:pPr>
              <w:pStyle w:val="TableContents"/>
              <w:bidi w:val="0"/>
              <w:spacing w:before="0" w:after="283"/>
              <w:jc w:val="right"/>
              <w:rPr/>
            </w:pPr>
            <w:r>
              <w:rPr/>
              <w:t>864</w:t>
            </w:r>
            <w:r>
              <w:rPr>
                <w:sz w:val="9"/>
              </w:rPr>
              <w:t>(7)</w:t>
            </w:r>
            <w:r>
              <w:rPr/>
              <w:t xml:space="preserve"> </w:t>
            </w:r>
          </w:p>
        </w:tc>
        <w:tc>
          <w:tcPr>
            <w:tcW w:w="135"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226" w:type="dxa"/>
            <w:tcBorders/>
            <w:shd w:fill="B2B2B2" w:val="clear"/>
            <w:tcMar>
              <w:bottom w:w="0" w:type="dxa"/>
            </w:tcMar>
            <w:vAlign w:val="center"/>
          </w:tcPr>
          <w:p>
            <w:pPr>
              <w:pStyle w:val="TableContents"/>
              <w:bidi w:val="0"/>
              <w:spacing w:before="0" w:after="283"/>
              <w:jc w:val="right"/>
              <w:rPr/>
            </w:pPr>
            <w:r>
              <w:rPr/>
              <w:t>$</w:t>
            </w:r>
          </w:p>
        </w:tc>
        <w:tc>
          <w:tcPr>
            <w:tcW w:w="766" w:type="dxa"/>
            <w:tcBorders/>
            <w:shd w:fill="B2B2B2" w:val="clear"/>
            <w:tcMar>
              <w:bottom w:w="0" w:type="dxa"/>
            </w:tcMar>
            <w:vAlign w:val="center"/>
          </w:tcPr>
          <w:p>
            <w:pPr>
              <w:pStyle w:val="TableContents"/>
              <w:bidi w:val="0"/>
              <w:spacing w:before="0" w:after="283"/>
              <w:jc w:val="right"/>
              <w:rPr/>
            </w:pPr>
            <w:r>
              <w:rPr/>
              <w:t>315.88</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15" w:type="dxa"/>
            <w:tcBorders/>
            <w:shd w:fill="B2B2B2" w:val="clear"/>
            <w:tcMar>
              <w:bottom w:w="0" w:type="dxa"/>
            </w:tcMar>
            <w:vAlign w:val="center"/>
          </w:tcPr>
          <w:p>
            <w:pPr>
              <w:pStyle w:val="TableContents"/>
              <w:bidi w:val="0"/>
              <w:spacing w:before="0" w:after="283"/>
              <w:jc w:val="right"/>
              <w:rPr/>
            </w:pPr>
            <w:r>
              <w:rPr/>
              <w:t>03/01/32</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9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106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9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106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54" w:type="dxa"/>
            <w:tcBorders/>
            <w:shd w:fill="B2B2B2" w:val="clear"/>
            <w:tcMar>
              <w:bottom w:w="0" w:type="dxa"/>
            </w:tcMar>
            <w:vAlign w:val="center"/>
          </w:tcPr>
          <w:p>
            <w:pPr>
              <w:pStyle w:val="TableContents"/>
              <w:bidi w:val="0"/>
              <w:spacing w:before="0" w:after="283"/>
              <w:jc w:val="left"/>
              <w:rPr/>
            </w:pPr>
            <w:r>
              <w:rPr/>
              <w:t>​</w:t>
            </w:r>
          </w:p>
        </w:tc>
      </w:tr>
      <w:tr>
        <w:trPr/>
        <w:tc>
          <w:tcPr>
            <w:tcW w:w="124" w:type="dxa"/>
            <w:vMerge w:val="continue"/>
            <w:tcBorders/>
            <w:shd w:fill="B2B2B2" w:val="clear"/>
            <w:tcMar>
              <w:bottom w:w="0" w:type="dxa"/>
            </w:tcMar>
            <w:vAlign w:val="center"/>
          </w:tcPr>
          <w:p>
            <w:pPr>
              <w:pStyle w:val="Normal"/>
              <w:bidi w:val="0"/>
              <w:jc w:val="left"/>
              <w:rPr/>
            </w:pPr>
            <w:r>
              <w:rPr/>
            </w:r>
          </w:p>
        </w:tc>
        <w:tc>
          <w:tcPr>
            <w:tcW w:w="894" w:type="dxa"/>
            <w:vMerge w:val="continue"/>
            <w:tcBorders/>
            <w:shd w:fill="B2B2B2" w:val="clear"/>
            <w:tcMar>
              <w:bottom w:w="0" w:type="dxa"/>
            </w:tcMar>
            <w:vAlign w:val="center"/>
          </w:tcPr>
          <w:p>
            <w:pPr>
              <w:pStyle w:val="Normal"/>
              <w:bidi w:val="0"/>
              <w:jc w:val="left"/>
              <w:rPr/>
            </w:pPr>
            <w:r>
              <w:rPr/>
            </w:r>
          </w:p>
        </w:tc>
        <w:tc>
          <w:tcPr>
            <w:tcW w:w="109" w:type="dxa"/>
            <w:vMerge w:val="continue"/>
            <w:tcBorders/>
            <w:shd w:fill="B2B2B2" w:val="clear"/>
            <w:tcMar>
              <w:bottom w:w="0" w:type="dxa"/>
            </w:tcMar>
            <w:vAlign w:val="center"/>
          </w:tcPr>
          <w:p>
            <w:pPr>
              <w:pStyle w:val="Normal"/>
              <w:bidi w:val="0"/>
              <w:jc w:val="left"/>
              <w:rPr/>
            </w:pPr>
            <w:r>
              <w:rPr/>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891" w:type="dxa"/>
            <w:tcBorders/>
            <w:shd w:fill="B2B2B2" w:val="clear"/>
            <w:tcMar>
              <w:bottom w:w="0" w:type="dxa"/>
            </w:tcMar>
            <w:vAlign w:val="center"/>
          </w:tcPr>
          <w:p>
            <w:pPr>
              <w:pStyle w:val="TableContents"/>
              <w:bidi w:val="0"/>
              <w:spacing w:before="0" w:after="283"/>
              <w:jc w:val="right"/>
              <w:rPr/>
            </w:pPr>
            <w:r>
              <w:rPr/>
              <w:t>3,670</w:t>
            </w:r>
          </w:p>
        </w:tc>
        <w:tc>
          <w:tcPr>
            <w:tcW w:w="112"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34" w:type="dxa"/>
            <w:tcBorders/>
            <w:shd w:fill="B2B2B2" w:val="clear"/>
            <w:tcMar>
              <w:bottom w:w="0" w:type="dxa"/>
            </w:tcMar>
            <w:vAlign w:val="center"/>
          </w:tcPr>
          <w:p>
            <w:pPr>
              <w:pStyle w:val="TableContents"/>
              <w:bidi w:val="0"/>
              <w:spacing w:before="0" w:after="283"/>
              <w:jc w:val="left"/>
              <w:rPr/>
            </w:pPr>
            <w:r>
              <w:rPr/>
              <w:t>​</w:t>
            </w:r>
          </w:p>
        </w:tc>
        <w:tc>
          <w:tcPr>
            <w:tcW w:w="134" w:type="dxa"/>
            <w:tcBorders/>
            <w:shd w:fill="B2B2B2" w:val="clear"/>
            <w:tcMar>
              <w:bottom w:w="0" w:type="dxa"/>
            </w:tcMar>
            <w:vAlign w:val="center"/>
          </w:tcPr>
          <w:p>
            <w:pPr>
              <w:pStyle w:val="TableContents"/>
              <w:bidi w:val="0"/>
              <w:spacing w:before="0" w:after="283"/>
              <w:jc w:val="right"/>
              <w:rPr/>
            </w:pPr>
            <w:r>
              <w:rPr/>
              <w:t>​</w:t>
            </w:r>
          </w:p>
        </w:tc>
        <w:tc>
          <w:tcPr>
            <w:tcW w:w="981" w:type="dxa"/>
            <w:tcBorders/>
            <w:shd w:fill="B2B2B2" w:val="clear"/>
            <w:tcMar>
              <w:bottom w:w="0" w:type="dxa"/>
            </w:tcMar>
            <w:vAlign w:val="center"/>
          </w:tcPr>
          <w:p>
            <w:pPr>
              <w:pStyle w:val="TableContents"/>
              <w:bidi w:val="0"/>
              <w:spacing w:before="0" w:after="283"/>
              <w:jc w:val="right"/>
              <w:rPr/>
            </w:pPr>
            <w:r>
              <w:rPr/>
              <w:t>3,670</w:t>
            </w:r>
            <w:r>
              <w:rPr>
                <w:sz w:val="9"/>
              </w:rPr>
              <w:t>(8)</w:t>
            </w:r>
            <w:r>
              <w:rPr/>
              <w:t xml:space="preserve"> </w:t>
            </w:r>
          </w:p>
        </w:tc>
        <w:tc>
          <w:tcPr>
            <w:tcW w:w="135"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226" w:type="dxa"/>
            <w:tcBorders/>
            <w:shd w:fill="B2B2B2" w:val="clear"/>
            <w:tcMar>
              <w:bottom w:w="0" w:type="dxa"/>
            </w:tcMar>
            <w:vAlign w:val="center"/>
          </w:tcPr>
          <w:p>
            <w:pPr>
              <w:pStyle w:val="TableContents"/>
              <w:bidi w:val="0"/>
              <w:spacing w:before="0" w:after="283"/>
              <w:jc w:val="right"/>
              <w:rPr/>
            </w:pPr>
            <w:r>
              <w:rPr/>
              <w:t>$</w:t>
            </w:r>
          </w:p>
        </w:tc>
        <w:tc>
          <w:tcPr>
            <w:tcW w:w="766" w:type="dxa"/>
            <w:tcBorders/>
            <w:shd w:fill="B2B2B2" w:val="clear"/>
            <w:tcMar>
              <w:bottom w:w="0" w:type="dxa"/>
            </w:tcMar>
            <w:vAlign w:val="center"/>
          </w:tcPr>
          <w:p>
            <w:pPr>
              <w:pStyle w:val="TableContents"/>
              <w:bidi w:val="0"/>
              <w:spacing w:before="0" w:after="283"/>
              <w:jc w:val="right"/>
              <w:rPr/>
            </w:pPr>
            <w:r>
              <w:rPr/>
              <w:t>119.54</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15" w:type="dxa"/>
            <w:tcBorders/>
            <w:shd w:fill="B2B2B2" w:val="clear"/>
            <w:tcMar>
              <w:bottom w:w="0" w:type="dxa"/>
            </w:tcMar>
            <w:vAlign w:val="center"/>
          </w:tcPr>
          <w:p>
            <w:pPr>
              <w:pStyle w:val="TableContents"/>
              <w:bidi w:val="0"/>
              <w:spacing w:before="0" w:after="283"/>
              <w:jc w:val="right"/>
              <w:rPr/>
            </w:pPr>
            <w:r>
              <w:rPr/>
              <w:t>03/01/33</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96" w:type="dxa"/>
            <w:tcBorders/>
            <w:shd w:fill="B2B2B2" w:val="clear"/>
            <w:tcMar>
              <w:bottom w:w="0" w:type="dxa"/>
            </w:tcMar>
            <w:vAlign w:val="center"/>
          </w:tcPr>
          <w:p>
            <w:pPr>
              <w:pStyle w:val="TableContents"/>
              <w:bidi w:val="0"/>
              <w:spacing w:before="0" w:after="283"/>
              <w:jc w:val="right"/>
              <w:rPr/>
            </w:pPr>
            <w:r>
              <w:rPr/>
              <w:t>1,219</w:t>
            </w:r>
            <w:r>
              <w:rPr>
                <w:sz w:val="9"/>
              </w:rPr>
              <w:t>(11)</w:t>
            </w:r>
            <w:r>
              <w:rPr/>
              <w:t xml:space="preserve"> </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1066" w:type="dxa"/>
            <w:tcBorders/>
            <w:shd w:fill="B2B2B2" w:val="clear"/>
            <w:tcMar>
              <w:bottom w:w="0" w:type="dxa"/>
            </w:tcMar>
            <w:vAlign w:val="center"/>
          </w:tcPr>
          <w:p>
            <w:pPr>
              <w:pStyle w:val="TableContents"/>
              <w:bidi w:val="0"/>
              <w:spacing w:before="0" w:after="283"/>
              <w:jc w:val="right"/>
              <w:rPr/>
            </w:pPr>
            <w:r>
              <w:rPr/>
              <w:t>166,235</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96" w:type="dxa"/>
            <w:tcBorders/>
            <w:shd w:fill="B2B2B2" w:val="clear"/>
            <w:tcMar>
              <w:bottom w:w="0" w:type="dxa"/>
            </w:tcMar>
            <w:vAlign w:val="center"/>
          </w:tcPr>
          <w:p>
            <w:pPr>
              <w:pStyle w:val="TableContents"/>
              <w:bidi w:val="0"/>
              <w:spacing w:before="0" w:after="283"/>
              <w:jc w:val="right"/>
              <w:rPr/>
            </w:pPr>
            <w:r>
              <w:rPr/>
              <w:t>1,829</w:t>
            </w:r>
            <w:r>
              <w:rPr>
                <w:sz w:val="9"/>
              </w:rPr>
              <w:t>(12)</w:t>
            </w:r>
            <w:r>
              <w:rPr/>
              <w:t xml:space="preserve"> </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1066" w:type="dxa"/>
            <w:tcBorders/>
            <w:shd w:fill="B2B2B2" w:val="clear"/>
            <w:tcMar>
              <w:bottom w:w="0" w:type="dxa"/>
            </w:tcMar>
            <w:vAlign w:val="center"/>
          </w:tcPr>
          <w:p>
            <w:pPr>
              <w:pStyle w:val="TableContents"/>
              <w:bidi w:val="0"/>
              <w:spacing w:before="0" w:after="283"/>
              <w:jc w:val="right"/>
              <w:rPr/>
            </w:pPr>
            <w:r>
              <w:rPr/>
              <w:t>249,353</w:t>
            </w:r>
          </w:p>
        </w:tc>
        <w:tc>
          <w:tcPr>
            <w:tcW w:w="109" w:type="dxa"/>
            <w:tcBorders/>
            <w:shd w:fill="B2B2B2" w:val="clear"/>
            <w:tcMar>
              <w:bottom w:w="0" w:type="dxa"/>
            </w:tcMar>
            <w:vAlign w:val="center"/>
          </w:tcPr>
          <w:p>
            <w:pPr>
              <w:pStyle w:val="TableContents"/>
              <w:bidi w:val="0"/>
              <w:spacing w:before="0" w:after="283"/>
              <w:jc w:val="left"/>
              <w:rPr/>
            </w:pPr>
            <w:r>
              <w:rPr/>
              <w:t>​</w:t>
            </w:r>
          </w:p>
        </w:tc>
        <w:tc>
          <w:tcPr>
            <w:tcW w:w="154" w:type="dxa"/>
            <w:tcBorders/>
            <w:shd w:fill="B2B2B2" w:val="clear"/>
            <w:tcMar>
              <w:bottom w:w="0" w:type="dxa"/>
            </w:tcMar>
            <w:vAlign w:val="center"/>
          </w:tcPr>
          <w:p>
            <w:pPr>
              <w:pStyle w:val="TableContents"/>
              <w:bidi w:val="0"/>
              <w:spacing w:before="0" w:after="283"/>
              <w:jc w:val="left"/>
              <w:rPr/>
            </w:pPr>
            <w:r>
              <w:rPr/>
              <w:t>​</w:t>
            </w:r>
          </w:p>
        </w:tc>
      </w:tr>
      <w:tr>
        <w:trPr/>
        <w:tc>
          <w:tcPr>
            <w:tcW w:w="124" w:type="dxa"/>
            <w:vMerge w:val="continue"/>
            <w:tcBorders/>
            <w:shd w:fill="B2B2B2" w:val="clear"/>
            <w:tcMar>
              <w:bottom w:w="0" w:type="dxa"/>
            </w:tcMar>
            <w:vAlign w:val="center"/>
          </w:tcPr>
          <w:p>
            <w:pPr>
              <w:pStyle w:val="Normal"/>
              <w:bidi w:val="0"/>
              <w:jc w:val="left"/>
              <w:rPr/>
            </w:pPr>
            <w:r>
              <w:rPr/>
            </w:r>
          </w:p>
        </w:tc>
        <w:tc>
          <w:tcPr>
            <w:tcW w:w="894" w:type="dxa"/>
            <w:vMerge w:val="continue"/>
            <w:tcBorders/>
            <w:shd w:fill="B2B2B2" w:val="clear"/>
            <w:tcMar>
              <w:bottom w:w="0" w:type="dxa"/>
            </w:tcMar>
            <w:vAlign w:val="center"/>
          </w:tcPr>
          <w:p>
            <w:pPr>
              <w:pStyle w:val="Normal"/>
              <w:bidi w:val="0"/>
              <w:jc w:val="left"/>
              <w:rPr/>
            </w:pPr>
            <w:r>
              <w:rPr/>
            </w:r>
          </w:p>
        </w:tc>
        <w:tc>
          <w:tcPr>
            <w:tcW w:w="109" w:type="dxa"/>
            <w:vMerge w:val="continue"/>
            <w:tcBorders/>
            <w:shd w:fill="B2B2B2" w:val="clear"/>
            <w:tcMar>
              <w:bottom w:w="0" w:type="dxa"/>
            </w:tcMar>
            <w:vAlign w:val="center"/>
          </w:tcPr>
          <w:p>
            <w:pPr>
              <w:pStyle w:val="Normal"/>
              <w:bidi w:val="0"/>
              <w:jc w:val="left"/>
              <w:rPr/>
            </w:pPr>
            <w:r>
              <w:rPr/>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891" w:type="dxa"/>
            <w:tcBorders/>
            <w:shd w:fill="B2B2B2" w:val="clear"/>
            <w:tcMar>
              <w:bottom w:w="0" w:type="dxa"/>
            </w:tcMar>
            <w:vAlign w:val="center"/>
          </w:tcPr>
          <w:p>
            <w:pPr>
              <w:pStyle w:val="TableContents"/>
              <w:bidi w:val="0"/>
              <w:spacing w:before="0" w:after="283"/>
              <w:jc w:val="right"/>
              <w:rPr/>
            </w:pPr>
            <w:r>
              <w:rPr/>
              <w:t>1,383</w:t>
            </w:r>
          </w:p>
        </w:tc>
        <w:tc>
          <w:tcPr>
            <w:tcW w:w="112"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34" w:type="dxa"/>
            <w:tcBorders/>
            <w:shd w:fill="B2B2B2" w:val="clear"/>
            <w:tcMar>
              <w:bottom w:w="0" w:type="dxa"/>
            </w:tcMar>
            <w:vAlign w:val="center"/>
          </w:tcPr>
          <w:p>
            <w:pPr>
              <w:pStyle w:val="TableContents"/>
              <w:bidi w:val="0"/>
              <w:spacing w:before="0" w:after="283"/>
              <w:jc w:val="left"/>
              <w:rPr/>
            </w:pPr>
            <w:r>
              <w:rPr/>
              <w:t>​</w:t>
            </w:r>
          </w:p>
        </w:tc>
        <w:tc>
          <w:tcPr>
            <w:tcW w:w="134" w:type="dxa"/>
            <w:tcBorders/>
            <w:shd w:fill="B2B2B2" w:val="clear"/>
            <w:tcMar>
              <w:bottom w:w="0" w:type="dxa"/>
            </w:tcMar>
            <w:vAlign w:val="center"/>
          </w:tcPr>
          <w:p>
            <w:pPr>
              <w:pStyle w:val="TableContents"/>
              <w:bidi w:val="0"/>
              <w:spacing w:before="0" w:after="283"/>
              <w:jc w:val="right"/>
              <w:rPr/>
            </w:pPr>
            <w:r>
              <w:rPr/>
              <w:t>​</w:t>
            </w:r>
          </w:p>
        </w:tc>
        <w:tc>
          <w:tcPr>
            <w:tcW w:w="981" w:type="dxa"/>
            <w:tcBorders/>
            <w:shd w:fill="B2B2B2" w:val="clear"/>
            <w:tcMar>
              <w:bottom w:w="0" w:type="dxa"/>
            </w:tcMar>
            <w:vAlign w:val="center"/>
          </w:tcPr>
          <w:p>
            <w:pPr>
              <w:pStyle w:val="TableContents"/>
              <w:bidi w:val="0"/>
              <w:spacing w:before="0" w:after="283"/>
              <w:jc w:val="right"/>
              <w:rPr/>
            </w:pPr>
            <w:r>
              <w:rPr/>
              <w:t>4,151</w:t>
            </w:r>
            <w:r>
              <w:rPr>
                <w:sz w:val="9"/>
              </w:rPr>
              <w:t>(9)</w:t>
            </w:r>
            <w:r>
              <w:rPr/>
              <w:t xml:space="preserve"> </w:t>
            </w:r>
          </w:p>
        </w:tc>
        <w:tc>
          <w:tcPr>
            <w:tcW w:w="135"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226" w:type="dxa"/>
            <w:tcBorders/>
            <w:shd w:fill="B2B2B2" w:val="clear"/>
            <w:tcMar>
              <w:bottom w:w="0" w:type="dxa"/>
            </w:tcMar>
            <w:vAlign w:val="center"/>
          </w:tcPr>
          <w:p>
            <w:pPr>
              <w:pStyle w:val="TableContents"/>
              <w:bidi w:val="0"/>
              <w:spacing w:before="0" w:after="283"/>
              <w:jc w:val="right"/>
              <w:rPr/>
            </w:pPr>
            <w:r>
              <w:rPr/>
              <w:t>$</w:t>
            </w:r>
          </w:p>
        </w:tc>
        <w:tc>
          <w:tcPr>
            <w:tcW w:w="766" w:type="dxa"/>
            <w:tcBorders/>
            <w:shd w:fill="B2B2B2" w:val="clear"/>
            <w:tcMar>
              <w:bottom w:w="0" w:type="dxa"/>
            </w:tcMar>
            <w:vAlign w:val="center"/>
          </w:tcPr>
          <w:p>
            <w:pPr>
              <w:pStyle w:val="TableContents"/>
              <w:bidi w:val="0"/>
              <w:spacing w:before="0" w:after="283"/>
              <w:jc w:val="right"/>
              <w:rPr/>
            </w:pPr>
            <w:r>
              <w:rPr/>
              <w:t>112.45</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15" w:type="dxa"/>
            <w:tcBorders/>
            <w:shd w:fill="B2B2B2" w:val="clear"/>
            <w:tcMar>
              <w:bottom w:w="0" w:type="dxa"/>
            </w:tcMar>
            <w:vAlign w:val="center"/>
          </w:tcPr>
          <w:p>
            <w:pPr>
              <w:pStyle w:val="TableContents"/>
              <w:bidi w:val="0"/>
              <w:spacing w:before="0" w:after="283"/>
              <w:jc w:val="right"/>
              <w:rPr/>
            </w:pPr>
            <w:r>
              <w:rPr/>
              <w:t>03/01/34</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96" w:type="dxa"/>
            <w:tcBorders/>
            <w:shd w:fill="B2B2B2" w:val="clear"/>
            <w:tcMar>
              <w:bottom w:w="0" w:type="dxa"/>
            </w:tcMar>
            <w:vAlign w:val="center"/>
          </w:tcPr>
          <w:p>
            <w:pPr>
              <w:pStyle w:val="TableContents"/>
              <w:bidi w:val="0"/>
              <w:spacing w:before="0" w:after="283"/>
              <w:jc w:val="right"/>
              <w:rPr/>
            </w:pPr>
            <w:r>
              <w:rPr/>
              <w:t>1,946</w:t>
            </w:r>
            <w:r>
              <w:rPr>
                <w:sz w:val="9"/>
              </w:rPr>
              <w:t>(14)</w:t>
            </w:r>
            <w:r>
              <w:rPr/>
              <w:t xml:space="preserve"> </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1066" w:type="dxa"/>
            <w:tcBorders/>
            <w:shd w:fill="B2B2B2" w:val="clear"/>
            <w:tcMar>
              <w:bottom w:w="0" w:type="dxa"/>
            </w:tcMar>
            <w:vAlign w:val="center"/>
          </w:tcPr>
          <w:p>
            <w:pPr>
              <w:pStyle w:val="TableContents"/>
              <w:bidi w:val="0"/>
              <w:spacing w:before="0" w:after="283"/>
              <w:jc w:val="right"/>
              <w:rPr/>
            </w:pPr>
            <w:r>
              <w:rPr/>
              <w:t>265,376</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96" w:type="dxa"/>
            <w:tcBorders/>
            <w:shd w:fill="B2B2B2" w:val="clear"/>
            <w:tcMar>
              <w:bottom w:w="0" w:type="dxa"/>
            </w:tcMar>
            <w:vAlign w:val="center"/>
          </w:tcPr>
          <w:p>
            <w:pPr>
              <w:pStyle w:val="TableContents"/>
              <w:bidi w:val="0"/>
              <w:spacing w:before="0" w:after="283"/>
              <w:jc w:val="right"/>
              <w:rPr/>
            </w:pPr>
            <w:r>
              <w:rPr/>
              <w:t>2,918</w:t>
            </w:r>
            <w:r>
              <w:rPr>
                <w:sz w:val="9"/>
              </w:rPr>
              <w:t>(15)</w:t>
            </w:r>
            <w:r>
              <w:rPr/>
              <w:t xml:space="preserve"> </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1066" w:type="dxa"/>
            <w:tcBorders/>
            <w:shd w:fill="B2B2B2" w:val="clear"/>
            <w:tcMar>
              <w:bottom w:w="0" w:type="dxa"/>
            </w:tcMar>
            <w:vAlign w:val="center"/>
          </w:tcPr>
          <w:p>
            <w:pPr>
              <w:pStyle w:val="TableContents"/>
              <w:bidi w:val="0"/>
              <w:spacing w:before="0" w:after="283"/>
              <w:jc w:val="right"/>
              <w:rPr/>
            </w:pPr>
            <w:r>
              <w:rPr/>
              <w:t>397,928</w:t>
            </w:r>
          </w:p>
        </w:tc>
        <w:tc>
          <w:tcPr>
            <w:tcW w:w="109" w:type="dxa"/>
            <w:tcBorders/>
            <w:shd w:fill="B2B2B2" w:val="clear"/>
            <w:tcMar>
              <w:bottom w:w="0" w:type="dxa"/>
            </w:tcMar>
            <w:vAlign w:val="center"/>
          </w:tcPr>
          <w:p>
            <w:pPr>
              <w:pStyle w:val="TableContents"/>
              <w:bidi w:val="0"/>
              <w:spacing w:before="0" w:after="283"/>
              <w:jc w:val="left"/>
              <w:rPr/>
            </w:pPr>
            <w:r>
              <w:rPr/>
              <w:t>​</w:t>
            </w:r>
          </w:p>
        </w:tc>
        <w:tc>
          <w:tcPr>
            <w:tcW w:w="154" w:type="dxa"/>
            <w:tcBorders/>
            <w:shd w:fill="B2B2B2" w:val="clear"/>
            <w:tcMar>
              <w:bottom w:w="0" w:type="dxa"/>
            </w:tcMar>
            <w:vAlign w:val="center"/>
          </w:tcPr>
          <w:p>
            <w:pPr>
              <w:pStyle w:val="TableContents"/>
              <w:bidi w:val="0"/>
              <w:spacing w:before="0" w:after="283"/>
              <w:jc w:val="left"/>
              <w:rPr/>
            </w:pPr>
            <w:r>
              <w:rPr/>
              <w:t>​</w:t>
            </w:r>
          </w:p>
        </w:tc>
      </w:tr>
      <w:tr>
        <w:trPr/>
        <w:tc>
          <w:tcPr>
            <w:tcW w:w="124" w:type="dxa"/>
            <w:vMerge w:val="continue"/>
            <w:tcBorders/>
            <w:shd w:fill="B2B2B2" w:val="clear"/>
            <w:tcMar>
              <w:bottom w:w="0" w:type="dxa"/>
            </w:tcMar>
            <w:vAlign w:val="center"/>
          </w:tcPr>
          <w:p>
            <w:pPr>
              <w:pStyle w:val="Normal"/>
              <w:bidi w:val="0"/>
              <w:jc w:val="left"/>
              <w:rPr/>
            </w:pPr>
            <w:r>
              <w:rPr/>
            </w:r>
          </w:p>
        </w:tc>
        <w:tc>
          <w:tcPr>
            <w:tcW w:w="894" w:type="dxa"/>
            <w:vMerge w:val="continue"/>
            <w:tcBorders/>
            <w:shd w:fill="B2B2B2" w:val="clear"/>
            <w:tcMar>
              <w:bottom w:w="0" w:type="dxa"/>
            </w:tcMar>
            <w:vAlign w:val="center"/>
          </w:tcPr>
          <w:p>
            <w:pPr>
              <w:pStyle w:val="Normal"/>
              <w:bidi w:val="0"/>
              <w:jc w:val="left"/>
              <w:rPr/>
            </w:pPr>
            <w:r>
              <w:rPr/>
            </w:r>
          </w:p>
        </w:tc>
        <w:tc>
          <w:tcPr>
            <w:tcW w:w="109" w:type="dxa"/>
            <w:vMerge w:val="continue"/>
            <w:tcBorders/>
            <w:shd w:fill="B2B2B2" w:val="clear"/>
            <w:tcMar>
              <w:bottom w:w="0" w:type="dxa"/>
            </w:tcMar>
            <w:vAlign w:val="center"/>
          </w:tcPr>
          <w:p>
            <w:pPr>
              <w:pStyle w:val="Normal"/>
              <w:bidi w:val="0"/>
              <w:jc w:val="left"/>
              <w:rPr/>
            </w:pPr>
            <w:r>
              <w:rPr/>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891" w:type="dxa"/>
            <w:tcBorders/>
            <w:shd w:fill="B2B2B2" w:val="clear"/>
            <w:tcMar>
              <w:bottom w:w="0" w:type="dxa"/>
            </w:tcMar>
            <w:vAlign w:val="center"/>
          </w:tcPr>
          <w:p>
            <w:pPr>
              <w:pStyle w:val="TableContents"/>
              <w:bidi w:val="0"/>
              <w:spacing w:before="0" w:after="283"/>
              <w:jc w:val="right"/>
              <w:rPr/>
            </w:pPr>
            <w:r>
              <w:rPr/>
              <w:t>—</w:t>
            </w:r>
          </w:p>
        </w:tc>
        <w:tc>
          <w:tcPr>
            <w:tcW w:w="112"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34" w:type="dxa"/>
            <w:tcBorders/>
            <w:shd w:fill="B2B2B2" w:val="clear"/>
            <w:tcMar>
              <w:bottom w:w="0" w:type="dxa"/>
            </w:tcMar>
            <w:vAlign w:val="center"/>
          </w:tcPr>
          <w:p>
            <w:pPr>
              <w:pStyle w:val="TableContents"/>
              <w:bidi w:val="0"/>
              <w:spacing w:before="0" w:after="283"/>
              <w:jc w:val="left"/>
              <w:rPr/>
            </w:pPr>
            <w:r>
              <w:rPr/>
              <w:t>​</w:t>
            </w:r>
          </w:p>
        </w:tc>
        <w:tc>
          <w:tcPr>
            <w:tcW w:w="134" w:type="dxa"/>
            <w:tcBorders/>
            <w:shd w:fill="B2B2B2" w:val="clear"/>
            <w:tcMar>
              <w:bottom w:w="0" w:type="dxa"/>
            </w:tcMar>
            <w:vAlign w:val="center"/>
          </w:tcPr>
          <w:p>
            <w:pPr>
              <w:pStyle w:val="TableContents"/>
              <w:bidi w:val="0"/>
              <w:spacing w:before="0" w:after="283"/>
              <w:jc w:val="right"/>
              <w:rPr/>
            </w:pPr>
            <w:r>
              <w:rPr/>
              <w:t>​</w:t>
            </w:r>
          </w:p>
        </w:tc>
        <w:tc>
          <w:tcPr>
            <w:tcW w:w="981" w:type="dxa"/>
            <w:tcBorders/>
            <w:shd w:fill="B2B2B2" w:val="clear"/>
            <w:tcMar>
              <w:bottom w:w="0" w:type="dxa"/>
            </w:tcMar>
            <w:vAlign w:val="center"/>
          </w:tcPr>
          <w:p>
            <w:pPr>
              <w:pStyle w:val="TableContents"/>
              <w:bidi w:val="0"/>
              <w:spacing w:before="0" w:after="283"/>
              <w:jc w:val="right"/>
              <w:rPr/>
            </w:pPr>
            <w:r>
              <w:rPr/>
              <w:t>5,197</w:t>
            </w:r>
            <w:r>
              <w:rPr>
                <w:sz w:val="9"/>
              </w:rPr>
              <w:t>(10)</w:t>
            </w:r>
            <w:r>
              <w:rPr/>
              <w:t xml:space="preserve"> </w:t>
            </w:r>
          </w:p>
        </w:tc>
        <w:tc>
          <w:tcPr>
            <w:tcW w:w="135"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226" w:type="dxa"/>
            <w:tcBorders/>
            <w:shd w:fill="B2B2B2" w:val="clear"/>
            <w:tcMar>
              <w:bottom w:w="0" w:type="dxa"/>
            </w:tcMar>
            <w:vAlign w:val="center"/>
          </w:tcPr>
          <w:p>
            <w:pPr>
              <w:pStyle w:val="TableContents"/>
              <w:bidi w:val="0"/>
              <w:spacing w:before="0" w:after="283"/>
              <w:jc w:val="right"/>
              <w:rPr/>
            </w:pPr>
            <w:r>
              <w:rPr/>
              <w:t>$</w:t>
            </w:r>
          </w:p>
        </w:tc>
        <w:tc>
          <w:tcPr>
            <w:tcW w:w="766" w:type="dxa"/>
            <w:tcBorders/>
            <w:shd w:fill="B2B2B2" w:val="clear"/>
            <w:tcMar>
              <w:bottom w:w="0" w:type="dxa"/>
            </w:tcMar>
            <w:vAlign w:val="center"/>
          </w:tcPr>
          <w:p>
            <w:pPr>
              <w:pStyle w:val="TableContents"/>
              <w:bidi w:val="0"/>
              <w:spacing w:before="0" w:after="283"/>
              <w:jc w:val="right"/>
              <w:rPr/>
            </w:pPr>
            <w:r>
              <w:rPr/>
              <w:t>135.79</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15" w:type="dxa"/>
            <w:tcBorders/>
            <w:shd w:fill="B2B2B2" w:val="clear"/>
            <w:tcMar>
              <w:bottom w:w="0" w:type="dxa"/>
            </w:tcMar>
            <w:vAlign w:val="center"/>
          </w:tcPr>
          <w:p>
            <w:pPr>
              <w:pStyle w:val="TableContents"/>
              <w:bidi w:val="0"/>
              <w:spacing w:before="0" w:after="283"/>
              <w:jc w:val="right"/>
              <w:rPr/>
            </w:pPr>
            <w:r>
              <w:rPr/>
              <w:t>03/01/35</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96" w:type="dxa"/>
            <w:tcBorders/>
            <w:shd w:fill="B2B2B2" w:val="clear"/>
            <w:tcMar>
              <w:bottom w:w="0" w:type="dxa"/>
            </w:tcMar>
            <w:vAlign w:val="center"/>
          </w:tcPr>
          <w:p>
            <w:pPr>
              <w:pStyle w:val="TableContents"/>
              <w:bidi w:val="0"/>
              <w:spacing w:before="0" w:after="283"/>
              <w:jc w:val="right"/>
              <w:rPr/>
            </w:pPr>
            <w:r>
              <w:rPr/>
              <w:t>2,762</w:t>
            </w:r>
            <w:r>
              <w:rPr>
                <w:sz w:val="9"/>
              </w:rPr>
              <w:t>(16)</w:t>
            </w:r>
            <w:r>
              <w:rPr/>
              <w:t xml:space="preserve"> </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1066" w:type="dxa"/>
            <w:tcBorders/>
            <w:shd w:fill="B2B2B2" w:val="clear"/>
            <w:tcMar>
              <w:bottom w:w="0" w:type="dxa"/>
            </w:tcMar>
            <w:vAlign w:val="center"/>
          </w:tcPr>
          <w:p>
            <w:pPr>
              <w:pStyle w:val="TableContents"/>
              <w:bidi w:val="0"/>
              <w:spacing w:before="0" w:after="283"/>
              <w:jc w:val="right"/>
              <w:rPr/>
            </w:pPr>
            <w:r>
              <w:rPr/>
              <w:t>376,654</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96" w:type="dxa"/>
            <w:tcBorders/>
            <w:shd w:fill="B2B2B2" w:val="clear"/>
            <w:tcMar>
              <w:bottom w:w="0" w:type="dxa"/>
            </w:tcMar>
            <w:vAlign w:val="center"/>
          </w:tcPr>
          <w:p>
            <w:pPr>
              <w:pStyle w:val="TableContents"/>
              <w:bidi w:val="0"/>
              <w:spacing w:before="0" w:after="283"/>
              <w:jc w:val="right"/>
              <w:rPr/>
            </w:pPr>
            <w:r>
              <w:rPr/>
              <w:t>2,762</w:t>
            </w:r>
            <w:r>
              <w:rPr>
                <w:sz w:val="9"/>
              </w:rPr>
              <w:t>(17)</w:t>
            </w:r>
            <w:r>
              <w:rPr/>
              <w:t xml:space="preserve"> </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1066" w:type="dxa"/>
            <w:tcBorders/>
            <w:shd w:fill="B2B2B2" w:val="clear"/>
            <w:tcMar>
              <w:bottom w:w="0" w:type="dxa"/>
            </w:tcMar>
            <w:vAlign w:val="center"/>
          </w:tcPr>
          <w:p>
            <w:pPr>
              <w:pStyle w:val="TableContents"/>
              <w:bidi w:val="0"/>
              <w:spacing w:before="0" w:after="283"/>
              <w:jc w:val="right"/>
              <w:rPr/>
            </w:pPr>
            <w:r>
              <w:rPr/>
              <w:t>376,654</w:t>
            </w:r>
          </w:p>
        </w:tc>
        <w:tc>
          <w:tcPr>
            <w:tcW w:w="109" w:type="dxa"/>
            <w:tcBorders/>
            <w:shd w:fill="B2B2B2" w:val="clear"/>
            <w:tcMar>
              <w:bottom w:w="0" w:type="dxa"/>
            </w:tcMar>
            <w:vAlign w:val="center"/>
          </w:tcPr>
          <w:p>
            <w:pPr>
              <w:pStyle w:val="TableContents"/>
              <w:bidi w:val="0"/>
              <w:spacing w:before="0" w:after="283"/>
              <w:jc w:val="left"/>
              <w:rPr/>
            </w:pPr>
            <w:r>
              <w:rPr/>
              <w:t>​</w:t>
            </w:r>
          </w:p>
        </w:tc>
        <w:tc>
          <w:tcPr>
            <w:tcW w:w="154" w:type="dxa"/>
            <w:tcBorders/>
            <w:shd w:fill="B2B2B2" w:val="clear"/>
            <w:tcMar>
              <w:bottom w:w="0" w:type="dxa"/>
            </w:tcMar>
            <w:vAlign w:val="center"/>
          </w:tcPr>
          <w:p>
            <w:pPr>
              <w:pStyle w:val="TableContents"/>
              <w:bidi w:val="0"/>
              <w:spacing w:before="0" w:after="283"/>
              <w:jc w:val="left"/>
              <w:rPr/>
            </w:pPr>
            <w:r>
              <w:rPr/>
              <w:t>​</w:t>
            </w:r>
          </w:p>
        </w:tc>
      </w:tr>
      <w:tr>
        <w:trPr/>
        <w:tc>
          <w:tcPr>
            <w:tcW w:w="124" w:type="dxa"/>
            <w:vMerge w:val="restart"/>
            <w:tcBorders/>
            <w:tcMar>
              <w:bottom w:w="0" w:type="dxa"/>
            </w:tcMar>
            <w:vAlign w:val="center"/>
          </w:tcPr>
          <w:p>
            <w:pPr>
              <w:pStyle w:val="TableContents"/>
              <w:bidi w:val="0"/>
              <w:spacing w:before="0" w:after="283"/>
              <w:jc w:val="left"/>
              <w:rPr/>
            </w:pPr>
            <w:r>
              <w:rPr/>
              <w:t>​</w:t>
            </w:r>
          </w:p>
        </w:tc>
        <w:tc>
          <w:tcPr>
            <w:tcW w:w="894" w:type="dxa"/>
            <w:vMerge w:val="restart"/>
            <w:tcBorders/>
            <w:tcMar>
              <w:bottom w:w="0" w:type="dxa"/>
            </w:tcMar>
            <w:vAlign w:val="center"/>
          </w:tcPr>
          <w:p>
            <w:pPr>
              <w:pStyle w:val="TableContents"/>
              <w:bidi w:val="0"/>
              <w:spacing w:lineRule="atLeast" w:line="180" w:before="0" w:after="0"/>
              <w:jc w:val="left"/>
              <w:rPr>
                <w:spacing w:val="-1"/>
              </w:rPr>
            </w:pPr>
            <w:r>
              <w:rPr>
                <w:spacing w:val="-1"/>
              </w:rPr>
              <w:t xml:space="preserve">Norman Taffe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80" w:before="0" w:after="283"/>
              <w:jc w:val="right"/>
              <w:rPr/>
            </w:pPr>
            <w:r>
              <w:rPr/>
              <w:t>​</w:t>
            </w:r>
          </w:p>
        </w:tc>
        <w:tc>
          <w:tcPr>
            <w:tcW w:w="891" w:type="dxa"/>
            <w:tcBorders/>
            <w:tcMar>
              <w:bottom w:w="0" w:type="dxa"/>
            </w:tcMar>
            <w:vAlign w:val="center"/>
          </w:tcPr>
          <w:p>
            <w:pPr>
              <w:pStyle w:val="TableContents"/>
              <w:bidi w:val="0"/>
              <w:spacing w:lineRule="atLeast" w:line="180" w:before="0" w:after="283"/>
              <w:jc w:val="right"/>
              <w:rPr/>
            </w:pPr>
            <w:r>
              <w:rPr/>
              <w:t>2,080</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lineRule="atLeast" w:line="180" w:before="0" w:after="283"/>
              <w:jc w:val="right"/>
              <w:rPr/>
            </w:pPr>
            <w:r>
              <w:rPr/>
              <w:t>​</w:t>
            </w:r>
          </w:p>
        </w:tc>
        <w:tc>
          <w:tcPr>
            <w:tcW w:w="981" w:type="dxa"/>
            <w:tcBorders/>
            <w:tcMar>
              <w:bottom w:w="0" w:type="dxa"/>
            </w:tcMar>
            <w:vAlign w:val="center"/>
          </w:tcPr>
          <w:p>
            <w:pPr>
              <w:pStyle w:val="TableContents"/>
              <w:bidi w:val="0"/>
              <w:spacing w:lineRule="atLeast" w:line="180" w:before="0" w:after="283"/>
              <w:jc w:val="right"/>
              <w:rPr/>
            </w:pPr>
            <w:r>
              <w:rPr/>
              <w:t>2,080</w:t>
            </w:r>
            <w:r>
              <w:rPr>
                <w:sz w:val="9"/>
              </w:rPr>
              <w:t>(8)</w:t>
            </w:r>
            <w:r>
              <w:rPr/>
              <w:t xml:space="preserve"> </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180" w:before="0" w:after="283"/>
              <w:jc w:val="right"/>
              <w:rPr/>
            </w:pPr>
            <w:r>
              <w:rPr/>
              <w:t>$</w:t>
            </w:r>
          </w:p>
        </w:tc>
        <w:tc>
          <w:tcPr>
            <w:tcW w:w="766" w:type="dxa"/>
            <w:tcBorders/>
            <w:tcMar>
              <w:bottom w:w="0" w:type="dxa"/>
            </w:tcMar>
            <w:vAlign w:val="center"/>
          </w:tcPr>
          <w:p>
            <w:pPr>
              <w:pStyle w:val="TableContents"/>
              <w:bidi w:val="0"/>
              <w:spacing w:lineRule="atLeast" w:line="180" w:before="0" w:after="283"/>
              <w:jc w:val="right"/>
              <w:rPr/>
            </w:pPr>
            <w:r>
              <w:rPr/>
              <w:t>119.54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80" w:before="0" w:after="283"/>
              <w:jc w:val="right"/>
              <w:rPr/>
            </w:pPr>
            <w:r>
              <w:rPr/>
              <w:t>​</w:t>
            </w:r>
          </w:p>
        </w:tc>
        <w:tc>
          <w:tcPr>
            <w:tcW w:w="715" w:type="dxa"/>
            <w:tcBorders/>
            <w:tcMar>
              <w:bottom w:w="0" w:type="dxa"/>
            </w:tcMar>
            <w:vAlign w:val="center"/>
          </w:tcPr>
          <w:p>
            <w:pPr>
              <w:pStyle w:val="TableContents"/>
              <w:bidi w:val="0"/>
              <w:spacing w:lineRule="atLeast" w:line="180" w:before="0" w:after="283"/>
              <w:jc w:val="right"/>
              <w:rPr/>
            </w:pPr>
            <w:r>
              <w:rPr/>
              <w:t>03/01/33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80" w:before="0" w:after="283"/>
              <w:jc w:val="right"/>
              <w:rPr/>
            </w:pPr>
            <w:r>
              <w:rPr/>
              <w:t>​</w:t>
            </w:r>
          </w:p>
        </w:tc>
        <w:tc>
          <w:tcPr>
            <w:tcW w:w="796" w:type="dxa"/>
            <w:tcBorders/>
            <w:tcMar>
              <w:bottom w:w="0" w:type="dxa"/>
            </w:tcMar>
            <w:vAlign w:val="center"/>
          </w:tcPr>
          <w:p>
            <w:pPr>
              <w:pStyle w:val="TableContents"/>
              <w:bidi w:val="0"/>
              <w:spacing w:lineRule="atLeast" w:line="180" w:before="0" w:after="283"/>
              <w:jc w:val="right"/>
              <w:rPr/>
            </w:pPr>
            <w:r>
              <w:rPr/>
              <w:t>690</w:t>
            </w:r>
            <w:r>
              <w:rPr>
                <w:sz w:val="9"/>
              </w:rPr>
              <w:t>(11)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80" w:before="0" w:after="283"/>
              <w:jc w:val="right"/>
              <w:rPr/>
            </w:pPr>
            <w:r>
              <w:rPr/>
              <w:t>​</w:t>
            </w:r>
          </w:p>
        </w:tc>
        <w:tc>
          <w:tcPr>
            <w:tcW w:w="1066" w:type="dxa"/>
            <w:tcBorders/>
            <w:tcMar>
              <w:bottom w:w="0" w:type="dxa"/>
            </w:tcMar>
            <w:vAlign w:val="center"/>
          </w:tcPr>
          <w:p>
            <w:pPr>
              <w:pStyle w:val="TableContents"/>
              <w:bidi w:val="0"/>
              <w:spacing w:lineRule="atLeast" w:line="180" w:before="0" w:after="283"/>
              <w:jc w:val="right"/>
              <w:rPr/>
            </w:pPr>
            <w:r>
              <w:rPr/>
              <w:t>94,095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80" w:before="0" w:after="283"/>
              <w:jc w:val="right"/>
              <w:rPr/>
            </w:pPr>
            <w:r>
              <w:rPr/>
              <w:t>​</w:t>
            </w:r>
          </w:p>
        </w:tc>
        <w:tc>
          <w:tcPr>
            <w:tcW w:w="796" w:type="dxa"/>
            <w:tcBorders/>
            <w:tcMar>
              <w:bottom w:w="0" w:type="dxa"/>
            </w:tcMar>
            <w:vAlign w:val="center"/>
          </w:tcPr>
          <w:p>
            <w:pPr>
              <w:pStyle w:val="TableContents"/>
              <w:bidi w:val="0"/>
              <w:spacing w:lineRule="atLeast" w:line="180" w:before="0" w:after="283"/>
              <w:jc w:val="right"/>
              <w:rPr/>
            </w:pPr>
            <w:r>
              <w:rPr/>
              <w:t>1,036</w:t>
            </w:r>
            <w:r>
              <w:rPr>
                <w:sz w:val="9"/>
              </w:rPr>
              <w:t>(12)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80" w:before="0" w:after="283"/>
              <w:jc w:val="right"/>
              <w:rPr/>
            </w:pPr>
            <w:r>
              <w:rPr/>
              <w:t>​</w:t>
            </w:r>
          </w:p>
        </w:tc>
        <w:tc>
          <w:tcPr>
            <w:tcW w:w="1066" w:type="dxa"/>
            <w:tcBorders/>
            <w:tcMar>
              <w:bottom w:w="0" w:type="dxa"/>
            </w:tcMar>
            <w:vAlign w:val="center"/>
          </w:tcPr>
          <w:p>
            <w:pPr>
              <w:pStyle w:val="TableContents"/>
              <w:bidi w:val="0"/>
              <w:spacing w:lineRule="atLeast" w:line="180" w:before="0" w:after="283"/>
              <w:jc w:val="right"/>
              <w:rPr/>
            </w:pPr>
            <w:r>
              <w:rPr/>
              <w:t>141,279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894"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1" w:type="dxa"/>
            <w:tcBorders/>
            <w:tcMar>
              <w:bottom w:w="0" w:type="dxa"/>
            </w:tcMar>
            <w:vAlign w:val="center"/>
          </w:tcPr>
          <w:p>
            <w:pPr>
              <w:pStyle w:val="TableContents"/>
              <w:bidi w:val="0"/>
              <w:spacing w:before="0" w:after="283"/>
              <w:jc w:val="right"/>
              <w:rPr/>
            </w:pPr>
            <w:r>
              <w:rPr/>
              <w:t>914</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right"/>
              <w:rPr/>
            </w:pPr>
            <w:r>
              <w:rPr/>
              <w:t>​</w:t>
            </w:r>
          </w:p>
        </w:tc>
        <w:tc>
          <w:tcPr>
            <w:tcW w:w="981" w:type="dxa"/>
            <w:tcBorders/>
            <w:tcMar>
              <w:bottom w:w="0" w:type="dxa"/>
            </w:tcMar>
            <w:vAlign w:val="center"/>
          </w:tcPr>
          <w:p>
            <w:pPr>
              <w:pStyle w:val="TableContents"/>
              <w:bidi w:val="0"/>
              <w:spacing w:before="0" w:after="283"/>
              <w:jc w:val="right"/>
              <w:rPr/>
            </w:pPr>
            <w:r>
              <w:rPr/>
              <w:t>2,742</w:t>
            </w:r>
            <w:r>
              <w:rPr>
                <w:sz w:val="9"/>
              </w:rPr>
              <w:t>(9)</w:t>
            </w:r>
            <w:r>
              <w:rPr/>
              <w:t xml:space="preserve"> </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112.45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03/01/34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8,364</w:t>
            </w:r>
            <w:r>
              <w:rPr>
                <w:sz w:val="9"/>
              </w:rPr>
              <w:t>(13)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1,140,599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10,821</w:t>
            </w:r>
            <w:r>
              <w:rPr>
                <w:sz w:val="9"/>
              </w:rPr>
              <w:t>(15)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1,475,660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894"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1"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right"/>
              <w:rPr/>
            </w:pPr>
            <w:r>
              <w:rPr/>
              <w:t>​</w:t>
            </w:r>
          </w:p>
        </w:tc>
        <w:tc>
          <w:tcPr>
            <w:tcW w:w="981" w:type="dxa"/>
            <w:tcBorders/>
            <w:tcMar>
              <w:bottom w:w="0" w:type="dxa"/>
            </w:tcMar>
            <w:vAlign w:val="center"/>
          </w:tcPr>
          <w:p>
            <w:pPr>
              <w:pStyle w:val="TableContents"/>
              <w:bidi w:val="0"/>
              <w:spacing w:before="0" w:after="283"/>
              <w:jc w:val="right"/>
              <w:rPr/>
            </w:pPr>
            <w:r>
              <w:rPr/>
              <w:t>3,465</w:t>
            </w:r>
            <w:r>
              <w:rPr>
                <w:sz w:val="9"/>
              </w:rPr>
              <w:t>(10)</w:t>
            </w:r>
            <w:r>
              <w:rPr/>
              <w:t xml:space="preserve"> </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135.79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03/01/35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1,286</w:t>
            </w:r>
            <w:r>
              <w:rPr>
                <w:sz w:val="9"/>
              </w:rPr>
              <w:t>(14)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175,372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3,338</w:t>
            </w:r>
            <w:r>
              <w:rPr>
                <w:sz w:val="9"/>
              </w:rPr>
              <w:t>(18)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455,203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894"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1"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right"/>
              <w:rPr/>
            </w:pPr>
            <w:r>
              <w:rPr/>
              <w:t>​</w:t>
            </w:r>
          </w:p>
        </w:tc>
        <w:tc>
          <w:tcPr>
            <w:tcW w:w="981" w:type="dxa"/>
            <w:tcBorders/>
            <w:tcMar>
              <w:bottom w:w="0" w:type="dxa"/>
            </w:tcMar>
            <w:vAlign w:val="center"/>
          </w:tcPr>
          <w:p>
            <w:pPr>
              <w:pStyle w:val="TableContents"/>
              <w:bidi w:val="0"/>
              <w:spacing w:before="0" w:after="283"/>
              <w:jc w:val="right"/>
              <w:rPr/>
            </w:pPr>
            <w:r>
              <w:rPr/>
              <w:t>—</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1,842</w:t>
            </w:r>
            <w:r>
              <w:rPr>
                <w:sz w:val="9"/>
              </w:rPr>
              <w:t>(16)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251,194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1,842</w:t>
            </w:r>
            <w:r>
              <w:rPr>
                <w:sz w:val="9"/>
              </w:rPr>
              <w:t>(17)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251,125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restart"/>
            <w:tcBorders/>
            <w:shd w:fill="B2B2B2" w:val="clear"/>
            <w:tcMar>
              <w:bottom w:w="0" w:type="dxa"/>
            </w:tcMar>
            <w:vAlign w:val="center"/>
          </w:tcPr>
          <w:p>
            <w:pPr>
              <w:pStyle w:val="TableContents"/>
              <w:bidi w:val="0"/>
              <w:spacing w:before="0" w:after="283"/>
              <w:jc w:val="left"/>
              <w:rPr/>
            </w:pPr>
            <w:r>
              <w:rPr/>
              <w:t>​</w:t>
            </w:r>
          </w:p>
        </w:tc>
        <w:tc>
          <w:tcPr>
            <w:tcW w:w="894" w:type="dxa"/>
            <w:vMerge w:val="restart"/>
            <w:tcBorders/>
            <w:shd w:fill="B2B2B2" w:val="clear"/>
            <w:tcMar>
              <w:bottom w:w="0" w:type="dxa"/>
            </w:tcMar>
            <w:vAlign w:val="center"/>
          </w:tcPr>
          <w:p>
            <w:pPr>
              <w:pStyle w:val="TableContents"/>
              <w:bidi w:val="0"/>
              <w:spacing w:lineRule="atLeast" w:line="180" w:before="0" w:after="0"/>
              <w:jc w:val="left"/>
              <w:rPr>
                <w:spacing w:val="-1"/>
              </w:rPr>
            </w:pPr>
            <w:r>
              <w:rPr>
                <w:spacing w:val="-1"/>
              </w:rPr>
              <w:t xml:space="preserve">Erik Wilde </w:t>
            </w:r>
          </w:p>
        </w:tc>
        <w:tc>
          <w:tcPr>
            <w:tcW w:w="109" w:type="dxa"/>
            <w:vMerge w:val="restart"/>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lineRule="atLeast" w:line="180" w:before="0" w:after="283"/>
              <w:jc w:val="right"/>
              <w:rPr/>
            </w:pPr>
            <w:r>
              <w:rPr/>
              <w:t>​</w:t>
            </w:r>
          </w:p>
        </w:tc>
        <w:tc>
          <w:tcPr>
            <w:tcW w:w="891" w:type="dxa"/>
            <w:tcBorders/>
            <w:shd w:fill="B2B2B2" w:val="clear"/>
            <w:tcMar>
              <w:bottom w:w="0" w:type="dxa"/>
            </w:tcMar>
            <w:vAlign w:val="center"/>
          </w:tcPr>
          <w:p>
            <w:pPr>
              <w:pStyle w:val="TableContents"/>
              <w:bidi w:val="0"/>
              <w:spacing w:lineRule="atLeast" w:line="180" w:before="0" w:after="283"/>
              <w:jc w:val="right"/>
              <w:rPr/>
            </w:pPr>
            <w:r>
              <w:rPr/>
              <w:t>8,375</w:t>
            </w:r>
          </w:p>
        </w:tc>
        <w:tc>
          <w:tcPr>
            <w:tcW w:w="112"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34" w:type="dxa"/>
            <w:tcBorders/>
            <w:shd w:fill="B2B2B2" w:val="clear"/>
            <w:tcMar>
              <w:bottom w:w="0" w:type="dxa"/>
            </w:tcMar>
            <w:vAlign w:val="center"/>
          </w:tcPr>
          <w:p>
            <w:pPr>
              <w:pStyle w:val="TableContents"/>
              <w:bidi w:val="0"/>
              <w:spacing w:before="0" w:after="283"/>
              <w:jc w:val="left"/>
              <w:rPr/>
            </w:pPr>
            <w:r>
              <w:rPr/>
              <w:t>​</w:t>
            </w:r>
          </w:p>
        </w:tc>
        <w:tc>
          <w:tcPr>
            <w:tcW w:w="134" w:type="dxa"/>
            <w:tcBorders/>
            <w:shd w:fill="B2B2B2" w:val="clear"/>
            <w:tcMar>
              <w:bottom w:w="0" w:type="dxa"/>
            </w:tcMar>
            <w:vAlign w:val="center"/>
          </w:tcPr>
          <w:p>
            <w:pPr>
              <w:pStyle w:val="TableContents"/>
              <w:bidi w:val="0"/>
              <w:spacing w:lineRule="atLeast" w:line="180" w:before="0" w:after="283"/>
              <w:jc w:val="right"/>
              <w:rPr/>
            </w:pPr>
            <w:r>
              <w:rPr/>
              <w:t>​</w:t>
            </w:r>
          </w:p>
        </w:tc>
        <w:tc>
          <w:tcPr>
            <w:tcW w:w="981" w:type="dxa"/>
            <w:tcBorders/>
            <w:shd w:fill="B2B2B2" w:val="clear"/>
            <w:tcMar>
              <w:bottom w:w="0" w:type="dxa"/>
            </w:tcMar>
            <w:vAlign w:val="center"/>
          </w:tcPr>
          <w:p>
            <w:pPr>
              <w:pStyle w:val="TableContents"/>
              <w:bidi w:val="0"/>
              <w:spacing w:lineRule="atLeast" w:line="180" w:before="0" w:after="283"/>
              <w:jc w:val="right"/>
              <w:rPr/>
            </w:pPr>
            <w:r>
              <w:rPr/>
              <w:t>—</w:t>
            </w:r>
            <w:r>
              <w:rPr>
                <w:sz w:val="9"/>
              </w:rPr>
              <w:t>(4)</w:t>
            </w:r>
            <w:r>
              <w:rPr/>
              <w:t xml:space="preserve"> </w:t>
            </w:r>
          </w:p>
        </w:tc>
        <w:tc>
          <w:tcPr>
            <w:tcW w:w="135"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226" w:type="dxa"/>
            <w:tcBorders/>
            <w:shd w:fill="B2B2B2" w:val="clear"/>
            <w:tcMar>
              <w:bottom w:w="0" w:type="dxa"/>
            </w:tcMar>
            <w:vAlign w:val="center"/>
          </w:tcPr>
          <w:p>
            <w:pPr>
              <w:pStyle w:val="TableContents"/>
              <w:bidi w:val="0"/>
              <w:spacing w:lineRule="atLeast" w:line="180" w:before="0" w:after="283"/>
              <w:jc w:val="right"/>
              <w:rPr/>
            </w:pPr>
            <w:r>
              <w:rPr/>
              <w:t>$</w:t>
            </w:r>
          </w:p>
        </w:tc>
        <w:tc>
          <w:tcPr>
            <w:tcW w:w="766" w:type="dxa"/>
            <w:tcBorders/>
            <w:shd w:fill="B2B2B2" w:val="clear"/>
            <w:tcMar>
              <w:bottom w:w="0" w:type="dxa"/>
            </w:tcMar>
            <w:vAlign w:val="center"/>
          </w:tcPr>
          <w:p>
            <w:pPr>
              <w:pStyle w:val="TableContents"/>
              <w:bidi w:val="0"/>
              <w:spacing w:lineRule="atLeast" w:line="180" w:before="0" w:after="283"/>
              <w:jc w:val="right"/>
              <w:rPr/>
            </w:pPr>
            <w:r>
              <w:rPr/>
              <w:t>52.07</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lineRule="atLeast" w:line="180" w:before="0" w:after="283"/>
              <w:jc w:val="right"/>
              <w:rPr/>
            </w:pPr>
            <w:r>
              <w:rPr/>
              <w:t>​</w:t>
            </w:r>
          </w:p>
        </w:tc>
        <w:tc>
          <w:tcPr>
            <w:tcW w:w="715" w:type="dxa"/>
            <w:tcBorders/>
            <w:shd w:fill="B2B2B2" w:val="clear"/>
            <w:tcMar>
              <w:bottom w:w="0" w:type="dxa"/>
            </w:tcMar>
            <w:vAlign w:val="center"/>
          </w:tcPr>
          <w:p>
            <w:pPr>
              <w:pStyle w:val="TableContents"/>
              <w:bidi w:val="0"/>
              <w:spacing w:lineRule="atLeast" w:line="180" w:before="0" w:after="283"/>
              <w:jc w:val="right"/>
              <w:rPr/>
            </w:pPr>
            <w:r>
              <w:rPr/>
              <w:t>03/01/29</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lineRule="atLeast" w:line="180" w:before="0" w:after="283"/>
              <w:jc w:val="right"/>
              <w:rPr/>
            </w:pPr>
            <w:r>
              <w:rPr/>
              <w:t>​</w:t>
            </w:r>
          </w:p>
        </w:tc>
        <w:tc>
          <w:tcPr>
            <w:tcW w:w="796" w:type="dxa"/>
            <w:tcBorders/>
            <w:shd w:fill="B2B2B2" w:val="clear"/>
            <w:tcMar>
              <w:bottom w:w="0" w:type="dxa"/>
            </w:tcMar>
            <w:vAlign w:val="center"/>
          </w:tcPr>
          <w:p>
            <w:pPr>
              <w:pStyle w:val="TableContents"/>
              <w:bidi w:val="0"/>
              <w:spacing w:lineRule="atLeast" w:line="180"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lineRule="atLeast" w:line="180" w:before="0" w:after="283"/>
              <w:jc w:val="right"/>
              <w:rPr/>
            </w:pPr>
            <w:r>
              <w:rPr/>
              <w:t>​</w:t>
            </w:r>
          </w:p>
        </w:tc>
        <w:tc>
          <w:tcPr>
            <w:tcW w:w="1066" w:type="dxa"/>
            <w:tcBorders/>
            <w:shd w:fill="B2B2B2" w:val="clear"/>
            <w:tcMar>
              <w:bottom w:w="0" w:type="dxa"/>
            </w:tcMar>
            <w:vAlign w:val="center"/>
          </w:tcPr>
          <w:p>
            <w:pPr>
              <w:pStyle w:val="TableContents"/>
              <w:bidi w:val="0"/>
              <w:spacing w:lineRule="atLeast" w:line="180"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lineRule="atLeast" w:line="180" w:before="0" w:after="283"/>
              <w:jc w:val="right"/>
              <w:rPr/>
            </w:pPr>
            <w:r>
              <w:rPr/>
              <w:t>​</w:t>
            </w:r>
          </w:p>
        </w:tc>
        <w:tc>
          <w:tcPr>
            <w:tcW w:w="796" w:type="dxa"/>
            <w:tcBorders/>
            <w:shd w:fill="B2B2B2" w:val="clear"/>
            <w:tcMar>
              <w:bottom w:w="0" w:type="dxa"/>
            </w:tcMar>
            <w:vAlign w:val="center"/>
          </w:tcPr>
          <w:p>
            <w:pPr>
              <w:pStyle w:val="TableContents"/>
              <w:bidi w:val="0"/>
              <w:spacing w:lineRule="atLeast" w:line="180"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lineRule="atLeast" w:line="180" w:before="0" w:after="283"/>
              <w:jc w:val="right"/>
              <w:rPr/>
            </w:pPr>
            <w:r>
              <w:rPr/>
              <w:t>​</w:t>
            </w:r>
          </w:p>
        </w:tc>
        <w:tc>
          <w:tcPr>
            <w:tcW w:w="1066" w:type="dxa"/>
            <w:tcBorders/>
            <w:shd w:fill="B2B2B2" w:val="clear"/>
            <w:tcMar>
              <w:bottom w:w="0" w:type="dxa"/>
            </w:tcMar>
            <w:vAlign w:val="center"/>
          </w:tcPr>
          <w:p>
            <w:pPr>
              <w:pStyle w:val="TableContents"/>
              <w:bidi w:val="0"/>
              <w:spacing w:lineRule="atLeast" w:line="180"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54" w:type="dxa"/>
            <w:tcBorders/>
            <w:shd w:fill="B2B2B2" w:val="clear"/>
            <w:tcMar>
              <w:bottom w:w="0" w:type="dxa"/>
            </w:tcMar>
            <w:vAlign w:val="center"/>
          </w:tcPr>
          <w:p>
            <w:pPr>
              <w:pStyle w:val="TableContents"/>
              <w:bidi w:val="0"/>
              <w:spacing w:before="0" w:after="283"/>
              <w:jc w:val="left"/>
              <w:rPr/>
            </w:pPr>
            <w:r>
              <w:rPr/>
              <w:t>​</w:t>
            </w:r>
          </w:p>
        </w:tc>
      </w:tr>
      <w:tr>
        <w:trPr/>
        <w:tc>
          <w:tcPr>
            <w:tcW w:w="124" w:type="dxa"/>
            <w:vMerge w:val="continue"/>
            <w:tcBorders/>
            <w:shd w:fill="B2B2B2" w:val="clear"/>
            <w:tcMar>
              <w:bottom w:w="0" w:type="dxa"/>
            </w:tcMar>
            <w:vAlign w:val="center"/>
          </w:tcPr>
          <w:p>
            <w:pPr>
              <w:pStyle w:val="Normal"/>
              <w:bidi w:val="0"/>
              <w:jc w:val="left"/>
              <w:rPr/>
            </w:pPr>
            <w:r>
              <w:rPr/>
            </w:r>
          </w:p>
        </w:tc>
        <w:tc>
          <w:tcPr>
            <w:tcW w:w="894" w:type="dxa"/>
            <w:vMerge w:val="continue"/>
            <w:tcBorders/>
            <w:shd w:fill="B2B2B2" w:val="clear"/>
            <w:tcMar>
              <w:bottom w:w="0" w:type="dxa"/>
            </w:tcMar>
            <w:vAlign w:val="center"/>
          </w:tcPr>
          <w:p>
            <w:pPr>
              <w:pStyle w:val="Normal"/>
              <w:bidi w:val="0"/>
              <w:jc w:val="left"/>
              <w:rPr/>
            </w:pPr>
            <w:r>
              <w:rPr/>
            </w:r>
          </w:p>
        </w:tc>
        <w:tc>
          <w:tcPr>
            <w:tcW w:w="109" w:type="dxa"/>
            <w:vMerge w:val="continue"/>
            <w:tcBorders/>
            <w:shd w:fill="B2B2B2" w:val="clear"/>
            <w:tcMar>
              <w:bottom w:w="0" w:type="dxa"/>
            </w:tcMar>
            <w:vAlign w:val="center"/>
          </w:tcPr>
          <w:p>
            <w:pPr>
              <w:pStyle w:val="Normal"/>
              <w:bidi w:val="0"/>
              <w:jc w:val="left"/>
              <w:rPr/>
            </w:pPr>
            <w:r>
              <w:rPr/>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891" w:type="dxa"/>
            <w:tcBorders/>
            <w:shd w:fill="B2B2B2" w:val="clear"/>
            <w:tcMar>
              <w:bottom w:w="0" w:type="dxa"/>
            </w:tcMar>
            <w:vAlign w:val="center"/>
          </w:tcPr>
          <w:p>
            <w:pPr>
              <w:pStyle w:val="TableContents"/>
              <w:bidi w:val="0"/>
              <w:spacing w:before="0" w:after="283"/>
              <w:jc w:val="right"/>
              <w:rPr/>
            </w:pPr>
            <w:r>
              <w:rPr/>
              <w:t>4,734</w:t>
            </w:r>
          </w:p>
        </w:tc>
        <w:tc>
          <w:tcPr>
            <w:tcW w:w="112"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34" w:type="dxa"/>
            <w:tcBorders/>
            <w:shd w:fill="B2B2B2" w:val="clear"/>
            <w:tcMar>
              <w:bottom w:w="0" w:type="dxa"/>
            </w:tcMar>
            <w:vAlign w:val="center"/>
          </w:tcPr>
          <w:p>
            <w:pPr>
              <w:pStyle w:val="TableContents"/>
              <w:bidi w:val="0"/>
              <w:spacing w:before="0" w:after="283"/>
              <w:jc w:val="left"/>
              <w:rPr/>
            </w:pPr>
            <w:r>
              <w:rPr/>
              <w:t>​</w:t>
            </w:r>
          </w:p>
        </w:tc>
        <w:tc>
          <w:tcPr>
            <w:tcW w:w="134" w:type="dxa"/>
            <w:tcBorders/>
            <w:shd w:fill="B2B2B2" w:val="clear"/>
            <w:tcMar>
              <w:bottom w:w="0" w:type="dxa"/>
            </w:tcMar>
            <w:vAlign w:val="center"/>
          </w:tcPr>
          <w:p>
            <w:pPr>
              <w:pStyle w:val="TableContents"/>
              <w:bidi w:val="0"/>
              <w:spacing w:before="0" w:after="283"/>
              <w:jc w:val="right"/>
              <w:rPr/>
            </w:pPr>
            <w:r>
              <w:rPr/>
              <w:t>​</w:t>
            </w:r>
          </w:p>
        </w:tc>
        <w:tc>
          <w:tcPr>
            <w:tcW w:w="981" w:type="dxa"/>
            <w:tcBorders/>
            <w:shd w:fill="B2B2B2" w:val="clear"/>
            <w:tcMar>
              <w:bottom w:w="0" w:type="dxa"/>
            </w:tcMar>
            <w:vAlign w:val="center"/>
          </w:tcPr>
          <w:p>
            <w:pPr>
              <w:pStyle w:val="TableContents"/>
              <w:bidi w:val="0"/>
              <w:spacing w:before="0" w:after="283"/>
              <w:jc w:val="right"/>
              <w:rPr/>
            </w:pPr>
            <w:r>
              <w:rPr/>
              <w:t>—</w:t>
            </w:r>
            <w:r>
              <w:rPr>
                <w:sz w:val="9"/>
              </w:rPr>
              <w:t>(5)</w:t>
            </w:r>
            <w:r>
              <w:rPr/>
              <w:t xml:space="preserve"> </w:t>
            </w:r>
          </w:p>
        </w:tc>
        <w:tc>
          <w:tcPr>
            <w:tcW w:w="135"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226" w:type="dxa"/>
            <w:tcBorders/>
            <w:shd w:fill="B2B2B2" w:val="clear"/>
            <w:tcMar>
              <w:bottom w:w="0" w:type="dxa"/>
            </w:tcMar>
            <w:vAlign w:val="center"/>
          </w:tcPr>
          <w:p>
            <w:pPr>
              <w:pStyle w:val="TableContents"/>
              <w:bidi w:val="0"/>
              <w:spacing w:before="0" w:after="283"/>
              <w:jc w:val="right"/>
              <w:rPr/>
            </w:pPr>
            <w:r>
              <w:rPr/>
              <w:t>$</w:t>
            </w:r>
          </w:p>
        </w:tc>
        <w:tc>
          <w:tcPr>
            <w:tcW w:w="766" w:type="dxa"/>
            <w:tcBorders/>
            <w:shd w:fill="B2B2B2" w:val="clear"/>
            <w:tcMar>
              <w:bottom w:w="0" w:type="dxa"/>
            </w:tcMar>
            <w:vAlign w:val="center"/>
          </w:tcPr>
          <w:p>
            <w:pPr>
              <w:pStyle w:val="TableContents"/>
              <w:bidi w:val="0"/>
              <w:spacing w:before="0" w:after="283"/>
              <w:jc w:val="right"/>
              <w:rPr/>
            </w:pPr>
            <w:r>
              <w:rPr/>
              <w:t>102.42</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15" w:type="dxa"/>
            <w:tcBorders/>
            <w:shd w:fill="B2B2B2" w:val="clear"/>
            <w:tcMar>
              <w:bottom w:w="0" w:type="dxa"/>
            </w:tcMar>
            <w:vAlign w:val="center"/>
          </w:tcPr>
          <w:p>
            <w:pPr>
              <w:pStyle w:val="TableContents"/>
              <w:bidi w:val="0"/>
              <w:spacing w:before="0" w:after="283"/>
              <w:jc w:val="right"/>
              <w:rPr/>
            </w:pPr>
            <w:r>
              <w:rPr/>
              <w:t>03/01/30</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9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106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9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106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54" w:type="dxa"/>
            <w:tcBorders/>
            <w:shd w:fill="B2B2B2" w:val="clear"/>
            <w:tcMar>
              <w:bottom w:w="0" w:type="dxa"/>
            </w:tcMar>
            <w:vAlign w:val="center"/>
          </w:tcPr>
          <w:p>
            <w:pPr>
              <w:pStyle w:val="TableContents"/>
              <w:bidi w:val="0"/>
              <w:spacing w:before="0" w:after="283"/>
              <w:jc w:val="left"/>
              <w:rPr/>
            </w:pPr>
            <w:r>
              <w:rPr/>
              <w:t>​</w:t>
            </w:r>
          </w:p>
        </w:tc>
      </w:tr>
      <w:tr>
        <w:trPr/>
        <w:tc>
          <w:tcPr>
            <w:tcW w:w="124" w:type="dxa"/>
            <w:vMerge w:val="continue"/>
            <w:tcBorders/>
            <w:shd w:fill="B2B2B2" w:val="clear"/>
            <w:tcMar>
              <w:bottom w:w="0" w:type="dxa"/>
            </w:tcMar>
            <w:vAlign w:val="center"/>
          </w:tcPr>
          <w:p>
            <w:pPr>
              <w:pStyle w:val="Normal"/>
              <w:bidi w:val="0"/>
              <w:jc w:val="left"/>
              <w:rPr/>
            </w:pPr>
            <w:r>
              <w:rPr/>
            </w:r>
          </w:p>
        </w:tc>
        <w:tc>
          <w:tcPr>
            <w:tcW w:w="894" w:type="dxa"/>
            <w:vMerge w:val="continue"/>
            <w:tcBorders/>
            <w:shd w:fill="B2B2B2" w:val="clear"/>
            <w:tcMar>
              <w:bottom w:w="0" w:type="dxa"/>
            </w:tcMar>
            <w:vAlign w:val="center"/>
          </w:tcPr>
          <w:p>
            <w:pPr>
              <w:pStyle w:val="Normal"/>
              <w:bidi w:val="0"/>
              <w:jc w:val="left"/>
              <w:rPr/>
            </w:pPr>
            <w:r>
              <w:rPr/>
            </w:r>
          </w:p>
        </w:tc>
        <w:tc>
          <w:tcPr>
            <w:tcW w:w="109" w:type="dxa"/>
            <w:vMerge w:val="continue"/>
            <w:tcBorders/>
            <w:shd w:fill="B2B2B2" w:val="clear"/>
            <w:tcMar>
              <w:bottom w:w="0" w:type="dxa"/>
            </w:tcMar>
            <w:vAlign w:val="center"/>
          </w:tcPr>
          <w:p>
            <w:pPr>
              <w:pStyle w:val="Normal"/>
              <w:bidi w:val="0"/>
              <w:jc w:val="left"/>
              <w:rPr/>
            </w:pPr>
            <w:r>
              <w:rPr/>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891" w:type="dxa"/>
            <w:tcBorders/>
            <w:shd w:fill="B2B2B2" w:val="clear"/>
            <w:tcMar>
              <w:bottom w:w="0" w:type="dxa"/>
            </w:tcMar>
            <w:vAlign w:val="center"/>
          </w:tcPr>
          <w:p>
            <w:pPr>
              <w:pStyle w:val="TableContents"/>
              <w:bidi w:val="0"/>
              <w:spacing w:before="0" w:after="283"/>
              <w:jc w:val="right"/>
              <w:rPr/>
            </w:pPr>
            <w:r>
              <w:rPr/>
              <w:t>1,879</w:t>
            </w:r>
          </w:p>
        </w:tc>
        <w:tc>
          <w:tcPr>
            <w:tcW w:w="112"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34" w:type="dxa"/>
            <w:tcBorders/>
            <w:shd w:fill="B2B2B2" w:val="clear"/>
            <w:tcMar>
              <w:bottom w:w="0" w:type="dxa"/>
            </w:tcMar>
            <w:vAlign w:val="center"/>
          </w:tcPr>
          <w:p>
            <w:pPr>
              <w:pStyle w:val="TableContents"/>
              <w:bidi w:val="0"/>
              <w:spacing w:before="0" w:after="283"/>
              <w:jc w:val="left"/>
              <w:rPr/>
            </w:pPr>
            <w:r>
              <w:rPr/>
              <w:t>​</w:t>
            </w:r>
          </w:p>
        </w:tc>
        <w:tc>
          <w:tcPr>
            <w:tcW w:w="134" w:type="dxa"/>
            <w:tcBorders/>
            <w:shd w:fill="B2B2B2" w:val="clear"/>
            <w:tcMar>
              <w:bottom w:w="0" w:type="dxa"/>
            </w:tcMar>
            <w:vAlign w:val="center"/>
          </w:tcPr>
          <w:p>
            <w:pPr>
              <w:pStyle w:val="TableContents"/>
              <w:bidi w:val="0"/>
              <w:spacing w:before="0" w:after="283"/>
              <w:jc w:val="right"/>
              <w:rPr/>
            </w:pPr>
            <w:r>
              <w:rPr/>
              <w:t>​</w:t>
            </w:r>
          </w:p>
        </w:tc>
        <w:tc>
          <w:tcPr>
            <w:tcW w:w="981" w:type="dxa"/>
            <w:tcBorders/>
            <w:shd w:fill="B2B2B2" w:val="clear"/>
            <w:tcMar>
              <w:bottom w:w="0" w:type="dxa"/>
            </w:tcMar>
            <w:vAlign w:val="center"/>
          </w:tcPr>
          <w:p>
            <w:pPr>
              <w:pStyle w:val="TableContents"/>
              <w:bidi w:val="0"/>
              <w:spacing w:before="0" w:after="283"/>
              <w:jc w:val="right"/>
              <w:rPr/>
            </w:pPr>
            <w:r>
              <w:rPr/>
              <w:t>—</w:t>
            </w:r>
            <w:r>
              <w:rPr>
                <w:sz w:val="9"/>
              </w:rPr>
              <w:t>(6)</w:t>
            </w:r>
            <w:r>
              <w:rPr/>
              <w:t xml:space="preserve"> </w:t>
            </w:r>
          </w:p>
        </w:tc>
        <w:tc>
          <w:tcPr>
            <w:tcW w:w="135"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226" w:type="dxa"/>
            <w:tcBorders/>
            <w:shd w:fill="B2B2B2" w:val="clear"/>
            <w:tcMar>
              <w:bottom w:w="0" w:type="dxa"/>
            </w:tcMar>
            <w:vAlign w:val="center"/>
          </w:tcPr>
          <w:p>
            <w:pPr>
              <w:pStyle w:val="TableContents"/>
              <w:bidi w:val="0"/>
              <w:spacing w:before="0" w:after="283"/>
              <w:jc w:val="right"/>
              <w:rPr/>
            </w:pPr>
            <w:r>
              <w:rPr/>
              <w:t>$</w:t>
            </w:r>
          </w:p>
        </w:tc>
        <w:tc>
          <w:tcPr>
            <w:tcW w:w="766" w:type="dxa"/>
            <w:tcBorders/>
            <w:shd w:fill="B2B2B2" w:val="clear"/>
            <w:tcMar>
              <w:bottom w:w="0" w:type="dxa"/>
            </w:tcMar>
            <w:vAlign w:val="center"/>
          </w:tcPr>
          <w:p>
            <w:pPr>
              <w:pStyle w:val="TableContents"/>
              <w:bidi w:val="0"/>
              <w:spacing w:before="0" w:after="283"/>
              <w:jc w:val="right"/>
              <w:rPr/>
            </w:pPr>
            <w:r>
              <w:rPr/>
              <w:t>335.91</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15" w:type="dxa"/>
            <w:tcBorders/>
            <w:shd w:fill="B2B2B2" w:val="clear"/>
            <w:tcMar>
              <w:bottom w:w="0" w:type="dxa"/>
            </w:tcMar>
            <w:vAlign w:val="center"/>
          </w:tcPr>
          <w:p>
            <w:pPr>
              <w:pStyle w:val="TableContents"/>
              <w:bidi w:val="0"/>
              <w:spacing w:before="0" w:after="283"/>
              <w:jc w:val="right"/>
              <w:rPr/>
            </w:pPr>
            <w:r>
              <w:rPr/>
              <w:t>03/01/31</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9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106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9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106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54" w:type="dxa"/>
            <w:tcBorders/>
            <w:shd w:fill="B2B2B2" w:val="clear"/>
            <w:tcMar>
              <w:bottom w:w="0" w:type="dxa"/>
            </w:tcMar>
            <w:vAlign w:val="center"/>
          </w:tcPr>
          <w:p>
            <w:pPr>
              <w:pStyle w:val="TableContents"/>
              <w:bidi w:val="0"/>
              <w:spacing w:before="0" w:after="283"/>
              <w:jc w:val="left"/>
              <w:rPr/>
            </w:pPr>
            <w:r>
              <w:rPr/>
              <w:t>​</w:t>
            </w:r>
          </w:p>
        </w:tc>
      </w:tr>
      <w:tr>
        <w:trPr/>
        <w:tc>
          <w:tcPr>
            <w:tcW w:w="124" w:type="dxa"/>
            <w:vMerge w:val="continue"/>
            <w:tcBorders/>
            <w:shd w:fill="B2B2B2" w:val="clear"/>
            <w:tcMar>
              <w:bottom w:w="0" w:type="dxa"/>
            </w:tcMar>
            <w:vAlign w:val="center"/>
          </w:tcPr>
          <w:p>
            <w:pPr>
              <w:pStyle w:val="Normal"/>
              <w:bidi w:val="0"/>
              <w:jc w:val="left"/>
              <w:rPr/>
            </w:pPr>
            <w:r>
              <w:rPr/>
            </w:r>
          </w:p>
        </w:tc>
        <w:tc>
          <w:tcPr>
            <w:tcW w:w="894" w:type="dxa"/>
            <w:vMerge w:val="continue"/>
            <w:tcBorders/>
            <w:shd w:fill="B2B2B2" w:val="clear"/>
            <w:tcMar>
              <w:bottom w:w="0" w:type="dxa"/>
            </w:tcMar>
            <w:vAlign w:val="center"/>
          </w:tcPr>
          <w:p>
            <w:pPr>
              <w:pStyle w:val="Normal"/>
              <w:bidi w:val="0"/>
              <w:jc w:val="left"/>
              <w:rPr/>
            </w:pPr>
            <w:r>
              <w:rPr/>
            </w:r>
          </w:p>
        </w:tc>
        <w:tc>
          <w:tcPr>
            <w:tcW w:w="109" w:type="dxa"/>
            <w:vMerge w:val="continue"/>
            <w:tcBorders/>
            <w:shd w:fill="B2B2B2" w:val="clear"/>
            <w:tcMar>
              <w:bottom w:w="0" w:type="dxa"/>
            </w:tcMar>
            <w:vAlign w:val="center"/>
          </w:tcPr>
          <w:p>
            <w:pPr>
              <w:pStyle w:val="Normal"/>
              <w:bidi w:val="0"/>
              <w:jc w:val="left"/>
              <w:rPr/>
            </w:pPr>
            <w:r>
              <w:rPr/>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891" w:type="dxa"/>
            <w:tcBorders/>
            <w:shd w:fill="B2B2B2" w:val="clear"/>
            <w:tcMar>
              <w:bottom w:w="0" w:type="dxa"/>
            </w:tcMar>
            <w:vAlign w:val="center"/>
          </w:tcPr>
          <w:p>
            <w:pPr>
              <w:pStyle w:val="TableContents"/>
              <w:bidi w:val="0"/>
              <w:spacing w:before="0" w:after="283"/>
              <w:jc w:val="right"/>
              <w:rPr/>
            </w:pPr>
            <w:r>
              <w:rPr/>
              <w:t>1,451</w:t>
            </w:r>
          </w:p>
        </w:tc>
        <w:tc>
          <w:tcPr>
            <w:tcW w:w="112"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34" w:type="dxa"/>
            <w:tcBorders/>
            <w:shd w:fill="B2B2B2" w:val="clear"/>
            <w:tcMar>
              <w:bottom w:w="0" w:type="dxa"/>
            </w:tcMar>
            <w:vAlign w:val="center"/>
          </w:tcPr>
          <w:p>
            <w:pPr>
              <w:pStyle w:val="TableContents"/>
              <w:bidi w:val="0"/>
              <w:spacing w:before="0" w:after="283"/>
              <w:jc w:val="left"/>
              <w:rPr/>
            </w:pPr>
            <w:r>
              <w:rPr/>
              <w:t>​</w:t>
            </w:r>
          </w:p>
        </w:tc>
        <w:tc>
          <w:tcPr>
            <w:tcW w:w="134" w:type="dxa"/>
            <w:tcBorders/>
            <w:shd w:fill="B2B2B2" w:val="clear"/>
            <w:tcMar>
              <w:bottom w:w="0" w:type="dxa"/>
            </w:tcMar>
            <w:vAlign w:val="center"/>
          </w:tcPr>
          <w:p>
            <w:pPr>
              <w:pStyle w:val="TableContents"/>
              <w:bidi w:val="0"/>
              <w:spacing w:before="0" w:after="283"/>
              <w:jc w:val="right"/>
              <w:rPr/>
            </w:pPr>
            <w:r>
              <w:rPr/>
              <w:t>​</w:t>
            </w:r>
          </w:p>
        </w:tc>
        <w:tc>
          <w:tcPr>
            <w:tcW w:w="981" w:type="dxa"/>
            <w:tcBorders/>
            <w:shd w:fill="B2B2B2" w:val="clear"/>
            <w:tcMar>
              <w:bottom w:w="0" w:type="dxa"/>
            </w:tcMar>
            <w:vAlign w:val="center"/>
          </w:tcPr>
          <w:p>
            <w:pPr>
              <w:pStyle w:val="TableContents"/>
              <w:bidi w:val="0"/>
              <w:spacing w:before="0" w:after="283"/>
              <w:jc w:val="right"/>
              <w:rPr/>
            </w:pPr>
            <w:r>
              <w:rPr/>
              <w:t>484</w:t>
            </w:r>
            <w:r>
              <w:rPr>
                <w:sz w:val="9"/>
              </w:rPr>
              <w:t>(7)</w:t>
            </w:r>
            <w:r>
              <w:rPr/>
              <w:t xml:space="preserve"> </w:t>
            </w:r>
          </w:p>
        </w:tc>
        <w:tc>
          <w:tcPr>
            <w:tcW w:w="135"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226" w:type="dxa"/>
            <w:tcBorders/>
            <w:shd w:fill="B2B2B2" w:val="clear"/>
            <w:tcMar>
              <w:bottom w:w="0" w:type="dxa"/>
            </w:tcMar>
            <w:vAlign w:val="center"/>
          </w:tcPr>
          <w:p>
            <w:pPr>
              <w:pStyle w:val="TableContents"/>
              <w:bidi w:val="0"/>
              <w:spacing w:before="0" w:after="283"/>
              <w:jc w:val="right"/>
              <w:rPr/>
            </w:pPr>
            <w:r>
              <w:rPr/>
              <w:t>$</w:t>
            </w:r>
          </w:p>
        </w:tc>
        <w:tc>
          <w:tcPr>
            <w:tcW w:w="766" w:type="dxa"/>
            <w:tcBorders/>
            <w:shd w:fill="B2B2B2" w:val="clear"/>
            <w:tcMar>
              <w:bottom w:w="0" w:type="dxa"/>
            </w:tcMar>
            <w:vAlign w:val="center"/>
          </w:tcPr>
          <w:p>
            <w:pPr>
              <w:pStyle w:val="TableContents"/>
              <w:bidi w:val="0"/>
              <w:spacing w:before="0" w:after="283"/>
              <w:jc w:val="right"/>
              <w:rPr/>
            </w:pPr>
            <w:r>
              <w:rPr/>
              <w:t>315.88</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15" w:type="dxa"/>
            <w:tcBorders/>
            <w:shd w:fill="B2B2B2" w:val="clear"/>
            <w:tcMar>
              <w:bottom w:w="0" w:type="dxa"/>
            </w:tcMar>
            <w:vAlign w:val="center"/>
          </w:tcPr>
          <w:p>
            <w:pPr>
              <w:pStyle w:val="TableContents"/>
              <w:bidi w:val="0"/>
              <w:spacing w:before="0" w:after="283"/>
              <w:jc w:val="right"/>
              <w:rPr/>
            </w:pPr>
            <w:r>
              <w:rPr/>
              <w:t>03/01/32</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9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106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9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1066" w:type="dxa"/>
            <w:tcBorders/>
            <w:shd w:fill="B2B2B2" w:val="clear"/>
            <w:tcMar>
              <w:bottom w:w="0" w:type="dxa"/>
            </w:tcMar>
            <w:vAlign w:val="center"/>
          </w:tcPr>
          <w:p>
            <w:pPr>
              <w:pStyle w:val="TableContents"/>
              <w:bidi w:val="0"/>
              <w:spacing w:before="0" w:after="283"/>
              <w:jc w:val="righ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54" w:type="dxa"/>
            <w:tcBorders/>
            <w:shd w:fill="B2B2B2" w:val="clear"/>
            <w:tcMar>
              <w:bottom w:w="0" w:type="dxa"/>
            </w:tcMar>
            <w:vAlign w:val="center"/>
          </w:tcPr>
          <w:p>
            <w:pPr>
              <w:pStyle w:val="TableContents"/>
              <w:bidi w:val="0"/>
              <w:spacing w:before="0" w:after="283"/>
              <w:jc w:val="left"/>
              <w:rPr/>
            </w:pPr>
            <w:r>
              <w:rPr/>
              <w:t>​</w:t>
            </w:r>
          </w:p>
        </w:tc>
      </w:tr>
      <w:tr>
        <w:trPr/>
        <w:tc>
          <w:tcPr>
            <w:tcW w:w="124" w:type="dxa"/>
            <w:vMerge w:val="continue"/>
            <w:tcBorders/>
            <w:shd w:fill="B2B2B2" w:val="clear"/>
            <w:tcMar>
              <w:bottom w:w="0" w:type="dxa"/>
            </w:tcMar>
            <w:vAlign w:val="center"/>
          </w:tcPr>
          <w:p>
            <w:pPr>
              <w:pStyle w:val="Normal"/>
              <w:bidi w:val="0"/>
              <w:jc w:val="left"/>
              <w:rPr/>
            </w:pPr>
            <w:r>
              <w:rPr/>
            </w:r>
          </w:p>
        </w:tc>
        <w:tc>
          <w:tcPr>
            <w:tcW w:w="894" w:type="dxa"/>
            <w:vMerge w:val="continue"/>
            <w:tcBorders/>
            <w:shd w:fill="B2B2B2" w:val="clear"/>
            <w:tcMar>
              <w:bottom w:w="0" w:type="dxa"/>
            </w:tcMar>
            <w:vAlign w:val="center"/>
          </w:tcPr>
          <w:p>
            <w:pPr>
              <w:pStyle w:val="Normal"/>
              <w:bidi w:val="0"/>
              <w:jc w:val="left"/>
              <w:rPr/>
            </w:pPr>
            <w:r>
              <w:rPr/>
            </w:r>
          </w:p>
        </w:tc>
        <w:tc>
          <w:tcPr>
            <w:tcW w:w="109" w:type="dxa"/>
            <w:vMerge w:val="continue"/>
            <w:tcBorders/>
            <w:shd w:fill="B2B2B2" w:val="clear"/>
            <w:tcMar>
              <w:bottom w:w="0" w:type="dxa"/>
            </w:tcMar>
            <w:vAlign w:val="center"/>
          </w:tcPr>
          <w:p>
            <w:pPr>
              <w:pStyle w:val="Normal"/>
              <w:bidi w:val="0"/>
              <w:jc w:val="left"/>
              <w:rPr/>
            </w:pPr>
            <w:r>
              <w:rPr/>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891" w:type="dxa"/>
            <w:tcBorders/>
            <w:shd w:fill="B2B2B2" w:val="clear"/>
            <w:tcMar>
              <w:bottom w:w="0" w:type="dxa"/>
            </w:tcMar>
            <w:vAlign w:val="center"/>
          </w:tcPr>
          <w:p>
            <w:pPr>
              <w:pStyle w:val="TableContents"/>
              <w:bidi w:val="0"/>
              <w:spacing w:before="0" w:after="283"/>
              <w:jc w:val="right"/>
              <w:rPr/>
            </w:pPr>
            <w:r>
              <w:rPr/>
              <w:t>2,055</w:t>
            </w:r>
          </w:p>
        </w:tc>
        <w:tc>
          <w:tcPr>
            <w:tcW w:w="112"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34" w:type="dxa"/>
            <w:tcBorders/>
            <w:shd w:fill="B2B2B2" w:val="clear"/>
            <w:tcMar>
              <w:bottom w:w="0" w:type="dxa"/>
            </w:tcMar>
            <w:vAlign w:val="center"/>
          </w:tcPr>
          <w:p>
            <w:pPr>
              <w:pStyle w:val="TableContents"/>
              <w:bidi w:val="0"/>
              <w:spacing w:before="0" w:after="283"/>
              <w:jc w:val="left"/>
              <w:rPr/>
            </w:pPr>
            <w:r>
              <w:rPr/>
              <w:t>​</w:t>
            </w:r>
          </w:p>
        </w:tc>
        <w:tc>
          <w:tcPr>
            <w:tcW w:w="134" w:type="dxa"/>
            <w:tcBorders/>
            <w:shd w:fill="B2B2B2" w:val="clear"/>
            <w:tcMar>
              <w:bottom w:w="0" w:type="dxa"/>
            </w:tcMar>
            <w:vAlign w:val="center"/>
          </w:tcPr>
          <w:p>
            <w:pPr>
              <w:pStyle w:val="TableContents"/>
              <w:bidi w:val="0"/>
              <w:spacing w:before="0" w:after="283"/>
              <w:jc w:val="right"/>
              <w:rPr/>
            </w:pPr>
            <w:r>
              <w:rPr/>
              <w:t>​</w:t>
            </w:r>
          </w:p>
        </w:tc>
        <w:tc>
          <w:tcPr>
            <w:tcW w:w="981" w:type="dxa"/>
            <w:tcBorders/>
            <w:shd w:fill="B2B2B2" w:val="clear"/>
            <w:tcMar>
              <w:bottom w:w="0" w:type="dxa"/>
            </w:tcMar>
            <w:vAlign w:val="center"/>
          </w:tcPr>
          <w:p>
            <w:pPr>
              <w:pStyle w:val="TableContents"/>
              <w:bidi w:val="0"/>
              <w:spacing w:before="0" w:after="283"/>
              <w:jc w:val="right"/>
              <w:rPr/>
            </w:pPr>
            <w:r>
              <w:rPr/>
              <w:t>2,055</w:t>
            </w:r>
            <w:r>
              <w:rPr>
                <w:sz w:val="9"/>
              </w:rPr>
              <w:t>(8)</w:t>
            </w:r>
            <w:r>
              <w:rPr/>
              <w:t xml:space="preserve"> </w:t>
            </w:r>
          </w:p>
        </w:tc>
        <w:tc>
          <w:tcPr>
            <w:tcW w:w="135"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226" w:type="dxa"/>
            <w:tcBorders/>
            <w:shd w:fill="B2B2B2" w:val="clear"/>
            <w:tcMar>
              <w:bottom w:w="0" w:type="dxa"/>
            </w:tcMar>
            <w:vAlign w:val="center"/>
          </w:tcPr>
          <w:p>
            <w:pPr>
              <w:pStyle w:val="TableContents"/>
              <w:bidi w:val="0"/>
              <w:spacing w:before="0" w:after="283"/>
              <w:jc w:val="right"/>
              <w:rPr/>
            </w:pPr>
            <w:r>
              <w:rPr/>
              <w:t>$</w:t>
            </w:r>
          </w:p>
        </w:tc>
        <w:tc>
          <w:tcPr>
            <w:tcW w:w="766" w:type="dxa"/>
            <w:tcBorders/>
            <w:shd w:fill="B2B2B2" w:val="clear"/>
            <w:tcMar>
              <w:bottom w:w="0" w:type="dxa"/>
            </w:tcMar>
            <w:vAlign w:val="center"/>
          </w:tcPr>
          <w:p>
            <w:pPr>
              <w:pStyle w:val="TableContents"/>
              <w:bidi w:val="0"/>
              <w:spacing w:before="0" w:after="283"/>
              <w:jc w:val="right"/>
              <w:rPr/>
            </w:pPr>
            <w:r>
              <w:rPr/>
              <w:t>119.54</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15" w:type="dxa"/>
            <w:tcBorders/>
            <w:shd w:fill="B2B2B2" w:val="clear"/>
            <w:tcMar>
              <w:bottom w:w="0" w:type="dxa"/>
            </w:tcMar>
            <w:vAlign w:val="center"/>
          </w:tcPr>
          <w:p>
            <w:pPr>
              <w:pStyle w:val="TableContents"/>
              <w:bidi w:val="0"/>
              <w:spacing w:before="0" w:after="283"/>
              <w:jc w:val="right"/>
              <w:rPr/>
            </w:pPr>
            <w:r>
              <w:rPr/>
              <w:t>03/01/33</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96" w:type="dxa"/>
            <w:tcBorders/>
            <w:shd w:fill="B2B2B2" w:val="clear"/>
            <w:tcMar>
              <w:bottom w:w="0" w:type="dxa"/>
            </w:tcMar>
            <w:vAlign w:val="center"/>
          </w:tcPr>
          <w:p>
            <w:pPr>
              <w:pStyle w:val="TableContents"/>
              <w:bidi w:val="0"/>
              <w:spacing w:before="0" w:after="283"/>
              <w:jc w:val="right"/>
              <w:rPr/>
            </w:pPr>
            <w:r>
              <w:rPr/>
              <w:t>682</w:t>
            </w:r>
            <w:r>
              <w:rPr>
                <w:sz w:val="9"/>
              </w:rPr>
              <w:t>(11)</w:t>
            </w:r>
            <w:r>
              <w:rPr/>
              <w:t xml:space="preserve"> </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1066" w:type="dxa"/>
            <w:tcBorders/>
            <w:shd w:fill="B2B2B2" w:val="clear"/>
            <w:tcMar>
              <w:bottom w:w="0" w:type="dxa"/>
            </w:tcMar>
            <w:vAlign w:val="center"/>
          </w:tcPr>
          <w:p>
            <w:pPr>
              <w:pStyle w:val="TableContents"/>
              <w:bidi w:val="0"/>
              <w:spacing w:before="0" w:after="283"/>
              <w:jc w:val="right"/>
              <w:rPr/>
            </w:pPr>
            <w:r>
              <w:rPr/>
              <w:t>93,004</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96" w:type="dxa"/>
            <w:tcBorders/>
            <w:shd w:fill="B2B2B2" w:val="clear"/>
            <w:tcMar>
              <w:bottom w:w="0" w:type="dxa"/>
            </w:tcMar>
            <w:vAlign w:val="center"/>
          </w:tcPr>
          <w:p>
            <w:pPr>
              <w:pStyle w:val="TableContents"/>
              <w:bidi w:val="0"/>
              <w:spacing w:before="0" w:after="283"/>
              <w:jc w:val="right"/>
              <w:rPr/>
            </w:pPr>
            <w:r>
              <w:rPr/>
              <w:t>1,024</w:t>
            </w:r>
            <w:r>
              <w:rPr>
                <w:sz w:val="9"/>
              </w:rPr>
              <w:t>(12)</w:t>
            </w:r>
            <w:r>
              <w:rPr/>
              <w:t xml:space="preserve"> </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1066" w:type="dxa"/>
            <w:tcBorders/>
            <w:shd w:fill="B2B2B2" w:val="clear"/>
            <w:tcMar>
              <w:bottom w:w="0" w:type="dxa"/>
            </w:tcMar>
            <w:vAlign w:val="center"/>
          </w:tcPr>
          <w:p>
            <w:pPr>
              <w:pStyle w:val="TableContents"/>
              <w:bidi w:val="0"/>
              <w:spacing w:before="0" w:after="283"/>
              <w:jc w:val="right"/>
              <w:rPr/>
            </w:pPr>
            <w:r>
              <w:rPr/>
              <w:t>139,643</w:t>
            </w:r>
          </w:p>
        </w:tc>
        <w:tc>
          <w:tcPr>
            <w:tcW w:w="109" w:type="dxa"/>
            <w:tcBorders/>
            <w:shd w:fill="B2B2B2" w:val="clear"/>
            <w:tcMar>
              <w:bottom w:w="0" w:type="dxa"/>
            </w:tcMar>
            <w:vAlign w:val="center"/>
          </w:tcPr>
          <w:p>
            <w:pPr>
              <w:pStyle w:val="TableContents"/>
              <w:bidi w:val="0"/>
              <w:spacing w:before="0" w:after="283"/>
              <w:jc w:val="left"/>
              <w:rPr/>
            </w:pPr>
            <w:r>
              <w:rPr/>
              <w:t>​</w:t>
            </w:r>
          </w:p>
        </w:tc>
        <w:tc>
          <w:tcPr>
            <w:tcW w:w="154" w:type="dxa"/>
            <w:tcBorders/>
            <w:shd w:fill="B2B2B2" w:val="clear"/>
            <w:tcMar>
              <w:bottom w:w="0" w:type="dxa"/>
            </w:tcMar>
            <w:vAlign w:val="center"/>
          </w:tcPr>
          <w:p>
            <w:pPr>
              <w:pStyle w:val="TableContents"/>
              <w:bidi w:val="0"/>
              <w:spacing w:before="0" w:after="283"/>
              <w:jc w:val="left"/>
              <w:rPr/>
            </w:pPr>
            <w:r>
              <w:rPr/>
              <w:t>​</w:t>
            </w:r>
          </w:p>
        </w:tc>
      </w:tr>
      <w:tr>
        <w:trPr/>
        <w:tc>
          <w:tcPr>
            <w:tcW w:w="124" w:type="dxa"/>
            <w:vMerge w:val="continue"/>
            <w:tcBorders/>
            <w:shd w:fill="B2B2B2" w:val="clear"/>
            <w:tcMar>
              <w:bottom w:w="0" w:type="dxa"/>
            </w:tcMar>
            <w:vAlign w:val="center"/>
          </w:tcPr>
          <w:p>
            <w:pPr>
              <w:pStyle w:val="Normal"/>
              <w:bidi w:val="0"/>
              <w:jc w:val="left"/>
              <w:rPr/>
            </w:pPr>
            <w:r>
              <w:rPr/>
            </w:r>
          </w:p>
        </w:tc>
        <w:tc>
          <w:tcPr>
            <w:tcW w:w="894" w:type="dxa"/>
            <w:vMerge w:val="continue"/>
            <w:tcBorders/>
            <w:shd w:fill="B2B2B2" w:val="clear"/>
            <w:tcMar>
              <w:bottom w:w="0" w:type="dxa"/>
            </w:tcMar>
            <w:vAlign w:val="center"/>
          </w:tcPr>
          <w:p>
            <w:pPr>
              <w:pStyle w:val="Normal"/>
              <w:bidi w:val="0"/>
              <w:jc w:val="left"/>
              <w:rPr/>
            </w:pPr>
            <w:r>
              <w:rPr/>
            </w:r>
          </w:p>
        </w:tc>
        <w:tc>
          <w:tcPr>
            <w:tcW w:w="109" w:type="dxa"/>
            <w:vMerge w:val="continue"/>
            <w:tcBorders/>
            <w:shd w:fill="B2B2B2" w:val="clear"/>
            <w:tcMar>
              <w:bottom w:w="0" w:type="dxa"/>
            </w:tcMar>
            <w:vAlign w:val="center"/>
          </w:tcPr>
          <w:p>
            <w:pPr>
              <w:pStyle w:val="Normal"/>
              <w:bidi w:val="0"/>
              <w:jc w:val="left"/>
              <w:rPr/>
            </w:pPr>
            <w:r>
              <w:rPr/>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891" w:type="dxa"/>
            <w:tcBorders/>
            <w:shd w:fill="B2B2B2" w:val="clear"/>
            <w:tcMar>
              <w:bottom w:w="0" w:type="dxa"/>
            </w:tcMar>
            <w:vAlign w:val="center"/>
          </w:tcPr>
          <w:p>
            <w:pPr>
              <w:pStyle w:val="TableContents"/>
              <w:bidi w:val="0"/>
              <w:spacing w:before="0" w:after="283"/>
              <w:jc w:val="right"/>
              <w:rPr/>
            </w:pPr>
            <w:r>
              <w:rPr/>
              <w:t>921</w:t>
            </w:r>
          </w:p>
        </w:tc>
        <w:tc>
          <w:tcPr>
            <w:tcW w:w="112"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34" w:type="dxa"/>
            <w:tcBorders/>
            <w:shd w:fill="B2B2B2" w:val="clear"/>
            <w:tcMar>
              <w:bottom w:w="0" w:type="dxa"/>
            </w:tcMar>
            <w:vAlign w:val="center"/>
          </w:tcPr>
          <w:p>
            <w:pPr>
              <w:pStyle w:val="TableContents"/>
              <w:bidi w:val="0"/>
              <w:spacing w:before="0" w:after="283"/>
              <w:jc w:val="left"/>
              <w:rPr/>
            </w:pPr>
            <w:r>
              <w:rPr/>
              <w:t>​</w:t>
            </w:r>
          </w:p>
        </w:tc>
        <w:tc>
          <w:tcPr>
            <w:tcW w:w="134" w:type="dxa"/>
            <w:tcBorders/>
            <w:shd w:fill="B2B2B2" w:val="clear"/>
            <w:tcMar>
              <w:bottom w:w="0" w:type="dxa"/>
            </w:tcMar>
            <w:vAlign w:val="center"/>
          </w:tcPr>
          <w:p>
            <w:pPr>
              <w:pStyle w:val="TableContents"/>
              <w:bidi w:val="0"/>
              <w:spacing w:before="0" w:after="283"/>
              <w:jc w:val="right"/>
              <w:rPr/>
            </w:pPr>
            <w:r>
              <w:rPr/>
              <w:t>​</w:t>
            </w:r>
          </w:p>
        </w:tc>
        <w:tc>
          <w:tcPr>
            <w:tcW w:w="981" w:type="dxa"/>
            <w:tcBorders/>
            <w:shd w:fill="B2B2B2" w:val="clear"/>
            <w:tcMar>
              <w:bottom w:w="0" w:type="dxa"/>
            </w:tcMar>
            <w:vAlign w:val="center"/>
          </w:tcPr>
          <w:p>
            <w:pPr>
              <w:pStyle w:val="TableContents"/>
              <w:bidi w:val="0"/>
              <w:spacing w:before="0" w:after="283"/>
              <w:jc w:val="right"/>
              <w:rPr/>
            </w:pPr>
            <w:r>
              <w:rPr/>
              <w:t>2,763</w:t>
            </w:r>
            <w:r>
              <w:rPr>
                <w:sz w:val="9"/>
              </w:rPr>
              <w:t>(9)</w:t>
            </w:r>
            <w:r>
              <w:rPr/>
              <w:t xml:space="preserve"> </w:t>
            </w:r>
          </w:p>
        </w:tc>
        <w:tc>
          <w:tcPr>
            <w:tcW w:w="135"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226" w:type="dxa"/>
            <w:tcBorders/>
            <w:shd w:fill="B2B2B2" w:val="clear"/>
            <w:tcMar>
              <w:bottom w:w="0" w:type="dxa"/>
            </w:tcMar>
            <w:vAlign w:val="center"/>
          </w:tcPr>
          <w:p>
            <w:pPr>
              <w:pStyle w:val="TableContents"/>
              <w:bidi w:val="0"/>
              <w:spacing w:before="0" w:after="283"/>
              <w:jc w:val="right"/>
              <w:rPr/>
            </w:pPr>
            <w:r>
              <w:rPr/>
              <w:t>$</w:t>
            </w:r>
          </w:p>
        </w:tc>
        <w:tc>
          <w:tcPr>
            <w:tcW w:w="766" w:type="dxa"/>
            <w:tcBorders/>
            <w:shd w:fill="B2B2B2" w:val="clear"/>
            <w:tcMar>
              <w:bottom w:w="0" w:type="dxa"/>
            </w:tcMar>
            <w:vAlign w:val="center"/>
          </w:tcPr>
          <w:p>
            <w:pPr>
              <w:pStyle w:val="TableContents"/>
              <w:bidi w:val="0"/>
              <w:spacing w:before="0" w:after="283"/>
              <w:jc w:val="right"/>
              <w:rPr/>
            </w:pPr>
            <w:r>
              <w:rPr/>
              <w:t>112.45</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15" w:type="dxa"/>
            <w:tcBorders/>
            <w:shd w:fill="B2B2B2" w:val="clear"/>
            <w:tcMar>
              <w:bottom w:w="0" w:type="dxa"/>
            </w:tcMar>
            <w:vAlign w:val="center"/>
          </w:tcPr>
          <w:p>
            <w:pPr>
              <w:pStyle w:val="TableContents"/>
              <w:bidi w:val="0"/>
              <w:spacing w:before="0" w:after="283"/>
              <w:jc w:val="right"/>
              <w:rPr/>
            </w:pPr>
            <w:r>
              <w:rPr/>
              <w:t>03/01/34</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96" w:type="dxa"/>
            <w:tcBorders/>
            <w:shd w:fill="B2B2B2" w:val="clear"/>
            <w:tcMar>
              <w:bottom w:w="0" w:type="dxa"/>
            </w:tcMar>
            <w:vAlign w:val="center"/>
          </w:tcPr>
          <w:p>
            <w:pPr>
              <w:pStyle w:val="TableContents"/>
              <w:bidi w:val="0"/>
              <w:spacing w:before="0" w:after="283"/>
              <w:jc w:val="right"/>
              <w:rPr/>
            </w:pPr>
            <w:r>
              <w:rPr/>
              <w:t>1,296</w:t>
            </w:r>
            <w:r>
              <w:rPr>
                <w:sz w:val="9"/>
              </w:rPr>
              <w:t>(14)</w:t>
            </w:r>
            <w:r>
              <w:rPr/>
              <w:t xml:space="preserve"> </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1066" w:type="dxa"/>
            <w:tcBorders/>
            <w:shd w:fill="B2B2B2" w:val="clear"/>
            <w:tcMar>
              <w:bottom w:w="0" w:type="dxa"/>
            </w:tcMar>
            <w:vAlign w:val="center"/>
          </w:tcPr>
          <w:p>
            <w:pPr>
              <w:pStyle w:val="TableContents"/>
              <w:bidi w:val="0"/>
              <w:spacing w:before="0" w:after="283"/>
              <w:jc w:val="right"/>
              <w:rPr/>
            </w:pPr>
            <w:r>
              <w:rPr/>
              <w:t>176,736</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96" w:type="dxa"/>
            <w:tcBorders/>
            <w:shd w:fill="B2B2B2" w:val="clear"/>
            <w:tcMar>
              <w:bottom w:w="0" w:type="dxa"/>
            </w:tcMar>
            <w:vAlign w:val="center"/>
          </w:tcPr>
          <w:p>
            <w:pPr>
              <w:pStyle w:val="TableContents"/>
              <w:bidi w:val="0"/>
              <w:spacing w:before="0" w:after="283"/>
              <w:jc w:val="right"/>
              <w:rPr/>
            </w:pPr>
            <w:r>
              <w:rPr/>
              <w:t>1,943</w:t>
            </w:r>
            <w:r>
              <w:rPr>
                <w:sz w:val="9"/>
              </w:rPr>
              <w:t>(15)</w:t>
            </w:r>
            <w:r>
              <w:rPr/>
              <w:t xml:space="preserve"> </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1066" w:type="dxa"/>
            <w:tcBorders/>
            <w:shd w:fill="B2B2B2" w:val="clear"/>
            <w:tcMar>
              <w:bottom w:w="0" w:type="dxa"/>
            </w:tcMar>
            <w:vAlign w:val="center"/>
          </w:tcPr>
          <w:p>
            <w:pPr>
              <w:pStyle w:val="TableContents"/>
              <w:bidi w:val="0"/>
              <w:spacing w:before="0" w:after="283"/>
              <w:jc w:val="right"/>
              <w:rPr/>
            </w:pPr>
            <w:r>
              <w:rPr/>
              <w:t>264,899</w:t>
            </w:r>
          </w:p>
        </w:tc>
        <w:tc>
          <w:tcPr>
            <w:tcW w:w="109" w:type="dxa"/>
            <w:tcBorders/>
            <w:shd w:fill="B2B2B2" w:val="clear"/>
            <w:tcMar>
              <w:bottom w:w="0" w:type="dxa"/>
            </w:tcMar>
            <w:vAlign w:val="center"/>
          </w:tcPr>
          <w:p>
            <w:pPr>
              <w:pStyle w:val="TableContents"/>
              <w:bidi w:val="0"/>
              <w:spacing w:before="0" w:after="283"/>
              <w:jc w:val="left"/>
              <w:rPr/>
            </w:pPr>
            <w:r>
              <w:rPr/>
              <w:t>​</w:t>
            </w:r>
          </w:p>
        </w:tc>
        <w:tc>
          <w:tcPr>
            <w:tcW w:w="154" w:type="dxa"/>
            <w:tcBorders/>
            <w:shd w:fill="B2B2B2" w:val="clear"/>
            <w:tcMar>
              <w:bottom w:w="0" w:type="dxa"/>
            </w:tcMar>
            <w:vAlign w:val="center"/>
          </w:tcPr>
          <w:p>
            <w:pPr>
              <w:pStyle w:val="TableContents"/>
              <w:bidi w:val="0"/>
              <w:spacing w:before="0" w:after="283"/>
              <w:jc w:val="left"/>
              <w:rPr/>
            </w:pPr>
            <w:r>
              <w:rPr/>
              <w:t>​</w:t>
            </w:r>
          </w:p>
        </w:tc>
      </w:tr>
      <w:tr>
        <w:trPr/>
        <w:tc>
          <w:tcPr>
            <w:tcW w:w="124" w:type="dxa"/>
            <w:vMerge w:val="continue"/>
            <w:tcBorders/>
            <w:shd w:fill="B2B2B2" w:val="clear"/>
            <w:tcMar>
              <w:bottom w:w="0" w:type="dxa"/>
            </w:tcMar>
            <w:vAlign w:val="center"/>
          </w:tcPr>
          <w:p>
            <w:pPr>
              <w:pStyle w:val="Normal"/>
              <w:bidi w:val="0"/>
              <w:jc w:val="left"/>
              <w:rPr/>
            </w:pPr>
            <w:r>
              <w:rPr/>
            </w:r>
          </w:p>
        </w:tc>
        <w:tc>
          <w:tcPr>
            <w:tcW w:w="894" w:type="dxa"/>
            <w:vMerge w:val="continue"/>
            <w:tcBorders/>
            <w:shd w:fill="B2B2B2" w:val="clear"/>
            <w:tcMar>
              <w:bottom w:w="0" w:type="dxa"/>
            </w:tcMar>
            <w:vAlign w:val="center"/>
          </w:tcPr>
          <w:p>
            <w:pPr>
              <w:pStyle w:val="Normal"/>
              <w:bidi w:val="0"/>
              <w:jc w:val="left"/>
              <w:rPr/>
            </w:pPr>
            <w:r>
              <w:rPr/>
            </w:r>
          </w:p>
        </w:tc>
        <w:tc>
          <w:tcPr>
            <w:tcW w:w="109" w:type="dxa"/>
            <w:vMerge w:val="continue"/>
            <w:tcBorders/>
            <w:shd w:fill="B2B2B2" w:val="clear"/>
            <w:tcMar>
              <w:bottom w:w="0" w:type="dxa"/>
            </w:tcMar>
            <w:vAlign w:val="center"/>
          </w:tcPr>
          <w:p>
            <w:pPr>
              <w:pStyle w:val="Normal"/>
              <w:bidi w:val="0"/>
              <w:jc w:val="left"/>
              <w:rPr/>
            </w:pPr>
            <w:r>
              <w:rPr/>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891" w:type="dxa"/>
            <w:tcBorders/>
            <w:shd w:fill="B2B2B2" w:val="clear"/>
            <w:tcMar>
              <w:bottom w:w="0" w:type="dxa"/>
            </w:tcMar>
            <w:vAlign w:val="center"/>
          </w:tcPr>
          <w:p>
            <w:pPr>
              <w:pStyle w:val="TableContents"/>
              <w:bidi w:val="0"/>
              <w:spacing w:before="0" w:after="283"/>
              <w:jc w:val="right"/>
              <w:rPr/>
            </w:pPr>
            <w:r>
              <w:rPr/>
              <w:t>—</w:t>
            </w:r>
          </w:p>
        </w:tc>
        <w:tc>
          <w:tcPr>
            <w:tcW w:w="112"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34" w:type="dxa"/>
            <w:tcBorders/>
            <w:shd w:fill="B2B2B2" w:val="clear"/>
            <w:tcMar>
              <w:bottom w:w="0" w:type="dxa"/>
            </w:tcMar>
            <w:vAlign w:val="center"/>
          </w:tcPr>
          <w:p>
            <w:pPr>
              <w:pStyle w:val="TableContents"/>
              <w:bidi w:val="0"/>
              <w:spacing w:before="0" w:after="283"/>
              <w:jc w:val="left"/>
              <w:rPr/>
            </w:pPr>
            <w:r>
              <w:rPr/>
              <w:t>​</w:t>
            </w:r>
          </w:p>
        </w:tc>
        <w:tc>
          <w:tcPr>
            <w:tcW w:w="134" w:type="dxa"/>
            <w:tcBorders/>
            <w:shd w:fill="B2B2B2" w:val="clear"/>
            <w:tcMar>
              <w:bottom w:w="0" w:type="dxa"/>
            </w:tcMar>
            <w:vAlign w:val="center"/>
          </w:tcPr>
          <w:p>
            <w:pPr>
              <w:pStyle w:val="TableContents"/>
              <w:bidi w:val="0"/>
              <w:spacing w:before="0" w:after="283"/>
              <w:jc w:val="right"/>
              <w:rPr/>
            </w:pPr>
            <w:r>
              <w:rPr/>
              <w:t>​</w:t>
            </w:r>
          </w:p>
        </w:tc>
        <w:tc>
          <w:tcPr>
            <w:tcW w:w="981" w:type="dxa"/>
            <w:tcBorders/>
            <w:shd w:fill="B2B2B2" w:val="clear"/>
            <w:tcMar>
              <w:bottom w:w="0" w:type="dxa"/>
            </w:tcMar>
            <w:vAlign w:val="center"/>
          </w:tcPr>
          <w:p>
            <w:pPr>
              <w:pStyle w:val="TableContents"/>
              <w:bidi w:val="0"/>
              <w:spacing w:before="0" w:after="283"/>
              <w:jc w:val="right"/>
              <w:rPr/>
            </w:pPr>
            <w:r>
              <w:rPr/>
              <w:t>3,465</w:t>
            </w:r>
            <w:r>
              <w:rPr>
                <w:sz w:val="9"/>
              </w:rPr>
              <w:t>(10)</w:t>
            </w:r>
            <w:r>
              <w:rPr/>
              <w:t xml:space="preserve"> </w:t>
            </w:r>
          </w:p>
        </w:tc>
        <w:tc>
          <w:tcPr>
            <w:tcW w:w="135"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226" w:type="dxa"/>
            <w:tcBorders/>
            <w:shd w:fill="B2B2B2" w:val="clear"/>
            <w:tcMar>
              <w:bottom w:w="0" w:type="dxa"/>
            </w:tcMar>
            <w:vAlign w:val="center"/>
          </w:tcPr>
          <w:p>
            <w:pPr>
              <w:pStyle w:val="TableContents"/>
              <w:bidi w:val="0"/>
              <w:spacing w:before="0" w:after="283"/>
              <w:jc w:val="right"/>
              <w:rPr/>
            </w:pPr>
            <w:r>
              <w:rPr/>
              <w:t>$</w:t>
            </w:r>
          </w:p>
        </w:tc>
        <w:tc>
          <w:tcPr>
            <w:tcW w:w="766" w:type="dxa"/>
            <w:tcBorders/>
            <w:shd w:fill="B2B2B2" w:val="clear"/>
            <w:tcMar>
              <w:bottom w:w="0" w:type="dxa"/>
            </w:tcMar>
            <w:vAlign w:val="center"/>
          </w:tcPr>
          <w:p>
            <w:pPr>
              <w:pStyle w:val="TableContents"/>
              <w:bidi w:val="0"/>
              <w:spacing w:before="0" w:after="283"/>
              <w:jc w:val="right"/>
              <w:rPr/>
            </w:pPr>
            <w:r>
              <w:rPr/>
              <w:t>135.79</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15" w:type="dxa"/>
            <w:tcBorders/>
            <w:shd w:fill="B2B2B2" w:val="clear"/>
            <w:tcMar>
              <w:bottom w:w="0" w:type="dxa"/>
            </w:tcMar>
            <w:vAlign w:val="center"/>
          </w:tcPr>
          <w:p>
            <w:pPr>
              <w:pStyle w:val="TableContents"/>
              <w:bidi w:val="0"/>
              <w:spacing w:before="0" w:after="283"/>
              <w:jc w:val="right"/>
              <w:rPr/>
            </w:pPr>
            <w:r>
              <w:rPr/>
              <w:t>03/01/35</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96" w:type="dxa"/>
            <w:tcBorders/>
            <w:shd w:fill="B2B2B2" w:val="clear"/>
            <w:tcMar>
              <w:bottom w:w="0" w:type="dxa"/>
            </w:tcMar>
            <w:vAlign w:val="center"/>
          </w:tcPr>
          <w:p>
            <w:pPr>
              <w:pStyle w:val="TableContents"/>
              <w:bidi w:val="0"/>
              <w:spacing w:before="0" w:after="283"/>
              <w:jc w:val="right"/>
              <w:rPr/>
            </w:pPr>
            <w:r>
              <w:rPr/>
              <w:t>1,842</w:t>
            </w:r>
            <w:r>
              <w:rPr>
                <w:sz w:val="9"/>
              </w:rPr>
              <w:t>(16)</w:t>
            </w:r>
            <w:r>
              <w:rPr/>
              <w:t xml:space="preserve"> </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1066" w:type="dxa"/>
            <w:tcBorders/>
            <w:shd w:fill="B2B2B2" w:val="clear"/>
            <w:tcMar>
              <w:bottom w:w="0" w:type="dxa"/>
            </w:tcMar>
            <w:vAlign w:val="center"/>
          </w:tcPr>
          <w:p>
            <w:pPr>
              <w:pStyle w:val="TableContents"/>
              <w:bidi w:val="0"/>
              <w:spacing w:before="0" w:after="283"/>
              <w:jc w:val="right"/>
              <w:rPr/>
            </w:pPr>
            <w:r>
              <w:rPr/>
              <w:t>251,194</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96" w:type="dxa"/>
            <w:tcBorders/>
            <w:shd w:fill="B2B2B2" w:val="clear"/>
            <w:tcMar>
              <w:bottom w:w="0" w:type="dxa"/>
            </w:tcMar>
            <w:vAlign w:val="center"/>
          </w:tcPr>
          <w:p>
            <w:pPr>
              <w:pStyle w:val="TableContents"/>
              <w:bidi w:val="0"/>
              <w:spacing w:before="0" w:after="283"/>
              <w:jc w:val="right"/>
              <w:rPr/>
            </w:pPr>
            <w:r>
              <w:rPr/>
              <w:t>1,842</w:t>
            </w:r>
            <w:r>
              <w:rPr>
                <w:sz w:val="9"/>
              </w:rPr>
              <w:t>(17)</w:t>
            </w:r>
            <w:r>
              <w:rPr/>
              <w:t xml:space="preserve"> </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1066" w:type="dxa"/>
            <w:tcBorders/>
            <w:shd w:fill="B2B2B2" w:val="clear"/>
            <w:tcMar>
              <w:bottom w:w="0" w:type="dxa"/>
            </w:tcMar>
            <w:vAlign w:val="center"/>
          </w:tcPr>
          <w:p>
            <w:pPr>
              <w:pStyle w:val="TableContents"/>
              <w:bidi w:val="0"/>
              <w:spacing w:before="0" w:after="283"/>
              <w:jc w:val="right"/>
              <w:rPr/>
            </w:pPr>
            <w:r>
              <w:rPr/>
              <w:t>251,125</w:t>
            </w:r>
          </w:p>
        </w:tc>
        <w:tc>
          <w:tcPr>
            <w:tcW w:w="109" w:type="dxa"/>
            <w:tcBorders/>
            <w:shd w:fill="B2B2B2" w:val="clear"/>
            <w:tcMar>
              <w:bottom w:w="0" w:type="dxa"/>
            </w:tcMar>
            <w:vAlign w:val="center"/>
          </w:tcPr>
          <w:p>
            <w:pPr>
              <w:pStyle w:val="TableContents"/>
              <w:bidi w:val="0"/>
              <w:spacing w:before="0" w:after="283"/>
              <w:jc w:val="left"/>
              <w:rPr/>
            </w:pPr>
            <w:r>
              <w:rPr/>
              <w:t>​</w:t>
            </w:r>
          </w:p>
        </w:tc>
        <w:tc>
          <w:tcPr>
            <w:tcW w:w="154" w:type="dxa"/>
            <w:tcBorders/>
            <w:shd w:fill="B2B2B2" w:val="clear"/>
            <w:tcMar>
              <w:bottom w:w="0" w:type="dxa"/>
            </w:tcMar>
            <w:vAlign w:val="center"/>
          </w:tcPr>
          <w:p>
            <w:pPr>
              <w:pStyle w:val="TableContents"/>
              <w:bidi w:val="0"/>
              <w:spacing w:before="0" w:after="283"/>
              <w:jc w:val="left"/>
              <w:rPr/>
            </w:pPr>
            <w:r>
              <w:rPr/>
              <w:t>​</w:t>
            </w:r>
          </w:p>
        </w:tc>
      </w:tr>
      <w:tr>
        <w:trPr/>
        <w:tc>
          <w:tcPr>
            <w:tcW w:w="124" w:type="dxa"/>
            <w:vMerge w:val="restart"/>
            <w:tcBorders/>
            <w:tcMar>
              <w:bottom w:w="0" w:type="dxa"/>
            </w:tcMar>
            <w:vAlign w:val="center"/>
          </w:tcPr>
          <w:p>
            <w:pPr>
              <w:pStyle w:val="TableContents"/>
              <w:bidi w:val="0"/>
              <w:spacing w:before="0" w:after="283"/>
              <w:jc w:val="left"/>
              <w:rPr/>
            </w:pPr>
            <w:r>
              <w:rPr/>
              <w:t>​</w:t>
            </w:r>
          </w:p>
        </w:tc>
        <w:tc>
          <w:tcPr>
            <w:tcW w:w="894" w:type="dxa"/>
            <w:vMerge w:val="restart"/>
            <w:tcBorders/>
            <w:tcMar>
              <w:bottom w:w="0" w:type="dxa"/>
            </w:tcMar>
            <w:vAlign w:val="center"/>
          </w:tcPr>
          <w:p>
            <w:pPr>
              <w:pStyle w:val="TableContents"/>
              <w:bidi w:val="0"/>
              <w:spacing w:lineRule="atLeast" w:line="180" w:before="0" w:after="0"/>
              <w:jc w:val="left"/>
              <w:rPr>
                <w:spacing w:val="-1"/>
              </w:rPr>
            </w:pPr>
            <w:r>
              <w:rPr>
                <w:spacing w:val="-1"/>
              </w:rPr>
              <w:t xml:space="preserve">Raj Kanuru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80" w:before="0" w:after="283"/>
              <w:jc w:val="right"/>
              <w:rPr/>
            </w:pPr>
            <w:r>
              <w:rPr/>
              <w:t>​</w:t>
            </w:r>
          </w:p>
        </w:tc>
        <w:tc>
          <w:tcPr>
            <w:tcW w:w="891" w:type="dxa"/>
            <w:tcBorders/>
            <w:tcMar>
              <w:bottom w:w="0" w:type="dxa"/>
            </w:tcMar>
            <w:vAlign w:val="center"/>
          </w:tcPr>
          <w:p>
            <w:pPr>
              <w:pStyle w:val="TableContents"/>
              <w:bidi w:val="0"/>
              <w:spacing w:lineRule="atLeast" w:line="180" w:before="0" w:after="283"/>
              <w:jc w:val="right"/>
              <w:rPr/>
            </w:pPr>
            <w:r>
              <w:rPr/>
              <w:t>1,570</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lineRule="atLeast" w:line="180" w:before="0" w:after="283"/>
              <w:jc w:val="right"/>
              <w:rPr/>
            </w:pPr>
            <w:r>
              <w:rPr/>
              <w:t>​</w:t>
            </w:r>
          </w:p>
        </w:tc>
        <w:tc>
          <w:tcPr>
            <w:tcW w:w="981" w:type="dxa"/>
            <w:tcBorders/>
            <w:tcMar>
              <w:bottom w:w="0" w:type="dxa"/>
            </w:tcMar>
            <w:vAlign w:val="center"/>
          </w:tcPr>
          <w:p>
            <w:pPr>
              <w:pStyle w:val="TableContents"/>
              <w:bidi w:val="0"/>
              <w:spacing w:lineRule="atLeast" w:line="180" w:before="0" w:after="283"/>
              <w:jc w:val="right"/>
              <w:rPr/>
            </w:pPr>
            <w:r>
              <w:rPr/>
              <w:t>—</w:t>
            </w:r>
            <w:r>
              <w:rPr>
                <w:sz w:val="9"/>
              </w:rPr>
              <w:t>(6)</w:t>
            </w:r>
            <w:r>
              <w:rPr/>
              <w:t xml:space="preserve"> </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180" w:before="0" w:after="283"/>
              <w:jc w:val="right"/>
              <w:rPr/>
            </w:pPr>
            <w:r>
              <w:rPr/>
              <w:t>$</w:t>
            </w:r>
          </w:p>
        </w:tc>
        <w:tc>
          <w:tcPr>
            <w:tcW w:w="766" w:type="dxa"/>
            <w:tcBorders/>
            <w:tcMar>
              <w:bottom w:w="0" w:type="dxa"/>
            </w:tcMar>
            <w:vAlign w:val="center"/>
          </w:tcPr>
          <w:p>
            <w:pPr>
              <w:pStyle w:val="TableContents"/>
              <w:bidi w:val="0"/>
              <w:spacing w:lineRule="atLeast" w:line="180" w:before="0" w:after="283"/>
              <w:jc w:val="right"/>
              <w:rPr/>
            </w:pPr>
            <w:r>
              <w:rPr/>
              <w:t>335.91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80" w:before="0" w:after="283"/>
              <w:jc w:val="right"/>
              <w:rPr/>
            </w:pPr>
            <w:r>
              <w:rPr/>
              <w:t>​</w:t>
            </w:r>
          </w:p>
        </w:tc>
        <w:tc>
          <w:tcPr>
            <w:tcW w:w="715" w:type="dxa"/>
            <w:tcBorders/>
            <w:tcMar>
              <w:bottom w:w="0" w:type="dxa"/>
            </w:tcMar>
            <w:vAlign w:val="center"/>
          </w:tcPr>
          <w:p>
            <w:pPr>
              <w:pStyle w:val="TableContents"/>
              <w:bidi w:val="0"/>
              <w:spacing w:lineRule="atLeast" w:line="180" w:before="0" w:after="283"/>
              <w:jc w:val="right"/>
              <w:rPr/>
            </w:pPr>
            <w:r>
              <w:rPr/>
              <w:t>03/01/31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80" w:before="0" w:after="283"/>
              <w:jc w:val="right"/>
              <w:rPr/>
            </w:pPr>
            <w:r>
              <w:rPr/>
              <w:t>​</w:t>
            </w:r>
          </w:p>
        </w:tc>
        <w:tc>
          <w:tcPr>
            <w:tcW w:w="796" w:type="dxa"/>
            <w:tcBorders/>
            <w:tcMar>
              <w:bottom w:w="0" w:type="dxa"/>
            </w:tcMar>
            <w:vAlign w:val="center"/>
          </w:tcPr>
          <w:p>
            <w:pPr>
              <w:pStyle w:val="TableContents"/>
              <w:bidi w:val="0"/>
              <w:spacing w:lineRule="atLeast" w:line="18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80" w:before="0" w:after="283"/>
              <w:jc w:val="right"/>
              <w:rPr/>
            </w:pPr>
            <w:r>
              <w:rPr/>
              <w:t>​</w:t>
            </w:r>
          </w:p>
        </w:tc>
        <w:tc>
          <w:tcPr>
            <w:tcW w:w="1066" w:type="dxa"/>
            <w:tcBorders/>
            <w:tcMar>
              <w:bottom w:w="0" w:type="dxa"/>
            </w:tcMar>
            <w:vAlign w:val="center"/>
          </w:tcPr>
          <w:p>
            <w:pPr>
              <w:pStyle w:val="TableContents"/>
              <w:bidi w:val="0"/>
              <w:spacing w:lineRule="atLeast" w:line="18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80" w:before="0" w:after="283"/>
              <w:jc w:val="right"/>
              <w:rPr/>
            </w:pPr>
            <w:r>
              <w:rPr/>
              <w:t>​</w:t>
            </w:r>
          </w:p>
        </w:tc>
        <w:tc>
          <w:tcPr>
            <w:tcW w:w="796" w:type="dxa"/>
            <w:tcBorders/>
            <w:tcMar>
              <w:bottom w:w="0" w:type="dxa"/>
            </w:tcMar>
            <w:vAlign w:val="center"/>
          </w:tcPr>
          <w:p>
            <w:pPr>
              <w:pStyle w:val="TableContents"/>
              <w:bidi w:val="0"/>
              <w:spacing w:lineRule="atLeast" w:line="18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80" w:before="0" w:after="283"/>
              <w:jc w:val="right"/>
              <w:rPr/>
            </w:pPr>
            <w:r>
              <w:rPr/>
              <w:t>​</w:t>
            </w:r>
          </w:p>
        </w:tc>
        <w:tc>
          <w:tcPr>
            <w:tcW w:w="1066" w:type="dxa"/>
            <w:tcBorders/>
            <w:tcMar>
              <w:bottom w:w="0" w:type="dxa"/>
            </w:tcMar>
            <w:vAlign w:val="center"/>
          </w:tcPr>
          <w:p>
            <w:pPr>
              <w:pStyle w:val="TableContents"/>
              <w:bidi w:val="0"/>
              <w:spacing w:lineRule="atLeast" w:line="18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894"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1" w:type="dxa"/>
            <w:tcBorders/>
            <w:tcMar>
              <w:bottom w:w="0" w:type="dxa"/>
            </w:tcMar>
            <w:vAlign w:val="center"/>
          </w:tcPr>
          <w:p>
            <w:pPr>
              <w:pStyle w:val="TableContents"/>
              <w:bidi w:val="0"/>
              <w:spacing w:before="0" w:after="283"/>
              <w:jc w:val="right"/>
              <w:rPr/>
            </w:pPr>
            <w:r>
              <w:rPr/>
              <w:t>1,258</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right"/>
              <w:rPr/>
            </w:pPr>
            <w:r>
              <w:rPr/>
              <w:t>​</w:t>
            </w:r>
          </w:p>
        </w:tc>
        <w:tc>
          <w:tcPr>
            <w:tcW w:w="981" w:type="dxa"/>
            <w:tcBorders/>
            <w:tcMar>
              <w:bottom w:w="0" w:type="dxa"/>
            </w:tcMar>
            <w:vAlign w:val="center"/>
          </w:tcPr>
          <w:p>
            <w:pPr>
              <w:pStyle w:val="TableContents"/>
              <w:bidi w:val="0"/>
              <w:spacing w:before="0" w:after="283"/>
              <w:jc w:val="right"/>
              <w:rPr/>
            </w:pPr>
            <w:r>
              <w:rPr/>
              <w:t>420</w:t>
            </w:r>
            <w:r>
              <w:rPr>
                <w:sz w:val="9"/>
              </w:rPr>
              <w:t>(7)</w:t>
            </w:r>
            <w:r>
              <w:rPr/>
              <w:t xml:space="preserve"> </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315.88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03/01/32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894"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1" w:type="dxa"/>
            <w:tcBorders/>
            <w:tcMar>
              <w:bottom w:w="0" w:type="dxa"/>
            </w:tcMar>
            <w:vAlign w:val="center"/>
          </w:tcPr>
          <w:p>
            <w:pPr>
              <w:pStyle w:val="TableContents"/>
              <w:bidi w:val="0"/>
              <w:spacing w:before="0" w:after="283"/>
              <w:jc w:val="right"/>
              <w:rPr/>
            </w:pPr>
            <w:r>
              <w:rPr/>
              <w:t>1,040</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right"/>
              <w:rPr/>
            </w:pPr>
            <w:r>
              <w:rPr/>
              <w:t>​</w:t>
            </w:r>
          </w:p>
        </w:tc>
        <w:tc>
          <w:tcPr>
            <w:tcW w:w="981" w:type="dxa"/>
            <w:tcBorders/>
            <w:tcMar>
              <w:bottom w:w="0" w:type="dxa"/>
            </w:tcMar>
            <w:vAlign w:val="center"/>
          </w:tcPr>
          <w:p>
            <w:pPr>
              <w:pStyle w:val="TableContents"/>
              <w:bidi w:val="0"/>
              <w:spacing w:before="0" w:after="283"/>
              <w:jc w:val="right"/>
              <w:rPr/>
            </w:pPr>
            <w:r>
              <w:rPr/>
              <w:t>2,080</w:t>
            </w:r>
            <w:r>
              <w:rPr>
                <w:sz w:val="9"/>
              </w:rPr>
              <w:t>(8)</w:t>
            </w:r>
            <w:r>
              <w:rPr/>
              <w:t xml:space="preserve"> </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119.54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03/01/33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690</w:t>
            </w:r>
            <w:r>
              <w:rPr>
                <w:sz w:val="9"/>
              </w:rPr>
              <w:t>(11)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94,095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1,036</w:t>
            </w:r>
            <w:r>
              <w:rPr>
                <w:sz w:val="9"/>
              </w:rPr>
              <w:t>(12)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141,279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894"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1" w:type="dxa"/>
            <w:tcBorders/>
            <w:tcMar>
              <w:bottom w:w="0" w:type="dxa"/>
            </w:tcMar>
            <w:vAlign w:val="center"/>
          </w:tcPr>
          <w:p>
            <w:pPr>
              <w:pStyle w:val="TableContents"/>
              <w:bidi w:val="0"/>
              <w:spacing w:before="0" w:after="283"/>
              <w:jc w:val="right"/>
              <w:rPr/>
            </w:pPr>
            <w:r>
              <w:rPr/>
              <w:t>784</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right"/>
              <w:rPr/>
            </w:pPr>
            <w:r>
              <w:rPr/>
              <w:t>​</w:t>
            </w:r>
          </w:p>
        </w:tc>
        <w:tc>
          <w:tcPr>
            <w:tcW w:w="981" w:type="dxa"/>
            <w:tcBorders/>
            <w:tcMar>
              <w:bottom w:w="0" w:type="dxa"/>
            </w:tcMar>
            <w:vAlign w:val="center"/>
          </w:tcPr>
          <w:p>
            <w:pPr>
              <w:pStyle w:val="TableContents"/>
              <w:bidi w:val="0"/>
              <w:spacing w:before="0" w:after="283"/>
              <w:jc w:val="right"/>
              <w:rPr/>
            </w:pPr>
            <w:r>
              <w:rPr/>
              <w:t>2,352</w:t>
            </w:r>
            <w:r>
              <w:rPr>
                <w:sz w:val="9"/>
              </w:rPr>
              <w:t>(9)</w:t>
            </w:r>
            <w:r>
              <w:rPr/>
              <w:t xml:space="preserve"> </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112.45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03/01/34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1,103</w:t>
            </w:r>
            <w:r>
              <w:rPr>
                <w:sz w:val="9"/>
              </w:rPr>
              <w:t>(14)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150,416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1,654</w:t>
            </w:r>
            <w:r>
              <w:rPr>
                <w:sz w:val="9"/>
              </w:rPr>
              <w:t>(15)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225,556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894"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1"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right"/>
              <w:rPr/>
            </w:pPr>
            <w:r>
              <w:rPr/>
              <w:t>​</w:t>
            </w:r>
          </w:p>
        </w:tc>
        <w:tc>
          <w:tcPr>
            <w:tcW w:w="981" w:type="dxa"/>
            <w:tcBorders/>
            <w:tcMar>
              <w:bottom w:w="0" w:type="dxa"/>
            </w:tcMar>
            <w:vAlign w:val="center"/>
          </w:tcPr>
          <w:p>
            <w:pPr>
              <w:pStyle w:val="TableContents"/>
              <w:bidi w:val="0"/>
              <w:spacing w:before="0" w:after="283"/>
              <w:jc w:val="right"/>
              <w:rPr/>
            </w:pPr>
            <w:r>
              <w:rPr/>
              <w:t>3,465</w:t>
            </w:r>
            <w:r>
              <w:rPr>
                <w:sz w:val="9"/>
              </w:rPr>
              <w:t>(10)</w:t>
            </w:r>
            <w:r>
              <w:rPr/>
              <w:t xml:space="preserve"> </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135.79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03/01/35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1,842</w:t>
            </w:r>
            <w:r>
              <w:rPr>
                <w:sz w:val="9"/>
              </w:rPr>
              <w:t>(16)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251,194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1,842</w:t>
            </w:r>
            <w:r>
              <w:rPr>
                <w:sz w:val="9"/>
              </w:rPr>
              <w:t>(17)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251,125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242" w:after="0"/>
        <w:ind w:left="166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These options were granted on February 18, 2016, and have fully vested.</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53670" distB="0" distL="0" distR="0" simplePos="0" locked="0" layoutInCell="1" allowOverlap="1" relativeHeight="311">
                <wp:simplePos x="0" y="0"/>
                <wp:positionH relativeFrom="column">
                  <wp:align>left</wp:align>
                </wp:positionH>
                <wp:positionV relativeFrom="line">
                  <wp:align>top</wp:align>
                </wp:positionV>
                <wp:extent cx="330200" cy="330200"/>
                <wp:effectExtent l="0" t="0" r="0" b="0"/>
                <wp:wrapSquare wrapText="right"/>
                <wp:docPr id="286" name="Frame180"/>
                <a:graphic xmlns:a="http://schemas.openxmlformats.org/drawingml/2006/main">
                  <a:graphicData uri="http://schemas.microsoft.com/office/word/2010/wordprocessingShape">
                    <wps:wsp>
                      <wps:cNvSpPr txBox="1"/>
                      <wps:spPr>
                        <a:xfrm>
                          <a:off x="0" y="0"/>
                          <a:ext cx="330200" cy="330200"/>
                        </a:xfrm>
                        <a:prstGeom prst="rect"/>
                        <a:solidFill>
                          <a:srgbClr val="FFFFFF"/>
                        </a:solidFill>
                      </wps:spPr>
                      <wps:txbx>
                        <w:txbxContent>
                          <w:p>
                            <w:pPr>
                              <w:pStyle w:val="TextBody"/>
                              <w:bidi w:val="0"/>
                              <w:spacing w:lineRule="atLeast" w:line="260" w:before="0" w:after="283"/>
                              <w:jc w:val="left"/>
                              <w:rPr>
                                <w:sz w:val="22"/>
                              </w:rPr>
                            </w:pPr>
                            <w:r>
                              <w:rPr>
                                <w:spacing w:val="-2"/>
                                <w:sz w:val="22"/>
                              </w:rPr>
                              <w:t>(1)</w:t>
                            </w:r>
                            <w:r>
                              <w:rPr>
                                <w:sz w:val="22"/>
                              </w:rPr>
                              <w:t xml:space="preserve"> </w:t>
                              <w:br/>
                            </w:r>
                          </w:p>
                        </w:txbxContent>
                      </wps:txbx>
                      <wps:bodyPr anchor="t" lIns="0" tIns="0" rIns="0" bIns="0">
                        <a:noAutofit/>
                      </wps:bodyPr>
                    </wps:wsp>
                  </a:graphicData>
                </a:graphic>
              </wp:anchor>
            </w:drawing>
          </mc:Choice>
          <mc:Fallback>
            <w:pict>
              <v:rect style="position:absolute;rotation:-0;width:26pt;height:2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60" w:before="0" w:after="283"/>
                        <w:jc w:val="left"/>
                        <w:rPr>
                          <w:sz w:val="22"/>
                        </w:rPr>
                      </w:pPr>
                      <w:r>
                        <w:rPr>
                          <w:spacing w:val="-2"/>
                          <w:sz w:val="22"/>
                        </w:rPr>
                        <w:t>(1)</w:t>
                      </w:r>
                      <w:r>
                        <w:rPr>
                          <w:sz w:val="22"/>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82" w:after="0"/>
        <w:ind w:left="166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These options were granted on March 1, 2017, and have fully vested.</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2070" distB="0" distL="0" distR="0" simplePos="0" locked="0" layoutInCell="1" allowOverlap="1" relativeHeight="312">
                <wp:simplePos x="0" y="0"/>
                <wp:positionH relativeFrom="column">
                  <wp:align>left</wp:align>
                </wp:positionH>
                <wp:positionV relativeFrom="line">
                  <wp:align>top</wp:align>
                </wp:positionV>
                <wp:extent cx="330200" cy="330200"/>
                <wp:effectExtent l="0" t="0" r="0" b="0"/>
                <wp:wrapSquare wrapText="right"/>
                <wp:docPr id="287" name="Frame181"/>
                <a:graphic xmlns:a="http://schemas.openxmlformats.org/drawingml/2006/main">
                  <a:graphicData uri="http://schemas.microsoft.com/office/word/2010/wordprocessingShape">
                    <wps:wsp>
                      <wps:cNvSpPr txBox="1"/>
                      <wps:spPr>
                        <a:xfrm>
                          <a:off x="0" y="0"/>
                          <a:ext cx="330200" cy="330200"/>
                        </a:xfrm>
                        <a:prstGeom prst="rect"/>
                        <a:solidFill>
                          <a:srgbClr val="FFFFFF"/>
                        </a:solidFill>
                      </wps:spPr>
                      <wps:txbx>
                        <w:txbxContent>
                          <w:p>
                            <w:pPr>
                              <w:pStyle w:val="TextBody"/>
                              <w:bidi w:val="0"/>
                              <w:spacing w:lineRule="atLeast" w:line="260" w:before="0" w:after="283"/>
                              <w:jc w:val="left"/>
                              <w:rPr>
                                <w:sz w:val="22"/>
                              </w:rPr>
                            </w:pPr>
                            <w:r>
                              <w:rPr>
                                <w:spacing w:val="-2"/>
                                <w:sz w:val="22"/>
                              </w:rPr>
                              <w:t>(2)</w:t>
                            </w:r>
                            <w:r>
                              <w:rPr>
                                <w:sz w:val="22"/>
                              </w:rPr>
                              <w:t xml:space="preserve"> </w:t>
                              <w:br/>
                            </w:r>
                          </w:p>
                        </w:txbxContent>
                      </wps:txbx>
                      <wps:bodyPr anchor="t" lIns="0" tIns="0" rIns="0" bIns="0">
                        <a:noAutofit/>
                      </wps:bodyPr>
                    </wps:wsp>
                  </a:graphicData>
                </a:graphic>
              </wp:anchor>
            </w:drawing>
          </mc:Choice>
          <mc:Fallback>
            <w:pict>
              <v:rect style="position:absolute;rotation:-0;width:26pt;height:2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60" w:before="0" w:after="283"/>
                        <w:jc w:val="left"/>
                        <w:rPr>
                          <w:sz w:val="22"/>
                        </w:rPr>
                      </w:pPr>
                      <w:r>
                        <w:rPr>
                          <w:spacing w:val="-2"/>
                          <w:sz w:val="22"/>
                        </w:rPr>
                        <w:t>(2)</w:t>
                      </w:r>
                      <w:r>
                        <w:rPr>
                          <w:sz w:val="22"/>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82" w:after="0"/>
        <w:ind w:left="166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These options were granted on March 1, 2018, and have fully vested.</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2070" distB="0" distL="0" distR="0" simplePos="0" locked="0" layoutInCell="1" allowOverlap="1" relativeHeight="313">
                <wp:simplePos x="0" y="0"/>
                <wp:positionH relativeFrom="column">
                  <wp:align>left</wp:align>
                </wp:positionH>
                <wp:positionV relativeFrom="line">
                  <wp:align>top</wp:align>
                </wp:positionV>
                <wp:extent cx="330200" cy="330200"/>
                <wp:effectExtent l="0" t="0" r="0" b="0"/>
                <wp:wrapSquare wrapText="right"/>
                <wp:docPr id="288" name="Frame182"/>
                <a:graphic xmlns:a="http://schemas.openxmlformats.org/drawingml/2006/main">
                  <a:graphicData uri="http://schemas.microsoft.com/office/word/2010/wordprocessingShape">
                    <wps:wsp>
                      <wps:cNvSpPr txBox="1"/>
                      <wps:spPr>
                        <a:xfrm>
                          <a:off x="0" y="0"/>
                          <a:ext cx="330200" cy="330200"/>
                        </a:xfrm>
                        <a:prstGeom prst="rect"/>
                        <a:solidFill>
                          <a:srgbClr val="FFFFFF"/>
                        </a:solidFill>
                      </wps:spPr>
                      <wps:txbx>
                        <w:txbxContent>
                          <w:p>
                            <w:pPr>
                              <w:pStyle w:val="TextBody"/>
                              <w:bidi w:val="0"/>
                              <w:spacing w:lineRule="atLeast" w:line="260" w:before="0" w:after="283"/>
                              <w:jc w:val="left"/>
                              <w:rPr>
                                <w:sz w:val="22"/>
                              </w:rPr>
                            </w:pPr>
                            <w:r>
                              <w:rPr>
                                <w:spacing w:val="-2"/>
                                <w:sz w:val="22"/>
                              </w:rPr>
                              <w:t>(3)</w:t>
                            </w:r>
                            <w:r>
                              <w:rPr>
                                <w:sz w:val="22"/>
                              </w:rPr>
                              <w:t xml:space="preserve"> </w:t>
                              <w:br/>
                            </w:r>
                          </w:p>
                        </w:txbxContent>
                      </wps:txbx>
                      <wps:bodyPr anchor="t" lIns="0" tIns="0" rIns="0" bIns="0">
                        <a:noAutofit/>
                      </wps:bodyPr>
                    </wps:wsp>
                  </a:graphicData>
                </a:graphic>
              </wp:anchor>
            </w:drawing>
          </mc:Choice>
          <mc:Fallback>
            <w:pict>
              <v:rect style="position:absolute;rotation:-0;width:26pt;height:2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60" w:before="0" w:after="283"/>
                        <w:jc w:val="left"/>
                        <w:rPr>
                          <w:sz w:val="22"/>
                        </w:rPr>
                      </w:pPr>
                      <w:r>
                        <w:rPr>
                          <w:spacing w:val="-2"/>
                          <w:sz w:val="22"/>
                        </w:rPr>
                        <w:t>(3)</w:t>
                      </w:r>
                      <w:r>
                        <w:rPr>
                          <w:sz w:val="22"/>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82" w:after="0"/>
        <w:ind w:left="166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These options were granted on March 1, 2019, and have fully vested.</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2070" distB="0" distL="0" distR="0" simplePos="0" locked="0" layoutInCell="1" allowOverlap="1" relativeHeight="314">
                <wp:simplePos x="0" y="0"/>
                <wp:positionH relativeFrom="column">
                  <wp:align>left</wp:align>
                </wp:positionH>
                <wp:positionV relativeFrom="line">
                  <wp:align>top</wp:align>
                </wp:positionV>
                <wp:extent cx="330200" cy="330200"/>
                <wp:effectExtent l="0" t="0" r="0" b="0"/>
                <wp:wrapSquare wrapText="right"/>
                <wp:docPr id="289" name="Frame183"/>
                <a:graphic xmlns:a="http://schemas.openxmlformats.org/drawingml/2006/main">
                  <a:graphicData uri="http://schemas.microsoft.com/office/word/2010/wordprocessingShape">
                    <wps:wsp>
                      <wps:cNvSpPr txBox="1"/>
                      <wps:spPr>
                        <a:xfrm>
                          <a:off x="0" y="0"/>
                          <a:ext cx="330200" cy="330200"/>
                        </a:xfrm>
                        <a:prstGeom prst="rect"/>
                        <a:solidFill>
                          <a:srgbClr val="FFFFFF"/>
                        </a:solidFill>
                      </wps:spPr>
                      <wps:txbx>
                        <w:txbxContent>
                          <w:p>
                            <w:pPr>
                              <w:pStyle w:val="TextBody"/>
                              <w:bidi w:val="0"/>
                              <w:spacing w:lineRule="atLeast" w:line="260" w:before="0" w:after="283"/>
                              <w:jc w:val="left"/>
                              <w:rPr>
                                <w:sz w:val="22"/>
                              </w:rPr>
                            </w:pPr>
                            <w:r>
                              <w:rPr>
                                <w:spacing w:val="-2"/>
                                <w:sz w:val="22"/>
                              </w:rPr>
                              <w:t>(4)</w:t>
                            </w:r>
                            <w:r>
                              <w:rPr>
                                <w:sz w:val="22"/>
                              </w:rPr>
                              <w:t xml:space="preserve"> </w:t>
                              <w:br/>
                            </w:r>
                          </w:p>
                        </w:txbxContent>
                      </wps:txbx>
                      <wps:bodyPr anchor="t" lIns="0" tIns="0" rIns="0" bIns="0">
                        <a:noAutofit/>
                      </wps:bodyPr>
                    </wps:wsp>
                  </a:graphicData>
                </a:graphic>
              </wp:anchor>
            </w:drawing>
          </mc:Choice>
          <mc:Fallback>
            <w:pict>
              <v:rect style="position:absolute;rotation:-0;width:26pt;height:2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60" w:before="0" w:after="283"/>
                        <w:jc w:val="left"/>
                        <w:rPr>
                          <w:sz w:val="22"/>
                        </w:rPr>
                      </w:pPr>
                      <w:r>
                        <w:rPr>
                          <w:spacing w:val="-2"/>
                          <w:sz w:val="22"/>
                        </w:rPr>
                        <w:t>(4)</w:t>
                      </w:r>
                      <w:r>
                        <w:rPr>
                          <w:sz w:val="22"/>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82" w:after="0"/>
        <w:ind w:left="166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These options were granted on March 1, 2020, and have fully vested.</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2070" distB="0" distL="0" distR="0" simplePos="0" locked="0" layoutInCell="1" allowOverlap="1" relativeHeight="315">
                <wp:simplePos x="0" y="0"/>
                <wp:positionH relativeFrom="column">
                  <wp:align>left</wp:align>
                </wp:positionH>
                <wp:positionV relativeFrom="line">
                  <wp:align>top</wp:align>
                </wp:positionV>
                <wp:extent cx="330200" cy="330200"/>
                <wp:effectExtent l="0" t="0" r="0" b="0"/>
                <wp:wrapSquare wrapText="right"/>
                <wp:docPr id="290" name="Frame184"/>
                <a:graphic xmlns:a="http://schemas.openxmlformats.org/drawingml/2006/main">
                  <a:graphicData uri="http://schemas.microsoft.com/office/word/2010/wordprocessingShape">
                    <wps:wsp>
                      <wps:cNvSpPr txBox="1"/>
                      <wps:spPr>
                        <a:xfrm>
                          <a:off x="0" y="0"/>
                          <a:ext cx="330200" cy="330200"/>
                        </a:xfrm>
                        <a:prstGeom prst="rect"/>
                        <a:solidFill>
                          <a:srgbClr val="FFFFFF"/>
                        </a:solidFill>
                      </wps:spPr>
                      <wps:txbx>
                        <w:txbxContent>
                          <w:p>
                            <w:pPr>
                              <w:pStyle w:val="TextBody"/>
                              <w:bidi w:val="0"/>
                              <w:spacing w:lineRule="atLeast" w:line="260" w:before="0" w:after="283"/>
                              <w:jc w:val="left"/>
                              <w:rPr>
                                <w:sz w:val="22"/>
                              </w:rPr>
                            </w:pPr>
                            <w:r>
                              <w:rPr>
                                <w:spacing w:val="-2"/>
                                <w:sz w:val="22"/>
                              </w:rPr>
                              <w:t>(5)</w:t>
                            </w:r>
                            <w:r>
                              <w:rPr>
                                <w:sz w:val="22"/>
                              </w:rPr>
                              <w:t xml:space="preserve"> </w:t>
                              <w:br/>
                            </w:r>
                          </w:p>
                        </w:txbxContent>
                      </wps:txbx>
                      <wps:bodyPr anchor="t" lIns="0" tIns="0" rIns="0" bIns="0">
                        <a:noAutofit/>
                      </wps:bodyPr>
                    </wps:wsp>
                  </a:graphicData>
                </a:graphic>
              </wp:anchor>
            </w:drawing>
          </mc:Choice>
          <mc:Fallback>
            <w:pict>
              <v:rect style="position:absolute;rotation:-0;width:26pt;height:2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60" w:before="0" w:after="283"/>
                        <w:jc w:val="left"/>
                        <w:rPr>
                          <w:sz w:val="22"/>
                        </w:rPr>
                      </w:pPr>
                      <w:r>
                        <w:rPr>
                          <w:spacing w:val="-2"/>
                          <w:sz w:val="22"/>
                        </w:rPr>
                        <w:t>(5)</w:t>
                      </w:r>
                      <w:r>
                        <w:rPr>
                          <w:sz w:val="22"/>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82" w:after="0"/>
        <w:ind w:left="166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These options were granted on March 1, 2021, and have fully vested.</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2070" distB="0" distL="0" distR="0" simplePos="0" locked="0" layoutInCell="1" allowOverlap="1" relativeHeight="316">
                <wp:simplePos x="0" y="0"/>
                <wp:positionH relativeFrom="column">
                  <wp:align>left</wp:align>
                </wp:positionH>
                <wp:positionV relativeFrom="line">
                  <wp:align>top</wp:align>
                </wp:positionV>
                <wp:extent cx="330200" cy="330200"/>
                <wp:effectExtent l="0" t="0" r="0" b="0"/>
                <wp:wrapSquare wrapText="right"/>
                <wp:docPr id="291" name="Frame185"/>
                <a:graphic xmlns:a="http://schemas.openxmlformats.org/drawingml/2006/main">
                  <a:graphicData uri="http://schemas.microsoft.com/office/word/2010/wordprocessingShape">
                    <wps:wsp>
                      <wps:cNvSpPr txBox="1"/>
                      <wps:spPr>
                        <a:xfrm>
                          <a:off x="0" y="0"/>
                          <a:ext cx="330200" cy="330200"/>
                        </a:xfrm>
                        <a:prstGeom prst="rect"/>
                        <a:solidFill>
                          <a:srgbClr val="FFFFFF"/>
                        </a:solidFill>
                      </wps:spPr>
                      <wps:txbx>
                        <w:txbxContent>
                          <w:p>
                            <w:pPr>
                              <w:pStyle w:val="TextBody"/>
                              <w:bidi w:val="0"/>
                              <w:spacing w:lineRule="atLeast" w:line="260" w:before="0" w:after="283"/>
                              <w:jc w:val="left"/>
                              <w:rPr>
                                <w:sz w:val="22"/>
                              </w:rPr>
                            </w:pPr>
                            <w:r>
                              <w:rPr>
                                <w:spacing w:val="-2"/>
                                <w:sz w:val="22"/>
                              </w:rPr>
                              <w:t>(6)</w:t>
                            </w:r>
                            <w:r>
                              <w:rPr>
                                <w:sz w:val="22"/>
                              </w:rPr>
                              <w:t xml:space="preserve"> </w:t>
                              <w:br/>
                            </w:r>
                          </w:p>
                        </w:txbxContent>
                      </wps:txbx>
                      <wps:bodyPr anchor="t" lIns="0" tIns="0" rIns="0" bIns="0">
                        <a:noAutofit/>
                      </wps:bodyPr>
                    </wps:wsp>
                  </a:graphicData>
                </a:graphic>
              </wp:anchor>
            </w:drawing>
          </mc:Choice>
          <mc:Fallback>
            <w:pict>
              <v:rect style="position:absolute;rotation:-0;width:26pt;height:2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60" w:before="0" w:after="283"/>
                        <w:jc w:val="left"/>
                        <w:rPr>
                          <w:sz w:val="22"/>
                        </w:rPr>
                      </w:pPr>
                      <w:r>
                        <w:rPr>
                          <w:spacing w:val="-2"/>
                          <w:sz w:val="22"/>
                        </w:rPr>
                        <w:t>(6)</w:t>
                      </w:r>
                      <w:r>
                        <w:rPr>
                          <w:sz w:val="22"/>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292"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96" descr=""/>
                          <pic:cNvPicPr>
                            <a:picLocks noChangeAspect="1" noChangeArrowheads="1"/>
                          </pic:cNvPicPr>
                        </pic:nvPicPr>
                        <pic:blipFill>
                          <a:blip r:embed="rId108"/>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48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caps w:val="false"/>
          <w:smallCaps w:val="false"/>
          <w:color w:val="FF6A00"/>
        </w:rPr>
      </w:pPr>
      <w:r>
        <w:rPr>
          <w:caps w:val="false"/>
          <w:smallCaps w:val="false"/>
          <w:color w:val="FF6A00"/>
          <w:spacing w:val="-2"/>
        </w:rPr>
        <w:t> </w:t>
      </w:r>
      <w:r>
        <w:rPr>
          <w:caps w:val="false"/>
          <w:smallCaps w:val="false"/>
          <w:color w:val="FF6A00"/>
        </w:rPr>
        <w:t xml:space="preserve"> </w:t>
      </w:r>
    </w:p>
    <w:p>
      <w:pPr>
        <w:pStyle w:val="TextBody"/>
        <w:bidi w:val="0"/>
        <w:spacing w:lineRule="atLeast" w:line="260" w:before="480" w:after="283"/>
        <w:ind w:left="166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These options were granted on March 1, 2022, and vest 25% on each anniversary of the date of grant over four years.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0" distB="0" distL="0" distR="0" simplePos="0" locked="0" layoutInCell="1" allowOverlap="1" relativeHeight="317">
                <wp:simplePos x="0" y="0"/>
                <wp:positionH relativeFrom="column">
                  <wp:align>left</wp:align>
                </wp:positionH>
                <wp:positionV relativeFrom="line">
                  <wp:posOffset>635</wp:posOffset>
                </wp:positionV>
                <wp:extent cx="330200" cy="350520"/>
                <wp:effectExtent l="0" t="0" r="0" b="0"/>
                <wp:wrapSquare wrapText="right"/>
                <wp:docPr id="293" name="Frame186"/>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60" w:before="0" w:after="283"/>
                              <w:jc w:val="left"/>
                              <w:rPr/>
                            </w:pPr>
                            <w:r>
                              <w:rPr>
                                <w:spacing w:val="-2"/>
                              </w:rPr>
                              <w:t>(7)</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60" w:before="0" w:after="283"/>
                        <w:jc w:val="left"/>
                        <w:rPr/>
                      </w:pPr>
                      <w:r>
                        <w:rPr>
                          <w:spacing w:val="-2"/>
                        </w:rPr>
                        <w:t>(7)</w:t>
                      </w:r>
                      <w:r>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80" w:after="0"/>
        <w:ind w:left="166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These options were granted on March 1, 2023, and vest 25% on each anniversary of the date of grant over four years.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0" distR="0" simplePos="0" locked="0" layoutInCell="1" allowOverlap="1" relativeHeight="318">
                <wp:simplePos x="0" y="0"/>
                <wp:positionH relativeFrom="column">
                  <wp:align>left</wp:align>
                </wp:positionH>
                <wp:positionV relativeFrom="line">
                  <wp:align>top</wp:align>
                </wp:positionV>
                <wp:extent cx="330200" cy="350520"/>
                <wp:effectExtent l="0" t="0" r="0" b="0"/>
                <wp:wrapSquare wrapText="right"/>
                <wp:docPr id="294" name="Frame187"/>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60" w:before="0" w:after="283"/>
                              <w:jc w:val="left"/>
                              <w:rPr/>
                            </w:pPr>
                            <w:r>
                              <w:rPr>
                                <w:spacing w:val="-2"/>
                              </w:rPr>
                              <w:t>(8)</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60" w:before="0" w:after="283"/>
                        <w:jc w:val="left"/>
                        <w:rPr/>
                      </w:pPr>
                      <w:r>
                        <w:rPr>
                          <w:spacing w:val="-2"/>
                        </w:rPr>
                        <w:t>(8)</w:t>
                      </w:r>
                      <w:r>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80" w:after="0"/>
        <w:ind w:left="166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These options were granted on March 1, 2024, and vest 25% on each anniversary of the date of grant over four years.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0" distR="0" simplePos="0" locked="0" layoutInCell="1" allowOverlap="1" relativeHeight="319">
                <wp:simplePos x="0" y="0"/>
                <wp:positionH relativeFrom="column">
                  <wp:align>left</wp:align>
                </wp:positionH>
                <wp:positionV relativeFrom="line">
                  <wp:align>top</wp:align>
                </wp:positionV>
                <wp:extent cx="330200" cy="350520"/>
                <wp:effectExtent l="0" t="0" r="0" b="0"/>
                <wp:wrapSquare wrapText="right"/>
                <wp:docPr id="295" name="Frame188"/>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60" w:before="0" w:after="283"/>
                              <w:jc w:val="left"/>
                              <w:rPr/>
                            </w:pPr>
                            <w:r>
                              <w:rPr>
                                <w:spacing w:val="-2"/>
                              </w:rPr>
                              <w:t>(9)</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60" w:before="0" w:after="283"/>
                        <w:jc w:val="left"/>
                        <w:rPr/>
                      </w:pPr>
                      <w:r>
                        <w:rPr>
                          <w:spacing w:val="-2"/>
                        </w:rPr>
                        <w:t>(9)</w:t>
                      </w:r>
                      <w:r>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80" w:after="0"/>
        <w:ind w:left="166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These options were granted on March 1, 2025, and vest 25% on each anniversary of the date of grant over four years.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0" distR="0" simplePos="0" locked="0" layoutInCell="1" allowOverlap="1" relativeHeight="320">
                <wp:simplePos x="0" y="0"/>
                <wp:positionH relativeFrom="column">
                  <wp:align>left</wp:align>
                </wp:positionH>
                <wp:positionV relativeFrom="line">
                  <wp:align>top</wp:align>
                </wp:positionV>
                <wp:extent cx="330200" cy="350520"/>
                <wp:effectExtent l="0" t="0" r="0" b="0"/>
                <wp:wrapSquare wrapText="right"/>
                <wp:docPr id="296" name="Frame189"/>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60" w:before="0" w:after="283"/>
                              <w:jc w:val="left"/>
                              <w:rPr/>
                            </w:pPr>
                            <w:r>
                              <w:rPr>
                                <w:spacing w:val="-2"/>
                              </w:rPr>
                              <w:t>(10)</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60" w:before="0" w:after="283"/>
                        <w:jc w:val="left"/>
                        <w:rPr/>
                      </w:pPr>
                      <w:r>
                        <w:rPr>
                          <w:spacing w:val="-2"/>
                        </w:rPr>
                        <w:t>(10)</w:t>
                      </w:r>
                      <w:r>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80" w:after="0"/>
        <w:ind w:left="166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Represents an award of restricted stock granted March 1, 2023, and vests in equal installments on each anniversary of the date of grant over three years.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0" distR="0" simplePos="0" locked="0" layoutInCell="1" allowOverlap="1" relativeHeight="321">
                <wp:simplePos x="0" y="0"/>
                <wp:positionH relativeFrom="column">
                  <wp:align>left</wp:align>
                </wp:positionH>
                <wp:positionV relativeFrom="line">
                  <wp:align>top</wp:align>
                </wp:positionV>
                <wp:extent cx="330200" cy="350520"/>
                <wp:effectExtent l="0" t="0" r="0" b="0"/>
                <wp:wrapSquare wrapText="right"/>
                <wp:docPr id="297" name="Frame190"/>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60" w:before="0" w:after="283"/>
                              <w:jc w:val="left"/>
                              <w:rPr/>
                            </w:pPr>
                            <w:r>
                              <w:rPr>
                                <w:spacing w:val="-2"/>
                              </w:rPr>
                              <w:t>(11)</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60" w:before="0" w:after="283"/>
                        <w:jc w:val="left"/>
                        <w:rPr/>
                      </w:pPr>
                      <w:r>
                        <w:rPr>
                          <w:spacing w:val="-2"/>
                        </w:rPr>
                        <w:t>(11)</w:t>
                      </w:r>
                      <w:r>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80" w:after="0"/>
        <w:ind w:left="166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Represents an award of restricted stock with performance features granted March 1, 2023, at threshold performance level, which vests from 50% to 200% on the third anniversary of the grant date based on meeting certain Company performance goals relating to 2023-2025 fiscal years.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0" distR="0" simplePos="0" locked="0" layoutInCell="1" allowOverlap="1" relativeHeight="322">
                <wp:simplePos x="0" y="0"/>
                <wp:positionH relativeFrom="column">
                  <wp:align>left</wp:align>
                </wp:positionH>
                <wp:positionV relativeFrom="line">
                  <wp:align>top</wp:align>
                </wp:positionV>
                <wp:extent cx="330200" cy="350520"/>
                <wp:effectExtent l="0" t="0" r="0" b="0"/>
                <wp:wrapSquare wrapText="right"/>
                <wp:docPr id="298" name="Frame191"/>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60" w:before="0" w:after="283"/>
                              <w:jc w:val="left"/>
                              <w:rPr/>
                            </w:pPr>
                            <w:r>
                              <w:rPr>
                                <w:spacing w:val="-2"/>
                              </w:rPr>
                              <w:t>(12)</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60" w:before="0" w:after="283"/>
                        <w:jc w:val="left"/>
                        <w:rPr/>
                      </w:pPr>
                      <w:r>
                        <w:rPr>
                          <w:spacing w:val="-2"/>
                        </w:rPr>
                        <w:t>(12)</w:t>
                      </w:r>
                      <w:r>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80" w:after="0"/>
        <w:ind w:left="166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Represents an award of restricted stock granted September 1, 2023, that cliff vests on the third anniversary of the grant date.</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0" distR="0" simplePos="0" locked="0" layoutInCell="1" allowOverlap="1" relativeHeight="323">
                <wp:simplePos x="0" y="0"/>
                <wp:positionH relativeFrom="column">
                  <wp:align>left</wp:align>
                </wp:positionH>
                <wp:positionV relativeFrom="line">
                  <wp:align>top</wp:align>
                </wp:positionV>
                <wp:extent cx="330200" cy="350520"/>
                <wp:effectExtent l="0" t="0" r="0" b="0"/>
                <wp:wrapSquare wrapText="right"/>
                <wp:docPr id="299" name="Frame192"/>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60" w:before="0" w:after="283"/>
                              <w:jc w:val="left"/>
                              <w:rPr/>
                            </w:pPr>
                            <w:r>
                              <w:rPr>
                                <w:spacing w:val="-2"/>
                              </w:rPr>
                              <w:t>(13)</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60" w:before="0" w:after="283"/>
                        <w:jc w:val="left"/>
                        <w:rPr/>
                      </w:pPr>
                      <w:r>
                        <w:rPr>
                          <w:spacing w:val="-2"/>
                        </w:rPr>
                        <w:t>(13)</w:t>
                      </w:r>
                      <w:r>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80" w:after="0"/>
        <w:ind w:left="166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Represents an award of restricted stock granted March 1, 2024, and vests in equal installments on each anniversary of the date of grant over three years.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0" distR="0" simplePos="0" locked="0" layoutInCell="1" allowOverlap="1" relativeHeight="324">
                <wp:simplePos x="0" y="0"/>
                <wp:positionH relativeFrom="column">
                  <wp:align>left</wp:align>
                </wp:positionH>
                <wp:positionV relativeFrom="line">
                  <wp:align>top</wp:align>
                </wp:positionV>
                <wp:extent cx="330200" cy="350520"/>
                <wp:effectExtent l="0" t="0" r="0" b="0"/>
                <wp:wrapSquare wrapText="right"/>
                <wp:docPr id="300" name="Frame193"/>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60" w:before="0" w:after="283"/>
                              <w:jc w:val="left"/>
                              <w:rPr/>
                            </w:pPr>
                            <w:r>
                              <w:rPr>
                                <w:spacing w:val="-2"/>
                              </w:rPr>
                              <w:t>(14)</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60" w:before="0" w:after="283"/>
                        <w:jc w:val="left"/>
                        <w:rPr/>
                      </w:pPr>
                      <w:r>
                        <w:rPr>
                          <w:spacing w:val="-2"/>
                        </w:rPr>
                        <w:t>(14)</w:t>
                      </w:r>
                      <w:r>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80" w:after="0"/>
        <w:ind w:left="166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Represents an award of restricted stock with performance features granted March 1, 2024, at threshold performance level, which vests from 50% to 200% on the third anniversary of the grant date based on meeting certain Company performance goals relating to 2024-2026 fiscal years.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0" distR="0" simplePos="0" locked="0" layoutInCell="1" allowOverlap="1" relativeHeight="325">
                <wp:simplePos x="0" y="0"/>
                <wp:positionH relativeFrom="column">
                  <wp:align>left</wp:align>
                </wp:positionH>
                <wp:positionV relativeFrom="line">
                  <wp:align>top</wp:align>
                </wp:positionV>
                <wp:extent cx="330200" cy="350520"/>
                <wp:effectExtent l="0" t="0" r="0" b="0"/>
                <wp:wrapSquare wrapText="right"/>
                <wp:docPr id="301" name="Frame194"/>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60" w:before="0" w:after="283"/>
                              <w:jc w:val="left"/>
                              <w:rPr/>
                            </w:pPr>
                            <w:r>
                              <w:rPr>
                                <w:spacing w:val="-2"/>
                              </w:rPr>
                              <w:t>(15)</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60" w:before="0" w:after="283"/>
                        <w:jc w:val="left"/>
                        <w:rPr/>
                      </w:pPr>
                      <w:r>
                        <w:rPr>
                          <w:spacing w:val="-2"/>
                        </w:rPr>
                        <w:t>(15)</w:t>
                      </w:r>
                      <w:r>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80" w:after="0"/>
        <w:ind w:left="166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Represents an award of restricted stock granted March 1, 2025, and vests in equal installments on each anniversary of the date of grant over three years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0" distR="0" simplePos="0" locked="0" layoutInCell="1" allowOverlap="1" relativeHeight="326">
                <wp:simplePos x="0" y="0"/>
                <wp:positionH relativeFrom="column">
                  <wp:align>left</wp:align>
                </wp:positionH>
                <wp:positionV relativeFrom="line">
                  <wp:align>top</wp:align>
                </wp:positionV>
                <wp:extent cx="330200" cy="350520"/>
                <wp:effectExtent l="0" t="0" r="0" b="0"/>
                <wp:wrapSquare wrapText="right"/>
                <wp:docPr id="302" name="Frame195"/>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60" w:before="0" w:after="283"/>
                              <w:jc w:val="left"/>
                              <w:rPr/>
                            </w:pPr>
                            <w:r>
                              <w:rPr>
                                <w:spacing w:val="-2"/>
                              </w:rPr>
                              <w:t>(16)</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60" w:before="0" w:after="283"/>
                        <w:jc w:val="left"/>
                        <w:rPr/>
                      </w:pPr>
                      <w:r>
                        <w:rPr>
                          <w:spacing w:val="-2"/>
                        </w:rPr>
                        <w:t>(16)</w:t>
                      </w:r>
                      <w:r>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80" w:after="0"/>
        <w:ind w:left="166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Represents an award of restricted stock with performance features granted March 1, 2025, at threshold performance level, which vests from 50% to 200% on the third anniversary of the grant date based on meeting certain Company performance goals relating to 2025-2027 fiscal years.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0" distR="0" simplePos="0" locked="0" layoutInCell="1" allowOverlap="1" relativeHeight="327">
                <wp:simplePos x="0" y="0"/>
                <wp:positionH relativeFrom="column">
                  <wp:align>left</wp:align>
                </wp:positionH>
                <wp:positionV relativeFrom="line">
                  <wp:align>top</wp:align>
                </wp:positionV>
                <wp:extent cx="330200" cy="350520"/>
                <wp:effectExtent l="0" t="0" r="0" b="0"/>
                <wp:wrapSquare wrapText="right"/>
                <wp:docPr id="303" name="Frame196"/>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60" w:before="0" w:after="283"/>
                              <w:jc w:val="left"/>
                              <w:rPr/>
                            </w:pPr>
                            <w:r>
                              <w:rPr>
                                <w:spacing w:val="-2"/>
                              </w:rPr>
                              <w:t>(17)</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60" w:before="0" w:after="283"/>
                        <w:jc w:val="left"/>
                        <w:rPr/>
                      </w:pPr>
                      <w:r>
                        <w:rPr>
                          <w:spacing w:val="-2"/>
                        </w:rPr>
                        <w:t>(17)</w:t>
                      </w:r>
                      <w:r>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80" w:after="0"/>
        <w:ind w:left="1660" w:right="0" w:hanging="0"/>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Represents an award of restricted stock with performance features granted September 1, 2022 at threshold performance level, which vests from 50% to 200% on March 1, 2026, based on meeting certain Company performance goals relating to 2023-2025 fiscal years. </w:t>
      </w:r>
      <w:r>
        <mc:AlternateContent>
          <mc:Choice Requires="wps">
            <w:drawing>
              <wp:anchor behindDoc="0" distT="50800" distB="0" distL="0" distR="0" simplePos="0" locked="0" layoutInCell="1" allowOverlap="1" relativeHeight="328">
                <wp:simplePos x="0" y="0"/>
                <wp:positionH relativeFrom="column">
                  <wp:align>left</wp:align>
                </wp:positionH>
                <wp:positionV relativeFrom="line">
                  <wp:align>top</wp:align>
                </wp:positionV>
                <wp:extent cx="330200" cy="350520"/>
                <wp:effectExtent l="0" t="0" r="0" b="0"/>
                <wp:wrapSquare wrapText="right"/>
                <wp:docPr id="304" name="Frame197"/>
                <a:graphic xmlns:a="http://schemas.openxmlformats.org/drawingml/2006/main">
                  <a:graphicData uri="http://schemas.microsoft.com/office/word/2010/wordprocessingShape">
                    <wps:wsp>
                      <wps:cNvSpPr txBox="1"/>
                      <wps:spPr>
                        <a:xfrm>
                          <a:off x="0" y="0"/>
                          <a:ext cx="330200" cy="350520"/>
                        </a:xfrm>
                        <a:prstGeom prst="rect"/>
                        <a:solidFill>
                          <a:srgbClr val="FFFFFF"/>
                        </a:solidFill>
                      </wps:spPr>
                      <wps:txbx>
                        <w:txbxContent>
                          <w:p>
                            <w:pPr>
                              <w:pStyle w:val="TextBody"/>
                              <w:bidi w:val="0"/>
                              <w:spacing w:lineRule="atLeast" w:line="260" w:before="0" w:after="283"/>
                              <w:jc w:val="left"/>
                              <w:rPr/>
                            </w:pPr>
                            <w:r>
                              <w:rPr>
                                <w:spacing w:val="-2"/>
                              </w:rPr>
                              <w:t>(18)</w:t>
                            </w:r>
                            <w:r>
                              <w:rPr/>
                              <w:t xml:space="preserve"> </w:t>
                              <w:br/>
                            </w:r>
                          </w:p>
                        </w:txbxContent>
                      </wps:txbx>
                      <wps:bodyPr anchor="t" lIns="0" tIns="0" rIns="0" bIns="0">
                        <a:noAutofit/>
                      </wps:bodyPr>
                    </wps:wsp>
                  </a:graphicData>
                </a:graphic>
              </wp:anchor>
            </w:drawing>
          </mc:Choice>
          <mc:Fallback>
            <w:pict>
              <v:rect style="position:absolute;rotation:-0;width:26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60" w:before="0" w:after="283"/>
                        <w:jc w:val="left"/>
                        <w:rPr/>
                      </w:pPr>
                      <w:r>
                        <w:rPr>
                          <w:spacing w:val="-2"/>
                        </w:rPr>
                        <w:t>(18)</w:t>
                      </w:r>
                      <w:r>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305"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97" descr=""/>
                          <pic:cNvPicPr>
                            <a:picLocks noChangeAspect="1" noChangeArrowheads="1"/>
                          </pic:cNvPicPr>
                        </pic:nvPicPr>
                        <pic:blipFill>
                          <a:blip r:embed="rId109"/>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49</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caps w:val="false"/>
          <w:smallCaps w:val="false"/>
          <w:color w:val="FF6A00"/>
        </w:rPr>
      </w:pPr>
      <w:r>
        <w:rPr>
          <w:caps w:val="false"/>
          <w:smallCaps w:val="false"/>
          <w:color w:val="FF6A00"/>
          <w:spacing w:val="-2"/>
        </w:rPr>
        <w:t> </w:t>
      </w:r>
      <w:r>
        <w:rPr>
          <w:caps w:val="false"/>
          <w:smallCaps w:val="false"/>
          <w:color w:val="FF6A00"/>
        </w:rPr>
        <w:t xml:space="preserve"> </w:t>
      </w:r>
    </w:p>
    <w:p>
      <w:pPr>
        <w:pStyle w:val="TextBody"/>
        <w:bidi w:val="0"/>
        <w:spacing w:lineRule="atLeast" w:line="400" w:before="480" w:after="283"/>
        <w:ind w:left="1140" w:right="0" w:hanging="0"/>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Option Exercises and Stock Vested in 2025</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following table sets forth information regarding option exercises and the vesting of stock awards during 2025 for our NEOs:</w:t>
      </w:r>
      <w:r>
        <w:rPr>
          <w:rFonts w:ascii="Arial;Helvetica;sans-serif" w:hAnsi="Arial;Helvetica;sans-serif"/>
          <w:b w:val="false"/>
          <w:i w:val="false"/>
          <w:caps w:val="false"/>
          <w:smallCaps w:val="false"/>
          <w:color w:val="000000"/>
          <w:spacing w:val="4"/>
          <w:sz w:val="22"/>
        </w:rPr>
        <w:t xml:space="preserve"> </w:t>
      </w:r>
    </w:p>
    <w:tbl>
      <w:tblPr>
        <w:tblW w:w="8620" w:type="dxa"/>
        <w:jc w:val="left"/>
        <w:tblInd w:w="1140" w:type="dxa"/>
        <w:tblLayout w:type="fixed"/>
        <w:tblCellMar>
          <w:top w:w="0" w:type="dxa"/>
          <w:left w:w="0" w:type="dxa"/>
          <w:bottom w:w="28" w:type="dxa"/>
          <w:right w:w="0" w:type="dxa"/>
        </w:tblCellMar>
      </w:tblPr>
      <w:tblGrid>
        <w:gridCol w:w="124"/>
        <w:gridCol w:w="1599"/>
        <w:gridCol w:w="109"/>
        <w:gridCol w:w="109"/>
        <w:gridCol w:w="203"/>
        <w:gridCol w:w="203"/>
        <w:gridCol w:w="646"/>
        <w:gridCol w:w="205"/>
        <w:gridCol w:w="109"/>
        <w:gridCol w:w="109"/>
        <w:gridCol w:w="195"/>
        <w:gridCol w:w="195"/>
        <w:gridCol w:w="623"/>
        <w:gridCol w:w="199"/>
        <w:gridCol w:w="109"/>
        <w:gridCol w:w="109"/>
        <w:gridCol w:w="188"/>
        <w:gridCol w:w="188"/>
        <w:gridCol w:w="1328"/>
        <w:gridCol w:w="188"/>
        <w:gridCol w:w="109"/>
        <w:gridCol w:w="109"/>
        <w:gridCol w:w="109"/>
        <w:gridCol w:w="226"/>
        <w:gridCol w:w="1066"/>
        <w:gridCol w:w="109"/>
        <w:gridCol w:w="154"/>
      </w:tblGrid>
      <w:tr>
        <w:trPr/>
        <w:tc>
          <w:tcPr>
            <w:tcW w:w="124" w:type="dxa"/>
            <w:tcBorders>
              <w:bottom w:val="single" w:sz="2" w:space="0" w:color="FF6A00"/>
            </w:tcBorders>
            <w:shd w:fill="FF6A00" w:val="clear"/>
            <w:vAlign w:val="center"/>
          </w:tcPr>
          <w:p>
            <w:pPr>
              <w:pStyle w:val="TableContents"/>
              <w:bidi w:val="0"/>
              <w:spacing w:before="0" w:after="283"/>
              <w:jc w:val="left"/>
              <w:rPr/>
            </w:pPr>
            <w:r>
              <w:rPr/>
              <w:t>​</w:t>
            </w:r>
          </w:p>
        </w:tc>
        <w:tc>
          <w:tcPr>
            <w:tcW w:w="1599" w:type="dxa"/>
            <w:tcBorders>
              <w:bottom w:val="single" w:sz="2" w:space="0" w:color="FF6A00"/>
            </w:tcBorders>
            <w:shd w:fill="FF6A00" w:val="clear"/>
            <w:vAlign w:val="center"/>
          </w:tcPr>
          <w:p>
            <w:pPr>
              <w:pStyle w:val="TableContents"/>
              <w:bidi w:val="0"/>
              <w:spacing w:before="0" w:after="283"/>
              <w:jc w:val="left"/>
              <w:rPr/>
            </w:pPr>
            <w:r>
              <w:rPr/>
              <w:t>​</w:t>
            </w:r>
          </w:p>
        </w:tc>
        <w:tc>
          <w:tcPr>
            <w:tcW w:w="109" w:type="dxa"/>
            <w:tcBorders>
              <w:bottom w:val="single" w:sz="2" w:space="0" w:color="FF6A00"/>
            </w:tcBorders>
            <w:shd w:fill="FF6A00" w:val="clear"/>
            <w:vAlign w:val="center"/>
          </w:tcPr>
          <w:p>
            <w:pPr>
              <w:pStyle w:val="TableContents"/>
              <w:bidi w:val="0"/>
              <w:spacing w:before="0" w:after="283"/>
              <w:jc w:val="left"/>
              <w:rPr/>
            </w:pPr>
            <w:r>
              <w:rPr/>
              <w:t>​</w:t>
            </w:r>
          </w:p>
        </w:tc>
        <w:tc>
          <w:tcPr>
            <w:tcW w:w="109" w:type="dxa"/>
            <w:tcBorders>
              <w:bottom w:val="single" w:sz="2" w:space="0" w:color="FEFEFE"/>
            </w:tcBorders>
            <w:shd w:fill="FF6A00" w:val="clear"/>
            <w:vAlign w:val="center"/>
          </w:tcPr>
          <w:p>
            <w:pPr>
              <w:pStyle w:val="TableContents"/>
              <w:bidi w:val="0"/>
              <w:spacing w:before="0" w:after="283"/>
              <w:jc w:val="left"/>
              <w:rPr/>
            </w:pPr>
            <w:r>
              <w:rPr/>
              <w:t>​</w:t>
            </w:r>
          </w:p>
        </w:tc>
        <w:tc>
          <w:tcPr>
            <w:tcW w:w="6525" w:type="dxa"/>
            <w:gridSpan w:val="22"/>
            <w:tcBorders>
              <w:bottom w:val="single" w:sz="2" w:space="0" w:color="FEFEFE"/>
            </w:tcBorders>
            <w:shd w:fill="FF6A00" w:val="clear"/>
            <w:tcMar>
              <w:bottom w:w="30" w:type="dxa"/>
            </w:tcMar>
            <w:vAlign w:val="center"/>
          </w:tcPr>
          <w:p>
            <w:pPr>
              <w:pStyle w:val="TableContents"/>
              <w:bidi w:val="0"/>
              <w:spacing w:before="0" w:after="0"/>
              <w:jc w:val="center"/>
              <w:rPr>
                <w:spacing w:val="-2"/>
              </w:rPr>
            </w:pPr>
            <w:r>
              <w:rPr>
                <w:spacing w:val="-2"/>
              </w:rPr>
              <w:t xml:space="preserve">Option Exercises and Stock Vested in 2025 </w:t>
            </w:r>
          </w:p>
        </w:tc>
        <w:tc>
          <w:tcPr>
            <w:tcW w:w="154" w:type="dxa"/>
            <w:tcBorders>
              <w:bottom w:val="single" w:sz="2" w:space="0" w:color="FEFEFE"/>
            </w:tcBorders>
            <w:shd w:fill="FF6A00" w:val="clear"/>
            <w:vAlign w:val="center"/>
          </w:tcPr>
          <w:p>
            <w:pPr>
              <w:pStyle w:val="TableContents"/>
              <w:bidi w:val="0"/>
              <w:spacing w:before="0" w:after="283"/>
              <w:jc w:val="left"/>
              <w:rPr/>
            </w:pPr>
            <w:r>
              <w:rPr/>
              <w:t>​</w:t>
            </w:r>
          </w:p>
        </w:tc>
      </w:tr>
      <w:tr>
        <w:trPr/>
        <w:tc>
          <w:tcPr>
            <w:tcW w:w="124" w:type="dxa"/>
            <w:tcBorders>
              <w:bottom w:val="single" w:sz="2" w:space="0" w:color="FF6A00"/>
            </w:tcBorders>
            <w:shd w:fill="FF6A00" w:val="clear"/>
            <w:vAlign w:val="center"/>
          </w:tcPr>
          <w:p>
            <w:pPr>
              <w:pStyle w:val="TableContents"/>
              <w:bidi w:val="0"/>
              <w:spacing w:before="0" w:after="283"/>
              <w:jc w:val="left"/>
              <w:rPr/>
            </w:pPr>
            <w:r>
              <w:rPr/>
              <w:t>​</w:t>
            </w:r>
          </w:p>
        </w:tc>
        <w:tc>
          <w:tcPr>
            <w:tcW w:w="1599" w:type="dxa"/>
            <w:tcBorders>
              <w:bottom w:val="single" w:sz="2" w:space="0" w:color="FF6A00"/>
            </w:tcBorders>
            <w:shd w:fill="FF6A00" w:val="clear"/>
            <w:vAlign w:val="center"/>
          </w:tcPr>
          <w:p>
            <w:pPr>
              <w:pStyle w:val="TableContents"/>
              <w:bidi w:val="0"/>
              <w:spacing w:before="0" w:after="283"/>
              <w:jc w:val="left"/>
              <w:rPr/>
            </w:pPr>
            <w:r>
              <w:rPr/>
              <w:t>​</w:t>
            </w:r>
          </w:p>
        </w:tc>
        <w:tc>
          <w:tcPr>
            <w:tcW w:w="109" w:type="dxa"/>
            <w:tcBorders>
              <w:bottom w:val="single" w:sz="2" w:space="0" w:color="FF6A00"/>
            </w:tcBorders>
            <w:shd w:fill="FF6A00" w:val="clear"/>
            <w:vAlign w:val="center"/>
          </w:tcPr>
          <w:p>
            <w:pPr>
              <w:pStyle w:val="TableContents"/>
              <w:bidi w:val="0"/>
              <w:spacing w:before="0" w:after="283"/>
              <w:jc w:val="left"/>
              <w:rPr/>
            </w:pPr>
            <w:r>
              <w:rPr/>
              <w:t>​</w:t>
            </w:r>
          </w:p>
        </w:tc>
        <w:tc>
          <w:tcPr>
            <w:tcW w:w="109" w:type="dxa"/>
            <w:tcBorders>
              <w:bottom w:val="single" w:sz="2" w:space="0" w:color="FF6A00"/>
            </w:tcBorders>
            <w:shd w:fill="FF6A00" w:val="clear"/>
            <w:vAlign w:val="center"/>
          </w:tcPr>
          <w:p>
            <w:pPr>
              <w:pStyle w:val="TableContents"/>
              <w:bidi w:val="0"/>
              <w:spacing w:before="0" w:after="283"/>
              <w:jc w:val="left"/>
              <w:rPr/>
            </w:pPr>
            <w:r>
              <w:rPr/>
              <w:t>​</w:t>
            </w:r>
          </w:p>
        </w:tc>
        <w:tc>
          <w:tcPr>
            <w:tcW w:w="2687" w:type="dxa"/>
            <w:gridSpan w:val="10"/>
            <w:tcBorders>
              <w:bottom w:val="single" w:sz="2" w:space="0" w:color="FEFEFE"/>
            </w:tcBorders>
            <w:shd w:fill="FF6A00" w:val="clear"/>
            <w:tcMar>
              <w:bottom w:w="30" w:type="dxa"/>
            </w:tcMar>
            <w:vAlign w:val="center"/>
          </w:tcPr>
          <w:p>
            <w:pPr>
              <w:pStyle w:val="TableContents"/>
              <w:bidi w:val="0"/>
              <w:spacing w:before="0" w:after="0"/>
              <w:jc w:val="center"/>
              <w:rPr>
                <w:spacing w:val="-2"/>
              </w:rPr>
            </w:pPr>
            <w:r>
              <w:rPr>
                <w:spacing w:val="-2"/>
              </w:rPr>
              <w:t xml:space="preserve">Option awards </w:t>
            </w:r>
          </w:p>
        </w:tc>
        <w:tc>
          <w:tcPr>
            <w:tcW w:w="109" w:type="dxa"/>
            <w:tcBorders>
              <w:bottom w:val="single" w:sz="2" w:space="0" w:color="FF6A00"/>
            </w:tcBorders>
            <w:shd w:fill="FF6A00" w:val="clear"/>
            <w:vAlign w:val="center"/>
          </w:tcPr>
          <w:p>
            <w:pPr>
              <w:pStyle w:val="TableContents"/>
              <w:bidi w:val="0"/>
              <w:spacing w:before="0" w:after="283"/>
              <w:jc w:val="left"/>
              <w:rPr/>
            </w:pPr>
            <w:r>
              <w:rPr/>
              <w:t>​</w:t>
            </w:r>
          </w:p>
        </w:tc>
        <w:tc>
          <w:tcPr>
            <w:tcW w:w="109" w:type="dxa"/>
            <w:tcBorders>
              <w:bottom w:val="single" w:sz="2" w:space="0" w:color="FF6A00"/>
            </w:tcBorders>
            <w:shd w:fill="FF6A00" w:val="clear"/>
            <w:vAlign w:val="center"/>
          </w:tcPr>
          <w:p>
            <w:pPr>
              <w:pStyle w:val="TableContents"/>
              <w:bidi w:val="0"/>
              <w:spacing w:before="0" w:after="283"/>
              <w:jc w:val="left"/>
              <w:rPr/>
            </w:pPr>
            <w:r>
              <w:rPr/>
              <w:t>​</w:t>
            </w:r>
          </w:p>
        </w:tc>
        <w:tc>
          <w:tcPr>
            <w:tcW w:w="3620" w:type="dxa"/>
            <w:gridSpan w:val="10"/>
            <w:tcBorders>
              <w:bottom w:val="single" w:sz="2" w:space="0" w:color="FEFEFE"/>
            </w:tcBorders>
            <w:shd w:fill="FF6A00" w:val="clear"/>
            <w:tcMar>
              <w:bottom w:w="30" w:type="dxa"/>
            </w:tcMar>
            <w:vAlign w:val="center"/>
          </w:tcPr>
          <w:p>
            <w:pPr>
              <w:pStyle w:val="TableContents"/>
              <w:bidi w:val="0"/>
              <w:spacing w:before="0" w:after="0"/>
              <w:jc w:val="center"/>
              <w:rPr>
                <w:spacing w:val="-2"/>
              </w:rPr>
            </w:pPr>
            <w:r>
              <w:rPr>
                <w:spacing w:val="-2"/>
              </w:rPr>
              <w:t xml:space="preserve">Stock awards </w:t>
            </w:r>
          </w:p>
        </w:tc>
        <w:tc>
          <w:tcPr>
            <w:tcW w:w="154" w:type="dxa"/>
            <w:tcBorders>
              <w:bottom w:val="single" w:sz="2" w:space="0" w:color="FF6A00"/>
            </w:tcBorders>
            <w:shd w:fill="FF6A00" w:val="clear"/>
            <w:vAlign w:val="center"/>
          </w:tcPr>
          <w:p>
            <w:pPr>
              <w:pStyle w:val="TableContents"/>
              <w:bidi w:val="0"/>
              <w:spacing w:before="0" w:after="283"/>
              <w:jc w:val="left"/>
              <w:rPr/>
            </w:pPr>
            <w:r>
              <w:rPr/>
              <w:t>​</w:t>
            </w:r>
          </w:p>
        </w:tc>
      </w:tr>
      <w:tr>
        <w:trPr/>
        <w:tc>
          <w:tcPr>
            <w:tcW w:w="124" w:type="dxa"/>
            <w:tcBorders/>
            <w:shd w:fill="FF6A00" w:val="clear"/>
            <w:tcMar>
              <w:bottom w:w="0" w:type="dxa"/>
            </w:tcMar>
            <w:vAlign w:val="center"/>
          </w:tcPr>
          <w:p>
            <w:pPr>
              <w:pStyle w:val="TableContents"/>
              <w:bidi w:val="0"/>
              <w:spacing w:before="0" w:after="283"/>
              <w:jc w:val="left"/>
              <w:rPr/>
            </w:pPr>
            <w:r>
              <w:rPr/>
              <w:t>​</w:t>
            </w:r>
          </w:p>
        </w:tc>
        <w:tc>
          <w:tcPr>
            <w:tcW w:w="1599" w:type="dxa"/>
            <w:tcBorders/>
            <w:shd w:fill="FF6A00" w:val="clear"/>
            <w:tcMar>
              <w:bottom w:w="0" w:type="dxa"/>
            </w:tcMar>
            <w:vAlign w:val="center"/>
          </w:tcPr>
          <w:p>
            <w:pPr>
              <w:pStyle w:val="TableContents"/>
              <w:bidi w:val="0"/>
              <w:spacing w:before="0" w:after="0"/>
              <w:jc w:val="left"/>
              <w:rPr>
                <w:spacing w:val="-2"/>
              </w:rPr>
            </w:pPr>
            <w:r>
              <w:rPr>
                <w:spacing w:val="-2"/>
              </w:rPr>
              <w:t xml:space="preserve">Name </w:t>
            </w:r>
          </w:p>
        </w:tc>
        <w:tc>
          <w:tcPr>
            <w:tcW w:w="109" w:type="dxa"/>
            <w:tcBorders/>
            <w:shd w:fill="FF6A00" w:val="clear"/>
            <w:tcMar>
              <w:bottom w:w="0" w:type="dxa"/>
            </w:tcMar>
            <w:vAlign w:val="center"/>
          </w:tcPr>
          <w:p>
            <w:pPr>
              <w:pStyle w:val="TableContents"/>
              <w:bidi w:val="0"/>
              <w:spacing w:before="0" w:after="283"/>
              <w:jc w:val="left"/>
              <w:rPr/>
            </w:pPr>
            <w:r>
              <w:rPr/>
              <w:t>​</w:t>
            </w:r>
          </w:p>
        </w:tc>
        <w:tc>
          <w:tcPr>
            <w:tcW w:w="109" w:type="dxa"/>
            <w:tcBorders/>
            <w:shd w:fill="FF6A00" w:val="clear"/>
            <w:tcMar>
              <w:bottom w:w="0" w:type="dxa"/>
            </w:tcMar>
            <w:vAlign w:val="center"/>
          </w:tcPr>
          <w:p>
            <w:pPr>
              <w:pStyle w:val="TableContents"/>
              <w:bidi w:val="0"/>
              <w:spacing w:before="0" w:after="283"/>
              <w:jc w:val="left"/>
              <w:rPr/>
            </w:pPr>
            <w:r>
              <w:rPr/>
              <w:t>​</w:t>
            </w:r>
          </w:p>
        </w:tc>
        <w:tc>
          <w:tcPr>
            <w:tcW w:w="1257" w:type="dxa"/>
            <w:gridSpan w:val="4"/>
            <w:tcBorders/>
            <w:shd w:fill="FF6A00" w:val="clear"/>
            <w:tcMar>
              <w:bottom w:w="0" w:type="dxa"/>
            </w:tcMar>
            <w:vAlign w:val="center"/>
          </w:tcPr>
          <w:p>
            <w:pPr>
              <w:pStyle w:val="TableContents"/>
              <w:bidi w:val="0"/>
              <w:spacing w:before="0" w:after="0"/>
              <w:jc w:val="center"/>
              <w:rPr>
                <w:spacing w:val="-2"/>
              </w:rPr>
            </w:pPr>
            <w:r>
              <w:rPr>
                <w:spacing w:val="-2"/>
              </w:rPr>
              <w:t xml:space="preserve">Number of </w:t>
              <w:br/>
              <w:t xml:space="preserve">shares </w:t>
              <w:br/>
              <w:t xml:space="preserve">acquired on </w:t>
              <w:br/>
              <w:t xml:space="preserve">exercise (#) </w:t>
            </w:r>
          </w:p>
        </w:tc>
        <w:tc>
          <w:tcPr>
            <w:tcW w:w="109" w:type="dxa"/>
            <w:tcBorders/>
            <w:shd w:fill="FF6A00" w:val="clear"/>
            <w:tcMar>
              <w:bottom w:w="0" w:type="dxa"/>
            </w:tcMar>
            <w:vAlign w:val="center"/>
          </w:tcPr>
          <w:p>
            <w:pPr>
              <w:pStyle w:val="TableContents"/>
              <w:bidi w:val="0"/>
              <w:spacing w:before="0" w:after="283"/>
              <w:jc w:val="left"/>
              <w:rPr/>
            </w:pPr>
            <w:r>
              <w:rPr/>
              <w:t>​</w:t>
            </w:r>
          </w:p>
        </w:tc>
        <w:tc>
          <w:tcPr>
            <w:tcW w:w="109" w:type="dxa"/>
            <w:tcBorders/>
            <w:shd w:fill="FF6A00" w:val="clear"/>
            <w:tcMar>
              <w:bottom w:w="0" w:type="dxa"/>
            </w:tcMar>
            <w:vAlign w:val="center"/>
          </w:tcPr>
          <w:p>
            <w:pPr>
              <w:pStyle w:val="TableContents"/>
              <w:bidi w:val="0"/>
              <w:spacing w:before="0" w:after="283"/>
              <w:jc w:val="left"/>
              <w:rPr/>
            </w:pPr>
            <w:r>
              <w:rPr/>
              <w:t>​</w:t>
            </w:r>
          </w:p>
        </w:tc>
        <w:tc>
          <w:tcPr>
            <w:tcW w:w="1212" w:type="dxa"/>
            <w:gridSpan w:val="4"/>
            <w:tcBorders/>
            <w:shd w:fill="FF6A00" w:val="clear"/>
            <w:tcMar>
              <w:bottom w:w="0" w:type="dxa"/>
            </w:tcMar>
            <w:vAlign w:val="center"/>
          </w:tcPr>
          <w:p>
            <w:pPr>
              <w:pStyle w:val="TableContents"/>
              <w:bidi w:val="0"/>
              <w:spacing w:before="0" w:after="0"/>
              <w:jc w:val="center"/>
              <w:rPr>
                <w:spacing w:val="-2"/>
              </w:rPr>
            </w:pPr>
            <w:r>
              <w:rPr>
                <w:spacing w:val="-2"/>
              </w:rPr>
              <w:t xml:space="preserve">Value </w:t>
              <w:br/>
              <w:t xml:space="preserve">realized </w:t>
              <w:br/>
              <w:t xml:space="preserve">on exercise </w:t>
              <w:br/>
              <w:t xml:space="preserve">($) </w:t>
            </w:r>
          </w:p>
        </w:tc>
        <w:tc>
          <w:tcPr>
            <w:tcW w:w="109" w:type="dxa"/>
            <w:tcBorders/>
            <w:shd w:fill="FF6A00" w:val="clear"/>
            <w:tcMar>
              <w:bottom w:w="0" w:type="dxa"/>
            </w:tcMar>
            <w:vAlign w:val="center"/>
          </w:tcPr>
          <w:p>
            <w:pPr>
              <w:pStyle w:val="TableContents"/>
              <w:bidi w:val="0"/>
              <w:spacing w:before="0" w:after="283"/>
              <w:jc w:val="left"/>
              <w:rPr/>
            </w:pPr>
            <w:r>
              <w:rPr/>
              <w:t>​</w:t>
            </w:r>
          </w:p>
        </w:tc>
        <w:tc>
          <w:tcPr>
            <w:tcW w:w="109" w:type="dxa"/>
            <w:tcBorders/>
            <w:shd w:fill="FF6A00" w:val="clear"/>
            <w:tcMar>
              <w:bottom w:w="0" w:type="dxa"/>
            </w:tcMar>
            <w:vAlign w:val="center"/>
          </w:tcPr>
          <w:p>
            <w:pPr>
              <w:pStyle w:val="TableContents"/>
              <w:bidi w:val="0"/>
              <w:spacing w:before="0" w:after="283"/>
              <w:jc w:val="left"/>
              <w:rPr/>
            </w:pPr>
            <w:r>
              <w:rPr/>
              <w:t>​</w:t>
            </w:r>
          </w:p>
        </w:tc>
        <w:tc>
          <w:tcPr>
            <w:tcW w:w="1892" w:type="dxa"/>
            <w:gridSpan w:val="4"/>
            <w:tcBorders/>
            <w:shd w:fill="FF6A00" w:val="clear"/>
            <w:tcMar>
              <w:bottom w:w="0" w:type="dxa"/>
            </w:tcMar>
            <w:vAlign w:val="center"/>
          </w:tcPr>
          <w:p>
            <w:pPr>
              <w:pStyle w:val="TableContents"/>
              <w:bidi w:val="0"/>
              <w:spacing w:lineRule="atLeast" w:line="142" w:before="0" w:after="0"/>
              <w:jc w:val="center"/>
              <w:rPr/>
            </w:pPr>
            <w:r>
              <w:rPr>
                <w:spacing w:val="-2"/>
              </w:rPr>
              <w:t xml:space="preserve">Number of </w:t>
              <w:br/>
              <w:t xml:space="preserve">shares acquired on </w:t>
              <w:br/>
              <w:t xml:space="preserve">vesting </w:t>
              <w:br/>
              <w:t>(#)</w:t>
            </w:r>
            <w:r>
              <w:rPr>
                <w:spacing w:val="-2"/>
                <w:sz w:val="13"/>
              </w:rPr>
              <w:t>(1)</w:t>
            </w:r>
            <w:r>
              <w:rPr/>
              <w:t xml:space="preserve"> </w:t>
            </w:r>
          </w:p>
        </w:tc>
        <w:tc>
          <w:tcPr>
            <w:tcW w:w="109" w:type="dxa"/>
            <w:tcBorders/>
            <w:shd w:fill="FF6A00" w:val="clear"/>
            <w:tcMar>
              <w:bottom w:w="0" w:type="dxa"/>
            </w:tcMar>
            <w:vAlign w:val="center"/>
          </w:tcPr>
          <w:p>
            <w:pPr>
              <w:pStyle w:val="TableContents"/>
              <w:bidi w:val="0"/>
              <w:spacing w:before="0" w:after="283"/>
              <w:jc w:val="left"/>
              <w:rPr/>
            </w:pPr>
            <w:r>
              <w:rPr/>
              <w:t>​</w:t>
            </w:r>
          </w:p>
        </w:tc>
        <w:tc>
          <w:tcPr>
            <w:tcW w:w="109" w:type="dxa"/>
            <w:tcBorders/>
            <w:shd w:fill="FF6A00" w:val="clear"/>
            <w:tcMar>
              <w:bottom w:w="0" w:type="dxa"/>
            </w:tcMar>
            <w:vAlign w:val="center"/>
          </w:tcPr>
          <w:p>
            <w:pPr>
              <w:pStyle w:val="TableContents"/>
              <w:bidi w:val="0"/>
              <w:spacing w:before="0" w:after="283"/>
              <w:jc w:val="left"/>
              <w:rPr/>
            </w:pPr>
            <w:r>
              <w:rPr/>
              <w:t>​</w:t>
            </w:r>
          </w:p>
        </w:tc>
        <w:tc>
          <w:tcPr>
            <w:tcW w:w="1510" w:type="dxa"/>
            <w:gridSpan w:val="4"/>
            <w:tcBorders/>
            <w:shd w:fill="FF6A00" w:val="clear"/>
            <w:tcMar>
              <w:bottom w:w="0" w:type="dxa"/>
            </w:tcMar>
            <w:vAlign w:val="center"/>
          </w:tcPr>
          <w:p>
            <w:pPr>
              <w:pStyle w:val="TableContents"/>
              <w:bidi w:val="0"/>
              <w:spacing w:before="0" w:after="0"/>
              <w:jc w:val="center"/>
              <w:rPr>
                <w:spacing w:val="-2"/>
              </w:rPr>
            </w:pPr>
            <w:r>
              <w:rPr>
                <w:spacing w:val="-2"/>
              </w:rPr>
              <w:t xml:space="preserve">Value </w:t>
              <w:br/>
              <w:t xml:space="preserve">realized </w:t>
              <w:br/>
              <w:t xml:space="preserve">on vesting </w:t>
              <w:br/>
              <w:t xml:space="preserve">($) </w:t>
            </w:r>
          </w:p>
        </w:tc>
        <w:tc>
          <w:tcPr>
            <w:tcW w:w="154" w:type="dxa"/>
            <w:tcBorders/>
            <w:shd w:fill="FF6A00"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99" w:type="dxa"/>
            <w:tcBorders/>
            <w:tcMar>
              <w:bottom w:w="0" w:type="dxa"/>
            </w:tcMar>
            <w:vAlign w:val="center"/>
          </w:tcPr>
          <w:p>
            <w:pPr>
              <w:pStyle w:val="TableContents"/>
              <w:bidi w:val="0"/>
              <w:spacing w:before="0" w:after="283"/>
              <w:jc w:val="left"/>
              <w:rPr>
                <w:spacing w:val="-2"/>
              </w:rPr>
            </w:pPr>
            <w:r>
              <w:rPr>
                <w:spacing w:val="-2"/>
              </w:rPr>
              <w:t xml:space="preserve">Aaron Jagdfeld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20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5" w:type="dxa"/>
            <w:tcBorders/>
            <w:tcMar>
              <w:bottom w:w="0" w:type="dxa"/>
            </w:tcMar>
            <w:vAlign w:val="center"/>
          </w:tcPr>
          <w:p>
            <w:pPr>
              <w:pStyle w:val="TableContents"/>
              <w:bidi w:val="0"/>
              <w:spacing w:before="0" w:after="283"/>
              <w:jc w:val="left"/>
              <w:rPr/>
            </w:pPr>
            <w:r>
              <w:rPr/>
              <w:t>​</w:t>
            </w:r>
          </w:p>
        </w:tc>
        <w:tc>
          <w:tcPr>
            <w:tcW w:w="195" w:type="dxa"/>
            <w:tcBorders/>
            <w:tcMar>
              <w:bottom w:w="0" w:type="dxa"/>
            </w:tcMar>
            <w:vAlign w:val="center"/>
          </w:tcPr>
          <w:p>
            <w:pPr>
              <w:pStyle w:val="TableContents"/>
              <w:bidi w:val="0"/>
              <w:spacing w:before="0" w:after="283"/>
              <w:jc w:val="right"/>
              <w:rPr/>
            </w:pPr>
            <w:r>
              <w:rPr/>
              <w:t>​</w:t>
            </w:r>
          </w:p>
        </w:tc>
        <w:tc>
          <w:tcPr>
            <w:tcW w:w="623" w:type="dxa"/>
            <w:tcBorders/>
            <w:tcMar>
              <w:bottom w:w="0" w:type="dxa"/>
            </w:tcMar>
            <w:vAlign w:val="center"/>
          </w:tcPr>
          <w:p>
            <w:pPr>
              <w:pStyle w:val="TableContents"/>
              <w:bidi w:val="0"/>
              <w:spacing w:before="0" w:after="283"/>
              <w:jc w:val="right"/>
              <w:rPr/>
            </w:pPr>
            <w:r>
              <w:rPr/>
              <w:t>—</w:t>
            </w:r>
          </w:p>
        </w:tc>
        <w:tc>
          <w:tcPr>
            <w:tcW w:w="19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right"/>
              <w:rPr/>
            </w:pPr>
            <w:r>
              <w:rPr/>
              <w:t>​</w:t>
            </w:r>
          </w:p>
        </w:tc>
        <w:tc>
          <w:tcPr>
            <w:tcW w:w="1328" w:type="dxa"/>
            <w:tcBorders/>
            <w:tcMar>
              <w:bottom w:w="0" w:type="dxa"/>
            </w:tcMar>
            <w:vAlign w:val="center"/>
          </w:tcPr>
          <w:p>
            <w:pPr>
              <w:pStyle w:val="TableContents"/>
              <w:bidi w:val="0"/>
              <w:spacing w:before="0" w:after="283"/>
              <w:jc w:val="right"/>
              <w:rPr/>
            </w:pPr>
            <w:r>
              <w:rPr/>
              <w:t>12,224</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1,659,897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B2B2B2" w:val="clear"/>
            <w:tcMar>
              <w:bottom w:w="0" w:type="dxa"/>
            </w:tcMar>
            <w:vAlign w:val="center"/>
          </w:tcPr>
          <w:p>
            <w:pPr>
              <w:pStyle w:val="TableContents"/>
              <w:bidi w:val="0"/>
              <w:spacing w:before="0" w:after="283"/>
              <w:jc w:val="left"/>
              <w:rPr/>
            </w:pPr>
            <w:r>
              <w:rPr/>
              <w:t>​</w:t>
            </w:r>
          </w:p>
        </w:tc>
        <w:tc>
          <w:tcPr>
            <w:tcW w:w="1599" w:type="dxa"/>
            <w:tcBorders/>
            <w:shd w:fill="B2B2B2" w:val="clear"/>
            <w:tcMar>
              <w:bottom w:w="0" w:type="dxa"/>
            </w:tcMar>
            <w:vAlign w:val="center"/>
          </w:tcPr>
          <w:p>
            <w:pPr>
              <w:pStyle w:val="TableContents"/>
              <w:bidi w:val="0"/>
              <w:spacing w:before="0" w:after="283"/>
              <w:jc w:val="left"/>
              <w:rPr>
                <w:spacing w:val="-2"/>
              </w:rPr>
            </w:pPr>
            <w:r>
              <w:rPr>
                <w:spacing w:val="-2"/>
              </w:rPr>
              <w:t xml:space="preserve">York Ragen </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203" w:type="dxa"/>
            <w:tcBorders/>
            <w:shd w:fill="B2B2B2" w:val="clear"/>
            <w:tcMar>
              <w:bottom w:w="0" w:type="dxa"/>
            </w:tcMar>
            <w:vAlign w:val="center"/>
          </w:tcPr>
          <w:p>
            <w:pPr>
              <w:pStyle w:val="TableContents"/>
              <w:bidi w:val="0"/>
              <w:spacing w:before="0" w:after="283"/>
              <w:jc w:val="left"/>
              <w:rPr/>
            </w:pPr>
            <w:r>
              <w:rPr/>
              <w:t>​</w:t>
            </w:r>
          </w:p>
        </w:tc>
        <w:tc>
          <w:tcPr>
            <w:tcW w:w="203" w:type="dxa"/>
            <w:tcBorders/>
            <w:shd w:fill="B2B2B2" w:val="clear"/>
            <w:tcMar>
              <w:bottom w:w="0" w:type="dxa"/>
            </w:tcMar>
            <w:vAlign w:val="center"/>
          </w:tcPr>
          <w:p>
            <w:pPr>
              <w:pStyle w:val="TableContents"/>
              <w:bidi w:val="0"/>
              <w:spacing w:before="0" w:after="283"/>
              <w:jc w:val="right"/>
              <w:rPr/>
            </w:pPr>
            <w:r>
              <w:rPr/>
              <w:t>​</w:t>
            </w:r>
          </w:p>
        </w:tc>
        <w:tc>
          <w:tcPr>
            <w:tcW w:w="646" w:type="dxa"/>
            <w:tcBorders/>
            <w:shd w:fill="B2B2B2" w:val="clear"/>
            <w:tcMar>
              <w:bottom w:w="0" w:type="dxa"/>
            </w:tcMar>
            <w:vAlign w:val="center"/>
          </w:tcPr>
          <w:p>
            <w:pPr>
              <w:pStyle w:val="TableContents"/>
              <w:bidi w:val="0"/>
              <w:spacing w:before="0" w:after="283"/>
              <w:jc w:val="right"/>
              <w:rPr/>
            </w:pPr>
            <w:r>
              <w:rPr/>
              <w:t>—</w:t>
            </w:r>
          </w:p>
        </w:tc>
        <w:tc>
          <w:tcPr>
            <w:tcW w:w="205"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95" w:type="dxa"/>
            <w:tcBorders/>
            <w:shd w:fill="B2B2B2" w:val="clear"/>
            <w:tcMar>
              <w:bottom w:w="0" w:type="dxa"/>
            </w:tcMar>
            <w:vAlign w:val="center"/>
          </w:tcPr>
          <w:p>
            <w:pPr>
              <w:pStyle w:val="TableContents"/>
              <w:bidi w:val="0"/>
              <w:spacing w:before="0" w:after="283"/>
              <w:jc w:val="left"/>
              <w:rPr/>
            </w:pPr>
            <w:r>
              <w:rPr/>
              <w:t>​</w:t>
            </w:r>
          </w:p>
        </w:tc>
        <w:tc>
          <w:tcPr>
            <w:tcW w:w="195" w:type="dxa"/>
            <w:tcBorders/>
            <w:shd w:fill="B2B2B2" w:val="clear"/>
            <w:tcMar>
              <w:bottom w:w="0" w:type="dxa"/>
            </w:tcMar>
            <w:vAlign w:val="center"/>
          </w:tcPr>
          <w:p>
            <w:pPr>
              <w:pStyle w:val="TableContents"/>
              <w:bidi w:val="0"/>
              <w:spacing w:before="0" w:after="283"/>
              <w:jc w:val="right"/>
              <w:rPr/>
            </w:pPr>
            <w:r>
              <w:rPr/>
              <w:t>​</w:t>
            </w:r>
          </w:p>
        </w:tc>
        <w:tc>
          <w:tcPr>
            <w:tcW w:w="623" w:type="dxa"/>
            <w:tcBorders/>
            <w:shd w:fill="B2B2B2" w:val="clear"/>
            <w:tcMar>
              <w:bottom w:w="0" w:type="dxa"/>
            </w:tcMar>
            <w:vAlign w:val="center"/>
          </w:tcPr>
          <w:p>
            <w:pPr>
              <w:pStyle w:val="TableContents"/>
              <w:bidi w:val="0"/>
              <w:spacing w:before="0" w:after="283"/>
              <w:jc w:val="right"/>
              <w:rPr/>
            </w:pPr>
            <w:r>
              <w:rPr/>
              <w:t>—</w:t>
            </w:r>
          </w:p>
        </w:tc>
        <w:tc>
          <w:tcPr>
            <w:tcW w:w="19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88" w:type="dxa"/>
            <w:tcBorders/>
            <w:shd w:fill="B2B2B2" w:val="clear"/>
            <w:tcMar>
              <w:bottom w:w="0" w:type="dxa"/>
            </w:tcMar>
            <w:vAlign w:val="center"/>
          </w:tcPr>
          <w:p>
            <w:pPr>
              <w:pStyle w:val="TableContents"/>
              <w:bidi w:val="0"/>
              <w:spacing w:before="0" w:after="283"/>
              <w:jc w:val="left"/>
              <w:rPr/>
            </w:pPr>
            <w:r>
              <w:rPr/>
              <w:t>​</w:t>
            </w:r>
          </w:p>
        </w:tc>
        <w:tc>
          <w:tcPr>
            <w:tcW w:w="188" w:type="dxa"/>
            <w:tcBorders/>
            <w:shd w:fill="B2B2B2" w:val="clear"/>
            <w:tcMar>
              <w:bottom w:w="0" w:type="dxa"/>
            </w:tcMar>
            <w:vAlign w:val="center"/>
          </w:tcPr>
          <w:p>
            <w:pPr>
              <w:pStyle w:val="TableContents"/>
              <w:bidi w:val="0"/>
              <w:spacing w:before="0" w:after="283"/>
              <w:jc w:val="right"/>
              <w:rPr/>
            </w:pPr>
            <w:r>
              <w:rPr/>
              <w:t>​</w:t>
            </w:r>
          </w:p>
        </w:tc>
        <w:tc>
          <w:tcPr>
            <w:tcW w:w="1328" w:type="dxa"/>
            <w:tcBorders/>
            <w:shd w:fill="B2B2B2" w:val="clear"/>
            <w:tcMar>
              <w:bottom w:w="0" w:type="dxa"/>
            </w:tcMar>
            <w:vAlign w:val="center"/>
          </w:tcPr>
          <w:p>
            <w:pPr>
              <w:pStyle w:val="TableContents"/>
              <w:bidi w:val="0"/>
              <w:spacing w:before="0" w:after="283"/>
              <w:jc w:val="right"/>
              <w:rPr/>
            </w:pPr>
            <w:r>
              <w:rPr/>
              <w:t>2,651</w:t>
            </w:r>
          </w:p>
        </w:tc>
        <w:tc>
          <w:tcPr>
            <w:tcW w:w="188"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226" w:type="dxa"/>
            <w:tcBorders/>
            <w:shd w:fill="B2B2B2" w:val="clear"/>
            <w:tcMar>
              <w:bottom w:w="0" w:type="dxa"/>
            </w:tcMar>
            <w:vAlign w:val="center"/>
          </w:tcPr>
          <w:p>
            <w:pPr>
              <w:pStyle w:val="TableContents"/>
              <w:bidi w:val="0"/>
              <w:spacing w:before="0" w:after="283"/>
              <w:jc w:val="right"/>
              <w:rPr/>
            </w:pPr>
            <w:r>
              <w:rPr/>
              <w:t>$</w:t>
            </w:r>
          </w:p>
        </w:tc>
        <w:tc>
          <w:tcPr>
            <w:tcW w:w="1066" w:type="dxa"/>
            <w:tcBorders/>
            <w:shd w:fill="B2B2B2" w:val="clear"/>
            <w:tcMar>
              <w:bottom w:w="0" w:type="dxa"/>
            </w:tcMar>
            <w:vAlign w:val="center"/>
          </w:tcPr>
          <w:p>
            <w:pPr>
              <w:pStyle w:val="TableContents"/>
              <w:bidi w:val="0"/>
              <w:spacing w:before="0" w:after="283"/>
              <w:jc w:val="right"/>
              <w:rPr/>
            </w:pPr>
            <w:r>
              <w:rPr/>
              <w:t>359,979</w:t>
            </w:r>
          </w:p>
        </w:tc>
        <w:tc>
          <w:tcPr>
            <w:tcW w:w="109" w:type="dxa"/>
            <w:tcBorders/>
            <w:shd w:fill="B2B2B2" w:val="clear"/>
            <w:tcMar>
              <w:bottom w:w="0" w:type="dxa"/>
            </w:tcMar>
            <w:vAlign w:val="center"/>
          </w:tcPr>
          <w:p>
            <w:pPr>
              <w:pStyle w:val="TableContents"/>
              <w:bidi w:val="0"/>
              <w:spacing w:before="0" w:after="283"/>
              <w:jc w:val="left"/>
              <w:rPr/>
            </w:pPr>
            <w:r>
              <w:rPr/>
              <w:t>​</w:t>
            </w:r>
          </w:p>
        </w:tc>
        <w:tc>
          <w:tcPr>
            <w:tcW w:w="154" w:type="dxa"/>
            <w:tcBorders/>
            <w:shd w:fill="B2B2B2"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99" w:type="dxa"/>
            <w:tcBorders/>
            <w:tcMar>
              <w:bottom w:w="0" w:type="dxa"/>
            </w:tcMar>
            <w:vAlign w:val="center"/>
          </w:tcPr>
          <w:p>
            <w:pPr>
              <w:pStyle w:val="TableContents"/>
              <w:bidi w:val="0"/>
              <w:spacing w:before="0" w:after="283"/>
              <w:jc w:val="left"/>
              <w:rPr>
                <w:spacing w:val="-2"/>
              </w:rPr>
            </w:pPr>
            <w:r>
              <w:rPr>
                <w:spacing w:val="-2"/>
              </w:rPr>
              <w:t xml:space="preserve">Norman Taffe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20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5" w:type="dxa"/>
            <w:tcBorders/>
            <w:tcMar>
              <w:bottom w:w="0" w:type="dxa"/>
            </w:tcMar>
            <w:vAlign w:val="center"/>
          </w:tcPr>
          <w:p>
            <w:pPr>
              <w:pStyle w:val="TableContents"/>
              <w:bidi w:val="0"/>
              <w:spacing w:before="0" w:after="283"/>
              <w:jc w:val="left"/>
              <w:rPr/>
            </w:pPr>
            <w:r>
              <w:rPr/>
              <w:t>​</w:t>
            </w:r>
          </w:p>
        </w:tc>
        <w:tc>
          <w:tcPr>
            <w:tcW w:w="195" w:type="dxa"/>
            <w:tcBorders/>
            <w:tcMar>
              <w:bottom w:w="0" w:type="dxa"/>
            </w:tcMar>
            <w:vAlign w:val="center"/>
          </w:tcPr>
          <w:p>
            <w:pPr>
              <w:pStyle w:val="TableContents"/>
              <w:bidi w:val="0"/>
              <w:spacing w:before="0" w:after="283"/>
              <w:jc w:val="right"/>
              <w:rPr/>
            </w:pPr>
            <w:r>
              <w:rPr/>
              <w:t>​</w:t>
            </w:r>
          </w:p>
        </w:tc>
        <w:tc>
          <w:tcPr>
            <w:tcW w:w="623" w:type="dxa"/>
            <w:tcBorders/>
            <w:tcMar>
              <w:bottom w:w="0" w:type="dxa"/>
            </w:tcMar>
            <w:vAlign w:val="center"/>
          </w:tcPr>
          <w:p>
            <w:pPr>
              <w:pStyle w:val="TableContents"/>
              <w:bidi w:val="0"/>
              <w:spacing w:before="0" w:after="283"/>
              <w:jc w:val="right"/>
              <w:rPr/>
            </w:pPr>
            <w:r>
              <w:rPr/>
              <w:t>—</w:t>
            </w:r>
          </w:p>
        </w:tc>
        <w:tc>
          <w:tcPr>
            <w:tcW w:w="19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right"/>
              <w:rPr/>
            </w:pPr>
            <w:r>
              <w:rPr/>
              <w:t>​</w:t>
            </w:r>
          </w:p>
        </w:tc>
        <w:tc>
          <w:tcPr>
            <w:tcW w:w="1328" w:type="dxa"/>
            <w:tcBorders/>
            <w:tcMar>
              <w:bottom w:w="0" w:type="dxa"/>
            </w:tcMar>
            <w:vAlign w:val="center"/>
          </w:tcPr>
          <w:p>
            <w:pPr>
              <w:pStyle w:val="TableContents"/>
              <w:bidi w:val="0"/>
              <w:spacing w:before="0" w:after="283"/>
              <w:jc w:val="right"/>
              <w:rPr/>
            </w:pPr>
            <w:r>
              <w:rPr/>
              <w:t>2,075</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318,464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B2B2B2" w:val="clear"/>
            <w:tcMar>
              <w:bottom w:w="0" w:type="dxa"/>
            </w:tcMar>
            <w:vAlign w:val="center"/>
          </w:tcPr>
          <w:p>
            <w:pPr>
              <w:pStyle w:val="TableContents"/>
              <w:bidi w:val="0"/>
              <w:spacing w:before="0" w:after="283"/>
              <w:jc w:val="left"/>
              <w:rPr/>
            </w:pPr>
            <w:r>
              <w:rPr/>
              <w:t>​</w:t>
            </w:r>
          </w:p>
        </w:tc>
        <w:tc>
          <w:tcPr>
            <w:tcW w:w="1599" w:type="dxa"/>
            <w:tcBorders/>
            <w:shd w:fill="B2B2B2" w:val="clear"/>
            <w:tcMar>
              <w:bottom w:w="0" w:type="dxa"/>
            </w:tcMar>
            <w:vAlign w:val="center"/>
          </w:tcPr>
          <w:p>
            <w:pPr>
              <w:pStyle w:val="TableContents"/>
              <w:bidi w:val="0"/>
              <w:spacing w:before="0" w:after="283"/>
              <w:jc w:val="left"/>
              <w:rPr>
                <w:spacing w:val="-2"/>
              </w:rPr>
            </w:pPr>
            <w:r>
              <w:rPr>
                <w:spacing w:val="-2"/>
              </w:rPr>
              <w:t xml:space="preserve">Erik Wilde </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203" w:type="dxa"/>
            <w:tcBorders/>
            <w:shd w:fill="B2B2B2" w:val="clear"/>
            <w:tcMar>
              <w:bottom w:w="0" w:type="dxa"/>
            </w:tcMar>
            <w:vAlign w:val="center"/>
          </w:tcPr>
          <w:p>
            <w:pPr>
              <w:pStyle w:val="TableContents"/>
              <w:bidi w:val="0"/>
              <w:spacing w:before="0" w:after="283"/>
              <w:jc w:val="left"/>
              <w:rPr/>
            </w:pPr>
            <w:r>
              <w:rPr/>
              <w:t>​</w:t>
            </w:r>
          </w:p>
        </w:tc>
        <w:tc>
          <w:tcPr>
            <w:tcW w:w="203" w:type="dxa"/>
            <w:tcBorders/>
            <w:shd w:fill="B2B2B2" w:val="clear"/>
            <w:tcMar>
              <w:bottom w:w="0" w:type="dxa"/>
            </w:tcMar>
            <w:vAlign w:val="center"/>
          </w:tcPr>
          <w:p>
            <w:pPr>
              <w:pStyle w:val="TableContents"/>
              <w:bidi w:val="0"/>
              <w:spacing w:before="0" w:after="283"/>
              <w:jc w:val="right"/>
              <w:rPr/>
            </w:pPr>
            <w:r>
              <w:rPr/>
              <w:t>​</w:t>
            </w:r>
          </w:p>
        </w:tc>
        <w:tc>
          <w:tcPr>
            <w:tcW w:w="646" w:type="dxa"/>
            <w:tcBorders/>
            <w:shd w:fill="B2B2B2" w:val="clear"/>
            <w:tcMar>
              <w:bottom w:w="0" w:type="dxa"/>
            </w:tcMar>
            <w:vAlign w:val="center"/>
          </w:tcPr>
          <w:p>
            <w:pPr>
              <w:pStyle w:val="TableContents"/>
              <w:bidi w:val="0"/>
              <w:spacing w:before="0" w:after="283"/>
              <w:jc w:val="right"/>
              <w:rPr/>
            </w:pPr>
            <w:r>
              <w:rPr/>
              <w:t>—</w:t>
            </w:r>
          </w:p>
        </w:tc>
        <w:tc>
          <w:tcPr>
            <w:tcW w:w="205"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95" w:type="dxa"/>
            <w:tcBorders/>
            <w:shd w:fill="B2B2B2" w:val="clear"/>
            <w:tcMar>
              <w:bottom w:w="0" w:type="dxa"/>
            </w:tcMar>
            <w:vAlign w:val="center"/>
          </w:tcPr>
          <w:p>
            <w:pPr>
              <w:pStyle w:val="TableContents"/>
              <w:bidi w:val="0"/>
              <w:spacing w:before="0" w:after="283"/>
              <w:jc w:val="left"/>
              <w:rPr/>
            </w:pPr>
            <w:r>
              <w:rPr/>
              <w:t>​</w:t>
            </w:r>
          </w:p>
        </w:tc>
        <w:tc>
          <w:tcPr>
            <w:tcW w:w="195" w:type="dxa"/>
            <w:tcBorders/>
            <w:shd w:fill="B2B2B2" w:val="clear"/>
            <w:tcMar>
              <w:bottom w:w="0" w:type="dxa"/>
            </w:tcMar>
            <w:vAlign w:val="center"/>
          </w:tcPr>
          <w:p>
            <w:pPr>
              <w:pStyle w:val="TableContents"/>
              <w:bidi w:val="0"/>
              <w:spacing w:before="0" w:after="283"/>
              <w:jc w:val="right"/>
              <w:rPr/>
            </w:pPr>
            <w:r>
              <w:rPr/>
              <w:t>​</w:t>
            </w:r>
          </w:p>
        </w:tc>
        <w:tc>
          <w:tcPr>
            <w:tcW w:w="623" w:type="dxa"/>
            <w:tcBorders/>
            <w:shd w:fill="B2B2B2" w:val="clear"/>
            <w:tcMar>
              <w:bottom w:w="0" w:type="dxa"/>
            </w:tcMar>
            <w:vAlign w:val="center"/>
          </w:tcPr>
          <w:p>
            <w:pPr>
              <w:pStyle w:val="TableContents"/>
              <w:bidi w:val="0"/>
              <w:spacing w:before="0" w:after="283"/>
              <w:jc w:val="right"/>
              <w:rPr/>
            </w:pPr>
            <w:r>
              <w:rPr/>
              <w:t>—</w:t>
            </w:r>
          </w:p>
        </w:tc>
        <w:tc>
          <w:tcPr>
            <w:tcW w:w="19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88" w:type="dxa"/>
            <w:tcBorders/>
            <w:shd w:fill="B2B2B2" w:val="clear"/>
            <w:tcMar>
              <w:bottom w:w="0" w:type="dxa"/>
            </w:tcMar>
            <w:vAlign w:val="center"/>
          </w:tcPr>
          <w:p>
            <w:pPr>
              <w:pStyle w:val="TableContents"/>
              <w:bidi w:val="0"/>
              <w:spacing w:before="0" w:after="283"/>
              <w:jc w:val="left"/>
              <w:rPr/>
            </w:pPr>
            <w:r>
              <w:rPr/>
              <w:t>​</w:t>
            </w:r>
          </w:p>
        </w:tc>
        <w:tc>
          <w:tcPr>
            <w:tcW w:w="188" w:type="dxa"/>
            <w:tcBorders/>
            <w:shd w:fill="B2B2B2" w:val="clear"/>
            <w:tcMar>
              <w:bottom w:w="0" w:type="dxa"/>
            </w:tcMar>
            <w:vAlign w:val="center"/>
          </w:tcPr>
          <w:p>
            <w:pPr>
              <w:pStyle w:val="TableContents"/>
              <w:bidi w:val="0"/>
              <w:spacing w:before="0" w:after="283"/>
              <w:jc w:val="right"/>
              <w:rPr/>
            </w:pPr>
            <w:r>
              <w:rPr/>
              <w:t>​</w:t>
            </w:r>
          </w:p>
        </w:tc>
        <w:tc>
          <w:tcPr>
            <w:tcW w:w="1328" w:type="dxa"/>
            <w:tcBorders/>
            <w:shd w:fill="B2B2B2" w:val="clear"/>
            <w:tcMar>
              <w:bottom w:w="0" w:type="dxa"/>
            </w:tcMar>
            <w:vAlign w:val="center"/>
          </w:tcPr>
          <w:p>
            <w:pPr>
              <w:pStyle w:val="TableContents"/>
              <w:bidi w:val="0"/>
              <w:spacing w:before="0" w:after="283"/>
              <w:jc w:val="right"/>
              <w:rPr/>
            </w:pPr>
            <w:r>
              <w:rPr/>
              <w:t>1,587</w:t>
            </w:r>
          </w:p>
        </w:tc>
        <w:tc>
          <w:tcPr>
            <w:tcW w:w="188"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226" w:type="dxa"/>
            <w:tcBorders/>
            <w:shd w:fill="B2B2B2" w:val="clear"/>
            <w:tcMar>
              <w:bottom w:w="0" w:type="dxa"/>
            </w:tcMar>
            <w:vAlign w:val="center"/>
          </w:tcPr>
          <w:p>
            <w:pPr>
              <w:pStyle w:val="TableContents"/>
              <w:bidi w:val="0"/>
              <w:spacing w:before="0" w:after="283"/>
              <w:jc w:val="right"/>
              <w:rPr/>
            </w:pPr>
            <w:r>
              <w:rPr/>
              <w:t>$</w:t>
            </w:r>
          </w:p>
        </w:tc>
        <w:tc>
          <w:tcPr>
            <w:tcW w:w="1066" w:type="dxa"/>
            <w:tcBorders/>
            <w:shd w:fill="B2B2B2" w:val="clear"/>
            <w:tcMar>
              <w:bottom w:w="0" w:type="dxa"/>
            </w:tcMar>
            <w:vAlign w:val="center"/>
          </w:tcPr>
          <w:p>
            <w:pPr>
              <w:pStyle w:val="TableContents"/>
              <w:bidi w:val="0"/>
              <w:spacing w:before="0" w:after="283"/>
              <w:jc w:val="right"/>
              <w:rPr/>
            </w:pPr>
            <w:r>
              <w:rPr/>
              <w:t>215,499</w:t>
            </w:r>
          </w:p>
        </w:tc>
        <w:tc>
          <w:tcPr>
            <w:tcW w:w="109" w:type="dxa"/>
            <w:tcBorders/>
            <w:shd w:fill="B2B2B2" w:val="clear"/>
            <w:tcMar>
              <w:bottom w:w="0" w:type="dxa"/>
            </w:tcMar>
            <w:vAlign w:val="center"/>
          </w:tcPr>
          <w:p>
            <w:pPr>
              <w:pStyle w:val="TableContents"/>
              <w:bidi w:val="0"/>
              <w:spacing w:before="0" w:after="283"/>
              <w:jc w:val="left"/>
              <w:rPr/>
            </w:pPr>
            <w:r>
              <w:rPr/>
              <w:t>​</w:t>
            </w:r>
          </w:p>
        </w:tc>
        <w:tc>
          <w:tcPr>
            <w:tcW w:w="154" w:type="dxa"/>
            <w:tcBorders/>
            <w:shd w:fill="B2B2B2"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1599" w:type="dxa"/>
            <w:tcBorders>
              <w:bottom w:val="single" w:sz="2" w:space="0" w:color="000000"/>
            </w:tcBorders>
            <w:tcMar>
              <w:bottom w:w="30" w:type="dxa"/>
            </w:tcMar>
            <w:vAlign w:val="center"/>
          </w:tcPr>
          <w:p>
            <w:pPr>
              <w:pStyle w:val="TableContents"/>
              <w:bidi w:val="0"/>
              <w:spacing w:before="0" w:after="283"/>
              <w:jc w:val="left"/>
              <w:rPr>
                <w:spacing w:val="-2"/>
              </w:rPr>
            </w:pPr>
            <w:r>
              <w:rPr>
                <w:spacing w:val="-2"/>
              </w:rPr>
              <w:t xml:space="preserve">Raj Kanuru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03" w:type="dxa"/>
            <w:tcBorders>
              <w:bottom w:val="single" w:sz="2" w:space="0" w:color="000000"/>
            </w:tcBorders>
            <w:vAlign w:val="center"/>
          </w:tcPr>
          <w:p>
            <w:pPr>
              <w:pStyle w:val="TableContents"/>
              <w:bidi w:val="0"/>
              <w:spacing w:before="0" w:after="283"/>
              <w:jc w:val="left"/>
              <w:rPr/>
            </w:pPr>
            <w:r>
              <w:rPr/>
              <w:t>​</w:t>
            </w:r>
          </w:p>
        </w:tc>
        <w:tc>
          <w:tcPr>
            <w:tcW w:w="203" w:type="dxa"/>
            <w:tcBorders>
              <w:bottom w:val="single" w:sz="2" w:space="0" w:color="000000"/>
            </w:tcBorders>
            <w:tcMar>
              <w:bottom w:w="30" w:type="dxa"/>
            </w:tcMar>
            <w:vAlign w:val="center"/>
          </w:tcPr>
          <w:p>
            <w:pPr>
              <w:pStyle w:val="TableContents"/>
              <w:bidi w:val="0"/>
              <w:spacing w:before="0" w:after="283"/>
              <w:jc w:val="right"/>
              <w:rPr/>
            </w:pPr>
            <w:r>
              <w:rPr/>
              <w:t>​</w:t>
            </w:r>
          </w:p>
        </w:tc>
        <w:tc>
          <w:tcPr>
            <w:tcW w:w="646" w:type="dxa"/>
            <w:tcBorders>
              <w:bottom w:val="single" w:sz="2" w:space="0" w:color="000000"/>
            </w:tcBorders>
            <w:tcMar>
              <w:bottom w:w="30" w:type="dxa"/>
            </w:tcMar>
            <w:vAlign w:val="center"/>
          </w:tcPr>
          <w:p>
            <w:pPr>
              <w:pStyle w:val="TableContents"/>
              <w:bidi w:val="0"/>
              <w:spacing w:before="0" w:after="283"/>
              <w:jc w:val="right"/>
              <w:rPr/>
            </w:pPr>
            <w:r>
              <w:rPr/>
              <w:t>—</w:t>
            </w:r>
          </w:p>
        </w:tc>
        <w:tc>
          <w:tcPr>
            <w:tcW w:w="205"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95" w:type="dxa"/>
            <w:tcBorders>
              <w:bottom w:val="single" w:sz="2" w:space="0" w:color="000000"/>
            </w:tcBorders>
            <w:vAlign w:val="center"/>
          </w:tcPr>
          <w:p>
            <w:pPr>
              <w:pStyle w:val="TableContents"/>
              <w:bidi w:val="0"/>
              <w:spacing w:before="0" w:after="283"/>
              <w:jc w:val="left"/>
              <w:rPr/>
            </w:pPr>
            <w:r>
              <w:rPr/>
              <w:t>​</w:t>
            </w:r>
          </w:p>
        </w:tc>
        <w:tc>
          <w:tcPr>
            <w:tcW w:w="195" w:type="dxa"/>
            <w:tcBorders>
              <w:bottom w:val="single" w:sz="2" w:space="0" w:color="000000"/>
            </w:tcBorders>
            <w:tcMar>
              <w:bottom w:w="30" w:type="dxa"/>
            </w:tcMar>
            <w:vAlign w:val="center"/>
          </w:tcPr>
          <w:p>
            <w:pPr>
              <w:pStyle w:val="TableContents"/>
              <w:bidi w:val="0"/>
              <w:spacing w:before="0" w:after="283"/>
              <w:jc w:val="right"/>
              <w:rPr/>
            </w:pPr>
            <w:r>
              <w:rPr/>
              <w:t>​</w:t>
            </w:r>
          </w:p>
        </w:tc>
        <w:tc>
          <w:tcPr>
            <w:tcW w:w="623" w:type="dxa"/>
            <w:tcBorders>
              <w:bottom w:val="single" w:sz="2" w:space="0" w:color="000000"/>
            </w:tcBorders>
            <w:tcMar>
              <w:bottom w:w="30" w:type="dxa"/>
            </w:tcMar>
            <w:vAlign w:val="center"/>
          </w:tcPr>
          <w:p>
            <w:pPr>
              <w:pStyle w:val="TableContents"/>
              <w:bidi w:val="0"/>
              <w:spacing w:before="0" w:after="283"/>
              <w:jc w:val="right"/>
              <w:rPr/>
            </w:pPr>
            <w:r>
              <w:rPr/>
              <w:t>—</w:t>
            </w:r>
          </w:p>
        </w:tc>
        <w:tc>
          <w:tcPr>
            <w:tcW w:w="19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88" w:type="dxa"/>
            <w:tcBorders>
              <w:bottom w:val="single" w:sz="2" w:space="0" w:color="000000"/>
            </w:tcBorders>
            <w:vAlign w:val="center"/>
          </w:tcPr>
          <w:p>
            <w:pPr>
              <w:pStyle w:val="TableContents"/>
              <w:bidi w:val="0"/>
              <w:spacing w:before="0" w:after="283"/>
              <w:jc w:val="left"/>
              <w:rPr/>
            </w:pPr>
            <w:r>
              <w:rPr/>
              <w:t>​</w:t>
            </w:r>
          </w:p>
        </w:tc>
        <w:tc>
          <w:tcPr>
            <w:tcW w:w="188" w:type="dxa"/>
            <w:tcBorders>
              <w:bottom w:val="single" w:sz="2" w:space="0" w:color="000000"/>
            </w:tcBorders>
            <w:tcMar>
              <w:bottom w:w="30" w:type="dxa"/>
            </w:tcMar>
            <w:vAlign w:val="center"/>
          </w:tcPr>
          <w:p>
            <w:pPr>
              <w:pStyle w:val="TableContents"/>
              <w:bidi w:val="0"/>
              <w:spacing w:before="0" w:after="283"/>
              <w:jc w:val="right"/>
              <w:rPr/>
            </w:pPr>
            <w:r>
              <w:rPr/>
              <w:t>​</w:t>
            </w:r>
          </w:p>
        </w:tc>
        <w:tc>
          <w:tcPr>
            <w:tcW w:w="1328" w:type="dxa"/>
            <w:tcBorders>
              <w:bottom w:val="single" w:sz="2" w:space="0" w:color="000000"/>
            </w:tcBorders>
            <w:tcMar>
              <w:bottom w:w="30" w:type="dxa"/>
            </w:tcMar>
            <w:vAlign w:val="center"/>
          </w:tcPr>
          <w:p>
            <w:pPr>
              <w:pStyle w:val="TableContents"/>
              <w:bidi w:val="0"/>
              <w:spacing w:before="0" w:after="283"/>
              <w:jc w:val="right"/>
              <w:rPr/>
            </w:pPr>
            <w:r>
              <w:rPr/>
              <w:t>1,465</w:t>
            </w:r>
          </w:p>
        </w:tc>
        <w:tc>
          <w:tcPr>
            <w:tcW w:w="188"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26" w:type="dxa"/>
            <w:tcBorders>
              <w:bottom w:val="single" w:sz="2" w:space="0" w:color="000000"/>
            </w:tcBorders>
            <w:tcMar>
              <w:bottom w:w="30" w:type="dxa"/>
            </w:tcMar>
            <w:vAlign w:val="center"/>
          </w:tcPr>
          <w:p>
            <w:pPr>
              <w:pStyle w:val="TableContents"/>
              <w:bidi w:val="0"/>
              <w:spacing w:before="0" w:after="283"/>
              <w:jc w:val="right"/>
              <w:rPr/>
            </w:pPr>
            <w:r>
              <w:rPr/>
              <w:t>$</w:t>
            </w:r>
          </w:p>
        </w:tc>
        <w:tc>
          <w:tcPr>
            <w:tcW w:w="1066" w:type="dxa"/>
            <w:tcBorders>
              <w:bottom w:val="single" w:sz="2" w:space="0" w:color="000000"/>
            </w:tcBorders>
            <w:tcMar>
              <w:bottom w:w="30" w:type="dxa"/>
            </w:tcMar>
            <w:vAlign w:val="center"/>
          </w:tcPr>
          <w:p>
            <w:pPr>
              <w:pStyle w:val="TableContents"/>
              <w:bidi w:val="0"/>
              <w:spacing w:before="0" w:after="283"/>
              <w:jc w:val="right"/>
              <w:rPr/>
            </w:pPr>
            <w:r>
              <w:rPr/>
              <w:t>198,932</w:t>
            </w:r>
          </w:p>
        </w:tc>
        <w:tc>
          <w:tcPr>
            <w:tcW w:w="109" w:type="dxa"/>
            <w:tcBorders>
              <w:bottom w:val="single" w:sz="2" w:space="0" w:color="000000"/>
            </w:tcBorders>
            <w:vAlign w:val="center"/>
          </w:tcPr>
          <w:p>
            <w:pPr>
              <w:pStyle w:val="TableContents"/>
              <w:bidi w:val="0"/>
              <w:spacing w:before="0" w:after="283"/>
              <w:jc w:val="left"/>
              <w:rPr/>
            </w:pPr>
            <w:r>
              <w:rPr/>
              <w:t>​</w:t>
            </w:r>
          </w:p>
        </w:tc>
        <w:tc>
          <w:tcPr>
            <w:tcW w:w="154" w:type="dxa"/>
            <w:tcBorders>
              <w:bottom w:val="single" w:sz="2" w:space="0" w:color="000000"/>
            </w:tcBorders>
            <w:vAlign w:val="center"/>
          </w:tcPr>
          <w:p>
            <w:pPr>
              <w:pStyle w:val="TableContents"/>
              <w:bidi w:val="0"/>
              <w:spacing w:before="0" w:after="283"/>
              <w:jc w:val="left"/>
              <w:rPr/>
            </w:pPr>
            <w:r>
              <w:rPr/>
              <w:t>​</w:t>
            </w:r>
          </w:p>
        </w:tc>
      </w:tr>
    </w:tbl>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124" w:after="0"/>
        <w:ind w:left="1540" w:right="0" w:hanging="0"/>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The actual shares received after withholding shares using the net share settlement method to cover the tax liability resulting from the vesting of such shares were 6,477, 1,457, 1,294, 895, and 801, for Mr. Jagdfeld, Mr. Ragen, Mr. Taffe, Mr. Wilde, and Mr. Kanuru respectively. </w:t>
      </w:r>
      <w:r>
        <mc:AlternateContent>
          <mc:Choice Requires="wps">
            <w:drawing>
              <wp:anchor behindDoc="0" distT="78740" distB="0" distL="0" distR="0" simplePos="0" locked="0" layoutInCell="1" allowOverlap="1" relativeHeight="329">
                <wp:simplePos x="0" y="0"/>
                <wp:positionH relativeFrom="column">
                  <wp:align>left</wp:align>
                </wp:positionH>
                <wp:positionV relativeFrom="line">
                  <wp:align>top</wp:align>
                </wp:positionV>
                <wp:extent cx="254000" cy="330200"/>
                <wp:effectExtent l="0" t="0" r="0" b="0"/>
                <wp:wrapSquare wrapText="right"/>
                <wp:docPr id="306" name="Frame198"/>
                <a:graphic xmlns:a="http://schemas.openxmlformats.org/drawingml/2006/main">
                  <a:graphicData uri="http://schemas.microsoft.com/office/word/2010/wordprocessingShape">
                    <wps:wsp>
                      <wps:cNvSpPr txBox="1"/>
                      <wps:spPr>
                        <a:xfrm>
                          <a:off x="0" y="0"/>
                          <a:ext cx="254000" cy="330200"/>
                        </a:xfrm>
                        <a:prstGeom prst="rect"/>
                        <a:solidFill>
                          <a:srgbClr val="FFFFFF"/>
                        </a:solidFill>
                      </wps:spPr>
                      <wps:txbx>
                        <w:txbxContent>
                          <w:p>
                            <w:pPr>
                              <w:pStyle w:val="TextBody"/>
                              <w:bidi w:val="0"/>
                              <w:spacing w:lineRule="atLeast" w:line="260" w:before="0" w:after="283"/>
                              <w:jc w:val="left"/>
                              <w:rPr>
                                <w:sz w:val="22"/>
                              </w:rPr>
                            </w:pPr>
                            <w:r>
                              <w:rPr>
                                <w:spacing w:val="-2"/>
                                <w:sz w:val="22"/>
                              </w:rPr>
                              <w:t>(1)</w:t>
                            </w:r>
                            <w:r>
                              <w:rPr>
                                <w:sz w:val="22"/>
                              </w:rPr>
                              <w:t xml:space="preserve"> </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6.2pt;mso-wrap-distance-bottom:0pt;margin-top:6.2pt;mso-position-vertical:top;mso-position-vertical-relative:text;margin-left:0pt;mso-position-horizontal:left;mso-position-horizontal-relative:text">
                <v:textbox>
                  <w:txbxContent>
                    <w:p>
                      <w:pPr>
                        <w:pStyle w:val="TextBody"/>
                        <w:bidi w:val="0"/>
                        <w:spacing w:lineRule="atLeast" w:line="260" w:before="0" w:after="283"/>
                        <w:jc w:val="left"/>
                        <w:rPr>
                          <w:sz w:val="22"/>
                        </w:rPr>
                      </w:pPr>
                      <w:r>
                        <w:rPr>
                          <w:spacing w:val="-2"/>
                          <w:sz w:val="22"/>
                        </w:rPr>
                        <w:t>(1)</w:t>
                      </w:r>
                      <w:r>
                        <w:rPr>
                          <w:sz w:val="22"/>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400" w:before="192" w:after="283"/>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Employment Agreements and Severance Benefits</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60" w:before="80" w:after="283"/>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2"/>
          <w:sz w:val="22"/>
        </w:rPr>
        <w:t>Mr. Jagdfeld’s Employment Agreement and Equity Awards</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Mr. Jagdfeld is party to an employment agreement that provides for an initial three-year term beginning November 5, 2018, with automatic one-year renewals thereafter. The agreement most recently renewed on November 5, 2025. In the event of a Change in Control (as defined in the Company’s Executive Change in Control Policy), the term of the agreement automatically extends 24 months following a Change in Control.</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40" w:before="114"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If the Company terminates Mr. Jagdfeld’s employment without Cause (as defined in his employment agreement), or if he resigns for Good Reason (as defined in his employment agreement), he is only entitled to: (i) accrued but unpaid base salary and unused vacation; (ii) any earned annual bonus for the year of termination (or prior year, if unpaid); (iii) 24 months continued Company-paid medical, dental, hospitalization, and life insurance coverage for his spouse and dependents, (followed by COBRA rights); (iv) 24 months of continued base salary, payable in accordance with standard payroll practices; and (v) payments equal to 200% of his target annual bonus, paid in equal installments over a period of 24 months. Outstanding equity awards vest in accordance with their terms.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40" w:before="114"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All severance benefits require a release of claims and continued compliance with a Restrictive Covenant Agreement (as defined herein).</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40" w:before="114"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following table sets forth the severance benefits that would have been payable to Mr. Jagdfeld if we had terminated Mr. Jagdfeld’s employment without Cause on December 31, 2025 or if he terminated his employment for Good Reason on December 31, 2025:</w:t>
      </w:r>
      <w:r>
        <w:rPr>
          <w:rFonts w:ascii="Arial;Helvetica;sans-serif" w:hAnsi="Arial;Helvetica;sans-serif"/>
          <w:b w:val="false"/>
          <w:i w:val="false"/>
          <w:caps w:val="false"/>
          <w:smallCaps w:val="false"/>
          <w:color w:val="000000"/>
          <w:spacing w:val="4"/>
          <w:sz w:val="22"/>
        </w:rPr>
        <w:t xml:space="preserve"> </w:t>
      </w:r>
    </w:p>
    <w:tbl>
      <w:tblPr>
        <w:tblW w:w="10389" w:type="dxa"/>
        <w:jc w:val="left"/>
        <w:tblInd w:w="1140" w:type="dxa"/>
        <w:tblLayout w:type="fixed"/>
        <w:tblCellMar>
          <w:top w:w="0" w:type="dxa"/>
          <w:left w:w="0" w:type="dxa"/>
          <w:bottom w:w="0" w:type="dxa"/>
          <w:right w:w="0" w:type="dxa"/>
        </w:tblCellMar>
      </w:tblPr>
      <w:tblGrid>
        <w:gridCol w:w="124"/>
        <w:gridCol w:w="917"/>
        <w:gridCol w:w="109"/>
        <w:gridCol w:w="109"/>
        <w:gridCol w:w="1084"/>
        <w:gridCol w:w="109"/>
        <w:gridCol w:w="109"/>
        <w:gridCol w:w="109"/>
        <w:gridCol w:w="226"/>
        <w:gridCol w:w="1066"/>
        <w:gridCol w:w="109"/>
        <w:gridCol w:w="109"/>
        <w:gridCol w:w="109"/>
        <w:gridCol w:w="109"/>
        <w:gridCol w:w="226"/>
        <w:gridCol w:w="1066"/>
        <w:gridCol w:w="109"/>
        <w:gridCol w:w="109"/>
        <w:gridCol w:w="109"/>
        <w:gridCol w:w="109"/>
        <w:gridCol w:w="226"/>
        <w:gridCol w:w="766"/>
        <w:gridCol w:w="109"/>
        <w:gridCol w:w="109"/>
        <w:gridCol w:w="109"/>
        <w:gridCol w:w="1286"/>
        <w:gridCol w:w="109"/>
        <w:gridCol w:w="109"/>
        <w:gridCol w:w="1286"/>
        <w:gridCol w:w="154"/>
      </w:tblGrid>
      <w:tr>
        <w:trPr/>
        <w:tc>
          <w:tcPr>
            <w:tcW w:w="124" w:type="dxa"/>
            <w:tcBorders/>
            <w:shd w:fill="FF6A00" w:val="clear"/>
            <w:vAlign w:val="center"/>
          </w:tcPr>
          <w:p>
            <w:pPr>
              <w:pStyle w:val="TableContents"/>
              <w:bidi w:val="0"/>
              <w:spacing w:before="0" w:after="283"/>
              <w:jc w:val="left"/>
              <w:rPr/>
            </w:pPr>
            <w:r>
              <w:rPr/>
              <w:t>​</w:t>
            </w:r>
          </w:p>
        </w:tc>
        <w:tc>
          <w:tcPr>
            <w:tcW w:w="917" w:type="dxa"/>
            <w:tcBorders/>
            <w:shd w:fill="FF6A00" w:val="clear"/>
            <w:vAlign w:val="center"/>
          </w:tcPr>
          <w:p>
            <w:pPr>
              <w:pStyle w:val="TableContents"/>
              <w:bidi w:val="0"/>
              <w:spacing w:before="0" w:after="0"/>
              <w:jc w:val="left"/>
              <w:rPr/>
            </w:pPr>
            <w:r>
              <w:rPr>
                <w:spacing w:val="-2"/>
              </w:rPr>
              <w:t>Scenario</w:t>
            </w:r>
            <w:r>
              <w:rPr/>
              <w:t xml:space="preserve"> </w:t>
            </w:r>
          </w:p>
        </w:tc>
        <w:tc>
          <w:tcPr>
            <w:tcW w:w="109"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084" w:type="dxa"/>
            <w:tcBorders/>
            <w:shd w:fill="FF6A00" w:val="clear"/>
            <w:vAlign w:val="center"/>
          </w:tcPr>
          <w:p>
            <w:pPr>
              <w:pStyle w:val="TableContents"/>
              <w:bidi w:val="0"/>
              <w:spacing w:before="0" w:after="0"/>
              <w:jc w:val="center"/>
              <w:rPr>
                <w:spacing w:val="-2"/>
              </w:rPr>
            </w:pPr>
            <w:r>
              <w:rPr>
                <w:spacing w:val="-2"/>
              </w:rPr>
              <w:t xml:space="preserve">Severance </w:t>
              <w:br/>
              <w:t xml:space="preserve">Period </w:t>
            </w:r>
          </w:p>
        </w:tc>
        <w:tc>
          <w:tcPr>
            <w:tcW w:w="109"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510" w:type="dxa"/>
            <w:gridSpan w:val="4"/>
            <w:tcBorders/>
            <w:shd w:fill="FF6A00" w:val="clear"/>
            <w:vAlign w:val="center"/>
          </w:tcPr>
          <w:p>
            <w:pPr>
              <w:pStyle w:val="TableContents"/>
              <w:bidi w:val="0"/>
              <w:spacing w:before="0" w:after="0"/>
              <w:jc w:val="center"/>
              <w:rPr>
                <w:spacing w:val="-2"/>
              </w:rPr>
            </w:pPr>
            <w:r>
              <w:rPr>
                <w:spacing w:val="-2"/>
              </w:rPr>
              <w:t xml:space="preserve">Salary </w:t>
            </w:r>
          </w:p>
        </w:tc>
        <w:tc>
          <w:tcPr>
            <w:tcW w:w="109"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510" w:type="dxa"/>
            <w:gridSpan w:val="4"/>
            <w:tcBorders/>
            <w:shd w:fill="FF6A00" w:val="clear"/>
            <w:vAlign w:val="center"/>
          </w:tcPr>
          <w:p>
            <w:pPr>
              <w:pStyle w:val="TableContents"/>
              <w:bidi w:val="0"/>
              <w:spacing w:before="0" w:after="0"/>
              <w:jc w:val="center"/>
              <w:rPr>
                <w:spacing w:val="-2"/>
              </w:rPr>
            </w:pPr>
            <w:r>
              <w:rPr>
                <w:spacing w:val="-2"/>
              </w:rPr>
              <w:t xml:space="preserve">Bonus </w:t>
            </w:r>
          </w:p>
        </w:tc>
        <w:tc>
          <w:tcPr>
            <w:tcW w:w="109"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210" w:type="dxa"/>
            <w:gridSpan w:val="4"/>
            <w:tcBorders/>
            <w:shd w:fill="FF6A00" w:val="clear"/>
            <w:vAlign w:val="center"/>
          </w:tcPr>
          <w:p>
            <w:pPr>
              <w:pStyle w:val="TableContents"/>
              <w:bidi w:val="0"/>
              <w:spacing w:before="0" w:after="0"/>
              <w:jc w:val="center"/>
              <w:rPr>
                <w:spacing w:val="-2"/>
              </w:rPr>
            </w:pPr>
            <w:r>
              <w:rPr>
                <w:spacing w:val="-2"/>
              </w:rPr>
              <w:t xml:space="preserve">Benefits </w:t>
            </w:r>
          </w:p>
        </w:tc>
        <w:tc>
          <w:tcPr>
            <w:tcW w:w="109"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286" w:type="dxa"/>
            <w:tcBorders/>
            <w:shd w:fill="FF6A00" w:val="clear"/>
            <w:vAlign w:val="center"/>
          </w:tcPr>
          <w:p>
            <w:pPr>
              <w:pStyle w:val="TableContents"/>
              <w:bidi w:val="0"/>
              <w:spacing w:lineRule="atLeast" w:line="142" w:before="0" w:after="0"/>
              <w:jc w:val="center"/>
              <w:rPr/>
            </w:pPr>
            <w:r>
              <w:rPr>
                <w:spacing w:val="-2"/>
              </w:rPr>
              <w:t xml:space="preserve">Value of </w:t>
              <w:br/>
              <w:t xml:space="preserve">Accelerated </w:t>
              <w:br/>
              <w:t>Equity</w:t>
            </w:r>
            <w:r>
              <w:rPr>
                <w:spacing w:val="-2"/>
                <w:sz w:val="13"/>
              </w:rPr>
              <w:t>(1)</w:t>
            </w:r>
            <w:r>
              <w:rPr/>
              <w:t xml:space="preserve"> </w:t>
            </w:r>
          </w:p>
        </w:tc>
        <w:tc>
          <w:tcPr>
            <w:tcW w:w="109"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286" w:type="dxa"/>
            <w:tcBorders/>
            <w:shd w:fill="FF6A00" w:val="clear"/>
            <w:vAlign w:val="center"/>
          </w:tcPr>
          <w:p>
            <w:pPr>
              <w:pStyle w:val="TableContents"/>
              <w:bidi w:val="0"/>
              <w:spacing w:before="0" w:after="0"/>
              <w:jc w:val="center"/>
              <w:rPr>
                <w:spacing w:val="-2"/>
              </w:rPr>
            </w:pPr>
            <w:r>
              <w:rPr>
                <w:spacing w:val="-2"/>
              </w:rPr>
              <w:t xml:space="preserve">Total </w:t>
              <w:br/>
              <w:t xml:space="preserve">Severance </w:t>
            </w:r>
          </w:p>
        </w:tc>
        <w:tc>
          <w:tcPr>
            <w:tcW w:w="154" w:type="dxa"/>
            <w:tcBorders/>
            <w:shd w:fill="FF6A00"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17" w:type="dxa"/>
            <w:tcBorders/>
            <w:vAlign w:val="center"/>
          </w:tcPr>
          <w:p>
            <w:pPr>
              <w:pStyle w:val="TableContents"/>
              <w:bidi w:val="0"/>
              <w:spacing w:before="0" w:after="0"/>
              <w:ind w:left="200" w:right="0" w:hanging="200"/>
              <w:jc w:val="left"/>
              <w:rPr/>
            </w:pPr>
            <w:r>
              <w:rPr>
                <w:spacing w:val="-2"/>
              </w:rPr>
              <w:t xml:space="preserve">Absent Change in </w:t>
              <w:br/>
              <w:t>Control</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84" w:type="dxa"/>
            <w:tcBorders/>
            <w:vAlign w:val="center"/>
          </w:tcPr>
          <w:p>
            <w:pPr>
              <w:pStyle w:val="TableContents"/>
              <w:bidi w:val="0"/>
              <w:spacing w:before="0" w:after="0"/>
              <w:jc w:val="center"/>
              <w:rPr>
                <w:spacing w:val="-2"/>
              </w:rPr>
            </w:pPr>
            <w:r>
              <w:rPr>
                <w:spacing w:val="-2"/>
              </w:rPr>
              <w:t xml:space="preserve">24 months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2,200,000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2,970,000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28,450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86" w:type="dxa"/>
            <w:tcBorders/>
            <w:vAlign w:val="center"/>
          </w:tcPr>
          <w:p>
            <w:pPr>
              <w:pStyle w:val="TableContents"/>
              <w:bidi w:val="0"/>
              <w:spacing w:before="0" w:after="0"/>
              <w:jc w:val="right"/>
              <w:rPr/>
            </w:pPr>
            <w:r>
              <w:rPr>
                <w:spacing w:val="-2"/>
              </w:rPr>
              <w:t>$1,690,134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86" w:type="dxa"/>
            <w:tcBorders/>
            <w:vAlign w:val="center"/>
          </w:tcPr>
          <w:p>
            <w:pPr>
              <w:pStyle w:val="TableContents"/>
              <w:bidi w:val="0"/>
              <w:spacing w:before="0" w:after="0"/>
              <w:jc w:val="right"/>
              <w:rPr/>
            </w:pPr>
            <w:r>
              <w:rPr>
                <w:spacing w:val="-2"/>
              </w:rPr>
              <w:t>$6,888,584</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917" w:type="dxa"/>
            <w:tcBorders>
              <w:bottom w:val="single" w:sz="2" w:space="0" w:color="000000"/>
            </w:tcBorders>
            <w:shd w:fill="B2B2B2" w:val="clear"/>
            <w:tcMar>
              <w:bottom w:w="28" w:type="dxa"/>
            </w:tcMar>
            <w:vAlign w:val="center"/>
          </w:tcPr>
          <w:p>
            <w:pPr>
              <w:pStyle w:val="TableContents"/>
              <w:bidi w:val="0"/>
              <w:spacing w:before="0" w:after="0"/>
              <w:ind w:left="200" w:right="0" w:hanging="200"/>
              <w:jc w:val="left"/>
              <w:rPr/>
            </w:pPr>
            <w:r>
              <w:rPr>
                <w:spacing w:val="-2"/>
              </w:rPr>
              <w:t xml:space="preserve">Result of Change </w:t>
              <w:br/>
              <w:t>in Control</w:t>
            </w:r>
            <w:r>
              <w:rPr/>
              <w:t xml:space="preserve"> </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84" w:type="dxa"/>
            <w:tcBorders>
              <w:bottom w:val="single" w:sz="2" w:space="0" w:color="000000"/>
            </w:tcBorders>
            <w:shd w:fill="B2B2B2" w:val="clear"/>
            <w:tcMar>
              <w:bottom w:w="28" w:type="dxa"/>
            </w:tcMar>
            <w:vAlign w:val="center"/>
          </w:tcPr>
          <w:p>
            <w:pPr>
              <w:pStyle w:val="TableContents"/>
              <w:bidi w:val="0"/>
              <w:spacing w:before="0" w:after="0"/>
              <w:jc w:val="center"/>
              <w:rPr/>
            </w:pPr>
            <w:r>
              <w:rPr>
                <w:spacing w:val="-2"/>
              </w:rPr>
              <w:t>24 months</w:t>
            </w:r>
            <w:r>
              <w:rPr/>
              <w:t xml:space="preserve"> </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B2B2B2" w:val="clear"/>
            <w:tcMar>
              <w:bottom w:w="28" w:type="dxa"/>
            </w:tcMar>
            <w:vAlign w:val="center"/>
          </w:tcPr>
          <w:p>
            <w:pPr>
              <w:pStyle w:val="TableContents"/>
              <w:bidi w:val="0"/>
              <w:spacing w:before="0" w:after="283"/>
              <w:jc w:val="right"/>
              <w:rPr/>
            </w:pPr>
            <w:r>
              <w:rPr/>
              <w:t>$</w:t>
            </w:r>
          </w:p>
        </w:tc>
        <w:tc>
          <w:tcPr>
            <w:tcW w:w="1066" w:type="dxa"/>
            <w:tcBorders>
              <w:bottom w:val="single" w:sz="2" w:space="0" w:color="000000"/>
            </w:tcBorders>
            <w:shd w:fill="B2B2B2" w:val="clear"/>
            <w:tcMar>
              <w:bottom w:w="28" w:type="dxa"/>
            </w:tcMar>
            <w:vAlign w:val="center"/>
          </w:tcPr>
          <w:p>
            <w:pPr>
              <w:pStyle w:val="TableContents"/>
              <w:bidi w:val="0"/>
              <w:spacing w:before="0" w:after="283"/>
              <w:jc w:val="right"/>
              <w:rPr/>
            </w:pPr>
            <w:r>
              <w:rPr/>
              <w:t>2,200,000</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B2B2B2" w:val="clear"/>
            <w:tcMar>
              <w:bottom w:w="28" w:type="dxa"/>
            </w:tcMar>
            <w:vAlign w:val="center"/>
          </w:tcPr>
          <w:p>
            <w:pPr>
              <w:pStyle w:val="TableContents"/>
              <w:bidi w:val="0"/>
              <w:spacing w:before="0" w:after="283"/>
              <w:jc w:val="right"/>
              <w:rPr/>
            </w:pPr>
            <w:r>
              <w:rPr/>
              <w:t>$</w:t>
            </w:r>
          </w:p>
        </w:tc>
        <w:tc>
          <w:tcPr>
            <w:tcW w:w="1066" w:type="dxa"/>
            <w:tcBorders>
              <w:bottom w:val="single" w:sz="2" w:space="0" w:color="000000"/>
            </w:tcBorders>
            <w:shd w:fill="B2B2B2" w:val="clear"/>
            <w:tcMar>
              <w:bottom w:w="28" w:type="dxa"/>
            </w:tcMar>
            <w:vAlign w:val="center"/>
          </w:tcPr>
          <w:p>
            <w:pPr>
              <w:pStyle w:val="TableContents"/>
              <w:bidi w:val="0"/>
              <w:spacing w:before="0" w:after="283"/>
              <w:jc w:val="right"/>
              <w:rPr/>
            </w:pPr>
            <w:r>
              <w:rPr/>
              <w:t>2,970,000</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B2B2B2" w:val="clear"/>
            <w:tcMar>
              <w:bottom w:w="28" w:type="dxa"/>
            </w:tcMar>
            <w:vAlign w:val="center"/>
          </w:tcPr>
          <w:p>
            <w:pPr>
              <w:pStyle w:val="TableContents"/>
              <w:bidi w:val="0"/>
              <w:spacing w:before="0" w:after="283"/>
              <w:jc w:val="right"/>
              <w:rPr/>
            </w:pPr>
            <w:r>
              <w:rPr/>
              <w:t>$</w:t>
            </w:r>
          </w:p>
        </w:tc>
        <w:tc>
          <w:tcPr>
            <w:tcW w:w="766" w:type="dxa"/>
            <w:tcBorders>
              <w:bottom w:val="single" w:sz="2" w:space="0" w:color="000000"/>
            </w:tcBorders>
            <w:shd w:fill="B2B2B2" w:val="clear"/>
            <w:tcMar>
              <w:bottom w:w="28" w:type="dxa"/>
            </w:tcMar>
            <w:vAlign w:val="center"/>
          </w:tcPr>
          <w:p>
            <w:pPr>
              <w:pStyle w:val="TableContents"/>
              <w:bidi w:val="0"/>
              <w:spacing w:before="0" w:after="283"/>
              <w:jc w:val="right"/>
              <w:rPr/>
            </w:pPr>
            <w:r>
              <w:rPr/>
              <w:t>28,450</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286" w:type="dxa"/>
            <w:tcBorders>
              <w:bottom w:val="single" w:sz="2" w:space="0" w:color="000000"/>
            </w:tcBorders>
            <w:shd w:fill="B2B2B2" w:val="clear"/>
            <w:tcMar>
              <w:bottom w:w="28" w:type="dxa"/>
            </w:tcMar>
            <w:vAlign w:val="center"/>
          </w:tcPr>
          <w:p>
            <w:pPr>
              <w:pStyle w:val="TableContents"/>
              <w:bidi w:val="0"/>
              <w:spacing w:before="0" w:after="0"/>
              <w:jc w:val="right"/>
              <w:rPr/>
            </w:pPr>
            <w:r>
              <w:rPr>
                <w:spacing w:val="-2"/>
              </w:rPr>
              <w:t>$14,134,102</w:t>
            </w:r>
            <w:r>
              <w:rPr/>
              <w:t xml:space="preserve"> </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286" w:type="dxa"/>
            <w:tcBorders>
              <w:bottom w:val="single" w:sz="2" w:space="0" w:color="000000"/>
            </w:tcBorders>
            <w:shd w:fill="B2B2B2" w:val="clear"/>
            <w:tcMar>
              <w:bottom w:w="28" w:type="dxa"/>
            </w:tcMar>
            <w:vAlign w:val="center"/>
          </w:tcPr>
          <w:p>
            <w:pPr>
              <w:pStyle w:val="TableContents"/>
              <w:bidi w:val="0"/>
              <w:spacing w:before="0" w:after="0"/>
              <w:jc w:val="right"/>
              <w:rPr/>
            </w:pPr>
            <w:r>
              <w:rPr>
                <w:spacing w:val="-2"/>
              </w:rPr>
              <w:t>$19,332,552</w:t>
            </w:r>
            <w:r>
              <w:rPr/>
              <w:t xml:space="preserve"> </w:t>
            </w:r>
          </w:p>
        </w:tc>
        <w:tc>
          <w:tcPr>
            <w:tcW w:w="154"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307"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98" descr=""/>
                          <pic:cNvPicPr>
                            <a:picLocks noChangeAspect="1" noChangeArrowheads="1"/>
                          </pic:cNvPicPr>
                        </pic:nvPicPr>
                        <pic:blipFill>
                          <a:blip r:embed="rId110"/>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50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caps w:val="false"/>
          <w:smallCaps w:val="false"/>
          <w:color w:val="FF6A00"/>
        </w:rPr>
      </w:pPr>
      <w:r>
        <w:rPr>
          <w:caps w:val="false"/>
          <w:smallCaps w:val="false"/>
          <w:color w:val="FF6A00"/>
          <w:spacing w:val="-2"/>
        </w:rPr>
        <w:t> </w:t>
      </w:r>
      <w:r>
        <w:rPr>
          <w:caps w:val="false"/>
          <w:smallCaps w:val="false"/>
          <w:color w:val="FF6A00"/>
        </w:rPr>
        <w:t xml:space="preserve"> </w:t>
      </w:r>
    </w:p>
    <w:p>
      <w:pPr>
        <w:pStyle w:val="TextBody"/>
        <w:bidi w:val="0"/>
        <w:spacing w:lineRule="atLeast" w:line="260" w:before="480" w:after="283"/>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In the event Mr. Jagdfeld is terminated by us without Cause or by Mr. Jagdfeld for Good Reason, his outstanding restricted stock and stock options, awarded prior to 2025, shall continue to vest for one additional year from the date of such termination of employment. Outstanding restricted stock and stock options awarded in 2025 will forfeit upon termination of employment. In the event that Mr. Jagdfeld’s employment is terminated by us without Cause or by Mr. Jagdfeld for Good Reason following a change in control, his outstanding equity shall accelerate, with performance-based awards vesting at target.</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0" distB="0" distL="0" distR="0" simplePos="0" locked="0" layoutInCell="1" allowOverlap="1" relativeHeight="330">
                <wp:simplePos x="0" y="0"/>
                <wp:positionH relativeFrom="column">
                  <wp:align>left</wp:align>
                </wp:positionH>
                <wp:positionV relativeFrom="line">
                  <wp:posOffset>635</wp:posOffset>
                </wp:positionV>
                <wp:extent cx="254000" cy="350520"/>
                <wp:effectExtent l="0" t="0" r="0" b="0"/>
                <wp:wrapSquare wrapText="right"/>
                <wp:docPr id="308" name="Frame1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6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60"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Simultaneously with the execution of Mr. Jagdfeld’s employment agreement, we entered into a confidentiality, non-competition and intellectual property agreement (“Restrictive Covenant Agreement”) with Mr. Jagdfeld. Pursuant to the Restrictive Covenant Agreement, Mr. Jagdfeld has agreed to maintain Confidential Information (as defined in the Restrictive Covenant Agreement) in confidence and secrecy and has agreed not to compete with us or solicit any of our employees during his employment and for a period of 24 months following his termination.</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60" w:before="240" w:after="283"/>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2"/>
          <w:sz w:val="22"/>
        </w:rPr>
        <w:t>Executive Change in Control Policy</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6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All executive officers, other than the CEO, are participants under the Company’s Executive Change in Control Policy (“CIC Policy”). Under the CIC Policy, an eligible executive is entitled to severance benefits only if employment is terminated without Cause or for Good Reason during the Protection period, which is 24 months from the date of the Change in Control. “Cause” means the Executive’s willful and continued failure to substantially perform duties (other than due to disability) after written notice and failure to cure within a specified period, conviction of or plea to a felony or crime involving moral turpitude, gross negligence or willful misconduct (including material policy violations), fraud or other material dishonesty or breach of fiduciary duty, drug addiction or habitual intoxication or ethics violations that materially impair performance or harm the Company, or any material breach of an agreement with the Company. “Good Reason” means, without the Executive’s express written consent and during the applicable protection period, (i) a reduction of more than 5% in base salary or target annual bonus opportunity (excluding across-the-board reductions affecting all executive officers), (ii) a material diminution of duties, authority, status, title, or reporting responsibilities inconsistent with the Executive’s position, or (iii) relocation of the Executive’s principal office more than 50 miles from its location immediately prior to a Change in Control.</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6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 Change in Control generally includes the acquisition of more than 50% of the Company’s voting power, significant turnover of the Board, certain mergers or asset sales, or stockholder approval of a liquidation.</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6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Upon a qualifying termination during the protection period, the executive is entitled to: (i) any earned but unpaid salary, vacation pay, and prior-year bonus; (ii) a lump-sum payment equal to two times the sum of annual base salary and target bonus; (iii) 24 months of continued medical, dental, and life insurance benefits; and (iv) accelerated vesting of outstanding equity awards in accordance with applicable award agreements, with performance-based awards vesting at target. The CIC Policy does not include excise-tax gross-ups.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6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Messrs. Ragen, Taffe, Wilde, and Kanuru have also executed standard employee nondisclosure and noncompete agreements that apply outside of the CIC Policy.</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60" w:before="120" w:after="283"/>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Under the CIC Policy, if we had terminated the employment of Messrs. Ragen, Taffe, Wilde, or Kanuru without Cause or if they terminated their employment for Good Reason on December 31, </w:t>
      </w:r>
    </w:p>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30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99" descr=""/>
                          <pic:cNvPicPr>
                            <a:picLocks noChangeAspect="1" noChangeArrowheads="1"/>
                          </pic:cNvPicPr>
                        </pic:nvPicPr>
                        <pic:blipFill>
                          <a:blip r:embed="rId111"/>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51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caps w:val="false"/>
          <w:smallCaps w:val="false"/>
          <w:color w:val="FF6A00"/>
        </w:rPr>
      </w:pPr>
      <w:r>
        <w:rPr>
          <w:caps w:val="false"/>
          <w:smallCaps w:val="false"/>
          <w:color w:val="FF6A00"/>
          <w:spacing w:val="-2"/>
        </w:rPr>
        <w:t> </w:t>
      </w:r>
      <w:r>
        <w:rPr>
          <w:caps w:val="false"/>
          <w:smallCaps w:val="false"/>
          <w:color w:val="FF6A00"/>
        </w:rPr>
        <w:t xml:space="preserve"> </w:t>
      </w:r>
    </w:p>
    <w:p>
      <w:pPr>
        <w:pStyle w:val="TextBody"/>
        <w:bidi w:val="0"/>
        <w:spacing w:lineRule="atLeast" w:line="250" w:before="480" w:after="283"/>
        <w:ind w:left="11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2025 and such date was within a Protection Period, they would have been entitled to the amounts set forth in the following table:</w:t>
      </w:r>
      <w:r>
        <w:rPr>
          <w:rFonts w:ascii="Arial;Helvetica;sans-serif" w:hAnsi="Arial;Helvetica;sans-serif"/>
          <w:b w:val="false"/>
          <w:i w:val="false"/>
          <w:caps w:val="false"/>
          <w:smallCaps w:val="false"/>
          <w:color w:val="000000"/>
          <w:spacing w:val="4"/>
          <w:sz w:val="22"/>
        </w:rPr>
        <w:t xml:space="preserve"> </w:t>
      </w:r>
    </w:p>
    <w:tbl>
      <w:tblPr>
        <w:tblW w:w="10756" w:type="dxa"/>
        <w:jc w:val="left"/>
        <w:tblInd w:w="1140" w:type="dxa"/>
        <w:tblLayout w:type="fixed"/>
        <w:tblCellMar>
          <w:top w:w="0" w:type="dxa"/>
          <w:left w:w="0" w:type="dxa"/>
          <w:bottom w:w="0" w:type="dxa"/>
          <w:right w:w="0" w:type="dxa"/>
        </w:tblCellMar>
      </w:tblPr>
      <w:tblGrid>
        <w:gridCol w:w="124"/>
        <w:gridCol w:w="1035"/>
        <w:gridCol w:w="109"/>
        <w:gridCol w:w="109"/>
        <w:gridCol w:w="1065"/>
        <w:gridCol w:w="109"/>
        <w:gridCol w:w="109"/>
        <w:gridCol w:w="109"/>
        <w:gridCol w:w="226"/>
        <w:gridCol w:w="1066"/>
        <w:gridCol w:w="109"/>
        <w:gridCol w:w="109"/>
        <w:gridCol w:w="109"/>
        <w:gridCol w:w="109"/>
        <w:gridCol w:w="226"/>
        <w:gridCol w:w="886"/>
        <w:gridCol w:w="109"/>
        <w:gridCol w:w="109"/>
        <w:gridCol w:w="109"/>
        <w:gridCol w:w="109"/>
        <w:gridCol w:w="226"/>
        <w:gridCol w:w="766"/>
        <w:gridCol w:w="109"/>
        <w:gridCol w:w="109"/>
        <w:gridCol w:w="109"/>
        <w:gridCol w:w="109"/>
        <w:gridCol w:w="226"/>
        <w:gridCol w:w="1066"/>
        <w:gridCol w:w="109"/>
        <w:gridCol w:w="109"/>
        <w:gridCol w:w="109"/>
        <w:gridCol w:w="109"/>
        <w:gridCol w:w="226"/>
        <w:gridCol w:w="1066"/>
        <w:gridCol w:w="109"/>
        <w:gridCol w:w="154"/>
      </w:tblGrid>
      <w:tr>
        <w:trPr/>
        <w:tc>
          <w:tcPr>
            <w:tcW w:w="124" w:type="dxa"/>
            <w:tcBorders/>
            <w:shd w:fill="FF6A00" w:val="clear"/>
            <w:vAlign w:val="center"/>
          </w:tcPr>
          <w:p>
            <w:pPr>
              <w:pStyle w:val="TableContents"/>
              <w:bidi w:val="0"/>
              <w:spacing w:before="0" w:after="283"/>
              <w:jc w:val="left"/>
              <w:rPr/>
            </w:pPr>
            <w:r>
              <w:rPr/>
              <w:t>​</w:t>
            </w:r>
          </w:p>
        </w:tc>
        <w:tc>
          <w:tcPr>
            <w:tcW w:w="1035" w:type="dxa"/>
            <w:tcBorders/>
            <w:shd w:fill="FF6A00" w:val="clear"/>
            <w:vAlign w:val="center"/>
          </w:tcPr>
          <w:p>
            <w:pPr>
              <w:pStyle w:val="TableContents"/>
              <w:bidi w:val="0"/>
              <w:spacing w:before="0" w:after="0"/>
              <w:jc w:val="left"/>
              <w:rPr>
                <w:spacing w:val="-2"/>
              </w:rPr>
            </w:pPr>
            <w:r>
              <w:rPr>
                <w:spacing w:val="-2"/>
              </w:rPr>
              <w:t xml:space="preserve">Executive </w:t>
            </w:r>
          </w:p>
        </w:tc>
        <w:tc>
          <w:tcPr>
            <w:tcW w:w="109"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065" w:type="dxa"/>
            <w:tcBorders/>
            <w:shd w:fill="FF6A00" w:val="clear"/>
            <w:vAlign w:val="center"/>
          </w:tcPr>
          <w:p>
            <w:pPr>
              <w:pStyle w:val="TableContents"/>
              <w:bidi w:val="0"/>
              <w:spacing w:before="0" w:after="0"/>
              <w:jc w:val="center"/>
              <w:rPr>
                <w:spacing w:val="-2"/>
              </w:rPr>
            </w:pPr>
            <w:r>
              <w:rPr>
                <w:spacing w:val="-2"/>
              </w:rPr>
              <w:t xml:space="preserve">Change in </w:t>
              <w:br/>
              <w:t xml:space="preserve">Control </w:t>
              <w:br/>
              <w:t xml:space="preserve">Severance </w:t>
              <w:br/>
              <w:t xml:space="preserve">Period </w:t>
              <w:br/>
              <w:t xml:space="preserve">(in months) </w:t>
            </w:r>
          </w:p>
        </w:tc>
        <w:tc>
          <w:tcPr>
            <w:tcW w:w="109"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510" w:type="dxa"/>
            <w:gridSpan w:val="4"/>
            <w:tcBorders/>
            <w:shd w:fill="FF6A00" w:val="clear"/>
            <w:vAlign w:val="center"/>
          </w:tcPr>
          <w:p>
            <w:pPr>
              <w:pStyle w:val="TableContents"/>
              <w:bidi w:val="0"/>
              <w:spacing w:before="0" w:after="0"/>
              <w:jc w:val="center"/>
              <w:rPr>
                <w:spacing w:val="-2"/>
              </w:rPr>
            </w:pPr>
            <w:r>
              <w:rPr>
                <w:spacing w:val="-2"/>
              </w:rPr>
              <w:t xml:space="preserve">Salary </w:t>
            </w:r>
          </w:p>
        </w:tc>
        <w:tc>
          <w:tcPr>
            <w:tcW w:w="109"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330" w:type="dxa"/>
            <w:gridSpan w:val="4"/>
            <w:tcBorders/>
            <w:shd w:fill="FF6A00" w:val="clear"/>
            <w:vAlign w:val="center"/>
          </w:tcPr>
          <w:p>
            <w:pPr>
              <w:pStyle w:val="TableContents"/>
              <w:bidi w:val="0"/>
              <w:spacing w:before="0" w:after="0"/>
              <w:jc w:val="center"/>
              <w:rPr>
                <w:spacing w:val="-2"/>
              </w:rPr>
            </w:pPr>
            <w:r>
              <w:rPr>
                <w:spacing w:val="-2"/>
              </w:rPr>
              <w:t xml:space="preserve">Bonus </w:t>
            </w:r>
          </w:p>
        </w:tc>
        <w:tc>
          <w:tcPr>
            <w:tcW w:w="109"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210" w:type="dxa"/>
            <w:gridSpan w:val="4"/>
            <w:tcBorders/>
            <w:shd w:fill="FF6A00" w:val="clear"/>
            <w:vAlign w:val="center"/>
          </w:tcPr>
          <w:p>
            <w:pPr>
              <w:pStyle w:val="TableContents"/>
              <w:bidi w:val="0"/>
              <w:spacing w:before="0" w:after="0"/>
              <w:jc w:val="center"/>
              <w:rPr>
                <w:spacing w:val="-2"/>
              </w:rPr>
            </w:pPr>
            <w:r>
              <w:rPr>
                <w:spacing w:val="-2"/>
              </w:rPr>
              <w:t xml:space="preserve">Benefits </w:t>
            </w:r>
          </w:p>
        </w:tc>
        <w:tc>
          <w:tcPr>
            <w:tcW w:w="109"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510" w:type="dxa"/>
            <w:gridSpan w:val="4"/>
            <w:tcBorders/>
            <w:shd w:fill="FF6A00" w:val="clear"/>
            <w:vAlign w:val="center"/>
          </w:tcPr>
          <w:p>
            <w:pPr>
              <w:pStyle w:val="TableContents"/>
              <w:bidi w:val="0"/>
              <w:spacing w:lineRule="atLeast" w:line="142" w:before="0" w:after="0"/>
              <w:jc w:val="center"/>
              <w:rPr/>
            </w:pPr>
            <w:r>
              <w:rPr>
                <w:spacing w:val="-2"/>
              </w:rPr>
              <w:t xml:space="preserve">Value of </w:t>
              <w:br/>
              <w:t xml:space="preserve">Accelerated </w:t>
              <w:br/>
              <w:t>Equity</w:t>
            </w:r>
            <w:r>
              <w:rPr>
                <w:spacing w:val="-2"/>
                <w:sz w:val="13"/>
              </w:rPr>
              <w:t>(1)</w:t>
            </w:r>
            <w:r>
              <w:rPr/>
              <w:t xml:space="preserve"> </w:t>
            </w:r>
          </w:p>
        </w:tc>
        <w:tc>
          <w:tcPr>
            <w:tcW w:w="109"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510" w:type="dxa"/>
            <w:gridSpan w:val="4"/>
            <w:tcBorders/>
            <w:shd w:fill="FF6A00" w:val="clear"/>
            <w:vAlign w:val="center"/>
          </w:tcPr>
          <w:p>
            <w:pPr>
              <w:pStyle w:val="TableContents"/>
              <w:bidi w:val="0"/>
              <w:spacing w:before="0" w:after="0"/>
              <w:jc w:val="center"/>
              <w:rPr>
                <w:spacing w:val="-2"/>
              </w:rPr>
            </w:pPr>
            <w:r>
              <w:rPr>
                <w:spacing w:val="-2"/>
              </w:rPr>
              <w:t xml:space="preserve">Total </w:t>
              <w:br/>
              <w:t xml:space="preserve">Severance </w:t>
            </w:r>
          </w:p>
        </w:tc>
        <w:tc>
          <w:tcPr>
            <w:tcW w:w="154" w:type="dxa"/>
            <w:tcBorders/>
            <w:shd w:fill="FF6A00"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35" w:type="dxa"/>
            <w:tcBorders/>
            <w:vAlign w:val="center"/>
          </w:tcPr>
          <w:p>
            <w:pPr>
              <w:pStyle w:val="TableContents"/>
              <w:bidi w:val="0"/>
              <w:spacing w:before="0" w:after="283"/>
              <w:jc w:val="left"/>
              <w:rPr>
                <w:spacing w:val="-2"/>
              </w:rPr>
            </w:pPr>
            <w:r>
              <w:rPr>
                <w:spacing w:val="-2"/>
              </w:rPr>
              <w:t xml:space="preserve">York Ragen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5" w:type="dxa"/>
            <w:tcBorders/>
            <w:vAlign w:val="center"/>
          </w:tcPr>
          <w:p>
            <w:pPr>
              <w:pStyle w:val="TableContents"/>
              <w:bidi w:val="0"/>
              <w:spacing w:before="0" w:after="0"/>
              <w:jc w:val="center"/>
              <w:rPr>
                <w:spacing w:val="-2"/>
              </w:rPr>
            </w:pPr>
            <w:r>
              <w:rPr>
                <w:spacing w:val="-2"/>
              </w:rPr>
              <w:t xml:space="preserve">24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1,156,000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982,600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31,330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 xml:space="preserve">3,020,206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 xml:space="preserve">5,190,136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B2B2B2" w:val="clear"/>
            <w:vAlign w:val="center"/>
          </w:tcPr>
          <w:p>
            <w:pPr>
              <w:pStyle w:val="TableContents"/>
              <w:bidi w:val="0"/>
              <w:spacing w:before="0" w:after="283"/>
              <w:jc w:val="left"/>
              <w:rPr/>
            </w:pPr>
            <w:r>
              <w:rPr/>
              <w:t>​</w:t>
            </w:r>
          </w:p>
        </w:tc>
        <w:tc>
          <w:tcPr>
            <w:tcW w:w="1035" w:type="dxa"/>
            <w:tcBorders/>
            <w:shd w:fill="B2B2B2" w:val="clear"/>
            <w:vAlign w:val="center"/>
          </w:tcPr>
          <w:p>
            <w:pPr>
              <w:pStyle w:val="TableContents"/>
              <w:bidi w:val="0"/>
              <w:spacing w:before="0" w:after="283"/>
              <w:jc w:val="left"/>
              <w:rPr>
                <w:spacing w:val="-2"/>
              </w:rPr>
            </w:pPr>
            <w:r>
              <w:rPr>
                <w:spacing w:val="-2"/>
              </w:rPr>
              <w:t xml:space="preserve">Norman Taffe </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65" w:type="dxa"/>
            <w:tcBorders/>
            <w:shd w:fill="B2B2B2" w:val="clear"/>
            <w:vAlign w:val="center"/>
          </w:tcPr>
          <w:p>
            <w:pPr>
              <w:pStyle w:val="TableContents"/>
              <w:bidi w:val="0"/>
              <w:spacing w:before="0" w:after="0"/>
              <w:jc w:val="center"/>
              <w:rPr>
                <w:spacing w:val="-2"/>
              </w:rPr>
            </w:pPr>
            <w:r>
              <w:rPr>
                <w:spacing w:val="-2"/>
              </w:rPr>
              <w:t xml:space="preserve">24 </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226" w:type="dxa"/>
            <w:tcBorders/>
            <w:shd w:fill="B2B2B2" w:val="clear"/>
            <w:vAlign w:val="center"/>
          </w:tcPr>
          <w:p>
            <w:pPr>
              <w:pStyle w:val="TableContents"/>
              <w:bidi w:val="0"/>
              <w:spacing w:before="0" w:after="283"/>
              <w:jc w:val="right"/>
              <w:rPr/>
            </w:pPr>
            <w:r>
              <w:rPr/>
              <w:t>$</w:t>
            </w:r>
          </w:p>
        </w:tc>
        <w:tc>
          <w:tcPr>
            <w:tcW w:w="1066" w:type="dxa"/>
            <w:tcBorders/>
            <w:shd w:fill="B2B2B2" w:val="clear"/>
            <w:vAlign w:val="center"/>
          </w:tcPr>
          <w:p>
            <w:pPr>
              <w:pStyle w:val="TableContents"/>
              <w:bidi w:val="0"/>
              <w:spacing w:before="0" w:after="283"/>
              <w:jc w:val="right"/>
              <w:rPr/>
            </w:pPr>
            <w:r>
              <w:rPr/>
              <w:t>932,000</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226" w:type="dxa"/>
            <w:tcBorders/>
            <w:shd w:fill="B2B2B2" w:val="clear"/>
            <w:vAlign w:val="center"/>
          </w:tcPr>
          <w:p>
            <w:pPr>
              <w:pStyle w:val="TableContents"/>
              <w:bidi w:val="0"/>
              <w:spacing w:before="0" w:after="283"/>
              <w:jc w:val="right"/>
              <w:rPr/>
            </w:pPr>
            <w:r>
              <w:rPr/>
              <w:t>$</w:t>
            </w:r>
          </w:p>
        </w:tc>
        <w:tc>
          <w:tcPr>
            <w:tcW w:w="886" w:type="dxa"/>
            <w:tcBorders/>
            <w:shd w:fill="B2B2B2" w:val="clear"/>
            <w:vAlign w:val="center"/>
          </w:tcPr>
          <w:p>
            <w:pPr>
              <w:pStyle w:val="TableContents"/>
              <w:bidi w:val="0"/>
              <w:spacing w:before="0" w:after="283"/>
              <w:jc w:val="right"/>
              <w:rPr/>
            </w:pPr>
            <w:r>
              <w:rPr/>
              <w:t>745,600</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226" w:type="dxa"/>
            <w:tcBorders/>
            <w:shd w:fill="B2B2B2" w:val="clear"/>
            <w:vAlign w:val="center"/>
          </w:tcPr>
          <w:p>
            <w:pPr>
              <w:pStyle w:val="TableContents"/>
              <w:bidi w:val="0"/>
              <w:spacing w:before="0" w:after="283"/>
              <w:jc w:val="right"/>
              <w:rPr/>
            </w:pPr>
            <w:r>
              <w:rPr/>
              <w:t>$</w:t>
            </w:r>
          </w:p>
        </w:tc>
        <w:tc>
          <w:tcPr>
            <w:tcW w:w="766" w:type="dxa"/>
            <w:tcBorders/>
            <w:shd w:fill="B2B2B2" w:val="clear"/>
            <w:vAlign w:val="center"/>
          </w:tcPr>
          <w:p>
            <w:pPr>
              <w:pStyle w:val="TableContents"/>
              <w:bidi w:val="0"/>
              <w:spacing w:before="0" w:after="283"/>
              <w:jc w:val="right"/>
              <w:rPr/>
            </w:pPr>
            <w:r>
              <w:rPr/>
              <w:t>26,909</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226" w:type="dxa"/>
            <w:tcBorders/>
            <w:shd w:fill="B2B2B2" w:val="clear"/>
            <w:vAlign w:val="center"/>
          </w:tcPr>
          <w:p>
            <w:pPr>
              <w:pStyle w:val="TableContents"/>
              <w:bidi w:val="0"/>
              <w:spacing w:before="0" w:after="283"/>
              <w:jc w:val="right"/>
              <w:rPr/>
            </w:pPr>
            <w:r>
              <w:rPr/>
              <w:t>$</w:t>
            </w:r>
          </w:p>
        </w:tc>
        <w:tc>
          <w:tcPr>
            <w:tcW w:w="1066" w:type="dxa"/>
            <w:tcBorders/>
            <w:shd w:fill="B2B2B2" w:val="clear"/>
            <w:vAlign w:val="center"/>
          </w:tcPr>
          <w:p>
            <w:pPr>
              <w:pStyle w:val="TableContents"/>
              <w:bidi w:val="0"/>
              <w:spacing w:before="0" w:after="283"/>
              <w:jc w:val="right"/>
              <w:rPr/>
            </w:pPr>
            <w:r>
              <w:rPr/>
              <w:t xml:space="preserve">6,410,399 </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226" w:type="dxa"/>
            <w:tcBorders/>
            <w:shd w:fill="B2B2B2" w:val="clear"/>
            <w:vAlign w:val="center"/>
          </w:tcPr>
          <w:p>
            <w:pPr>
              <w:pStyle w:val="TableContents"/>
              <w:bidi w:val="0"/>
              <w:spacing w:before="0" w:after="283"/>
              <w:jc w:val="right"/>
              <w:rPr/>
            </w:pPr>
            <w:r>
              <w:rPr/>
              <w:t>$</w:t>
            </w:r>
          </w:p>
        </w:tc>
        <w:tc>
          <w:tcPr>
            <w:tcW w:w="1066" w:type="dxa"/>
            <w:tcBorders/>
            <w:shd w:fill="B2B2B2" w:val="clear"/>
            <w:vAlign w:val="center"/>
          </w:tcPr>
          <w:p>
            <w:pPr>
              <w:pStyle w:val="TableContents"/>
              <w:bidi w:val="0"/>
              <w:spacing w:before="0" w:after="283"/>
              <w:jc w:val="right"/>
              <w:rPr/>
            </w:pPr>
            <w:r>
              <w:rPr/>
              <w:t xml:space="preserve">8,114,908 </w:t>
            </w:r>
          </w:p>
        </w:tc>
        <w:tc>
          <w:tcPr>
            <w:tcW w:w="109" w:type="dxa"/>
            <w:tcBorders/>
            <w:shd w:fill="B2B2B2" w:val="clear"/>
            <w:vAlign w:val="center"/>
          </w:tcPr>
          <w:p>
            <w:pPr>
              <w:pStyle w:val="TableContents"/>
              <w:bidi w:val="0"/>
              <w:spacing w:before="0" w:after="283"/>
              <w:jc w:val="left"/>
              <w:rPr/>
            </w:pPr>
            <w:r>
              <w:rPr/>
              <w:t>​</w:t>
            </w:r>
          </w:p>
        </w:tc>
        <w:tc>
          <w:tcPr>
            <w:tcW w:w="154" w:type="dxa"/>
            <w:tcBorders/>
            <w:shd w:fill="B2B2B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35" w:type="dxa"/>
            <w:tcBorders/>
            <w:vAlign w:val="center"/>
          </w:tcPr>
          <w:p>
            <w:pPr>
              <w:pStyle w:val="TableContents"/>
              <w:bidi w:val="0"/>
              <w:spacing w:before="0" w:after="283"/>
              <w:jc w:val="left"/>
              <w:rPr>
                <w:spacing w:val="-2"/>
              </w:rPr>
            </w:pPr>
            <w:r>
              <w:rPr>
                <w:spacing w:val="-2"/>
              </w:rPr>
              <w:t xml:space="preserve">Erik Wilde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5" w:type="dxa"/>
            <w:tcBorders/>
            <w:vAlign w:val="center"/>
          </w:tcPr>
          <w:p>
            <w:pPr>
              <w:pStyle w:val="TableContents"/>
              <w:bidi w:val="0"/>
              <w:spacing w:before="0" w:after="0"/>
              <w:jc w:val="center"/>
              <w:rPr>
                <w:spacing w:val="-2"/>
              </w:rPr>
            </w:pPr>
            <w:r>
              <w:rPr>
                <w:spacing w:val="-2"/>
              </w:rPr>
              <w:t xml:space="preserve">24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932,000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699,000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34,285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 xml:space="preserve">1,934,954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 xml:space="preserve">3,600,239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35" w:type="dxa"/>
            <w:tcBorders>
              <w:bottom w:val="single" w:sz="2" w:space="0" w:color="000000"/>
            </w:tcBorders>
            <w:shd w:fill="B2B2B2" w:val="clear"/>
            <w:tcMar>
              <w:bottom w:w="50" w:type="dxa"/>
            </w:tcMar>
            <w:vAlign w:val="center"/>
          </w:tcPr>
          <w:p>
            <w:pPr>
              <w:pStyle w:val="TableContents"/>
              <w:bidi w:val="0"/>
              <w:spacing w:before="0" w:after="283"/>
              <w:jc w:val="left"/>
              <w:rPr>
                <w:spacing w:val="-2"/>
              </w:rPr>
            </w:pPr>
            <w:r>
              <w:rPr>
                <w:spacing w:val="-2"/>
              </w:rPr>
              <w:t xml:space="preserve">Raj Kanuru </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65" w:type="dxa"/>
            <w:tcBorders>
              <w:bottom w:val="single" w:sz="2" w:space="0" w:color="000000"/>
            </w:tcBorders>
            <w:shd w:fill="B2B2B2" w:val="clear"/>
            <w:tcMar>
              <w:bottom w:w="50" w:type="dxa"/>
            </w:tcMar>
            <w:vAlign w:val="center"/>
          </w:tcPr>
          <w:p>
            <w:pPr>
              <w:pStyle w:val="TableContents"/>
              <w:bidi w:val="0"/>
              <w:spacing w:before="0" w:after="0"/>
              <w:jc w:val="center"/>
              <w:rPr>
                <w:spacing w:val="-2"/>
              </w:rPr>
            </w:pPr>
            <w:r>
              <w:rPr>
                <w:spacing w:val="-2"/>
              </w:rPr>
              <w:t xml:space="preserve">24 </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B2B2B2"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B2B2B2" w:val="clear"/>
            <w:tcMar>
              <w:bottom w:w="50" w:type="dxa"/>
            </w:tcMar>
            <w:vAlign w:val="center"/>
          </w:tcPr>
          <w:p>
            <w:pPr>
              <w:pStyle w:val="TableContents"/>
              <w:bidi w:val="0"/>
              <w:spacing w:before="0" w:after="283"/>
              <w:jc w:val="right"/>
              <w:rPr/>
            </w:pPr>
            <w:r>
              <w:rPr/>
              <w:t>942,000</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B2B2B2"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B2B2B2" w:val="clear"/>
            <w:tcMar>
              <w:bottom w:w="50" w:type="dxa"/>
            </w:tcMar>
            <w:vAlign w:val="center"/>
          </w:tcPr>
          <w:p>
            <w:pPr>
              <w:pStyle w:val="TableContents"/>
              <w:bidi w:val="0"/>
              <w:spacing w:before="0" w:after="283"/>
              <w:jc w:val="right"/>
              <w:rPr/>
            </w:pPr>
            <w:r>
              <w:rPr/>
              <w:t>706,500</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B2B2B2"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B2B2B2" w:val="clear"/>
            <w:tcMar>
              <w:bottom w:w="50" w:type="dxa"/>
            </w:tcMar>
            <w:vAlign w:val="center"/>
          </w:tcPr>
          <w:p>
            <w:pPr>
              <w:pStyle w:val="TableContents"/>
              <w:bidi w:val="0"/>
              <w:spacing w:before="0" w:after="283"/>
              <w:jc w:val="right"/>
              <w:rPr/>
            </w:pPr>
            <w:r>
              <w:rPr/>
              <w:t>36,280</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B2B2B2"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B2B2B2" w:val="clear"/>
            <w:tcMar>
              <w:bottom w:w="50" w:type="dxa"/>
            </w:tcMar>
            <w:vAlign w:val="center"/>
          </w:tcPr>
          <w:p>
            <w:pPr>
              <w:pStyle w:val="TableContents"/>
              <w:bidi w:val="0"/>
              <w:spacing w:before="0" w:after="283"/>
              <w:jc w:val="right"/>
              <w:rPr/>
            </w:pPr>
            <w:r>
              <w:rPr/>
              <w:t xml:space="preserve">1,824,902 </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B2B2B2"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B2B2B2" w:val="clear"/>
            <w:tcMar>
              <w:bottom w:w="50" w:type="dxa"/>
            </w:tcMar>
            <w:vAlign w:val="center"/>
          </w:tcPr>
          <w:p>
            <w:pPr>
              <w:pStyle w:val="TableContents"/>
              <w:bidi w:val="0"/>
              <w:spacing w:before="0" w:after="283"/>
              <w:jc w:val="right"/>
              <w:rPr/>
            </w:pPr>
            <w:r>
              <w:rPr/>
              <w:t>3,509,682</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54"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r>
    </w:tbl>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198"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Represents the value of the long-term incentive awards that would vest upon a Qualifying Termination. Under the terms of the CIC Policy, if during a Protection Period the Executive’s employment is terminated by the Company without Cause (or by the Executive for Good Reason), the Executive’s outstanding restricted stock, stock options, and performance shares shall vest as of the date of such termination of employment. In the case of the outstanding restricted stock and performance share awards, the equity value represents the value of the shares (determined by multiplying the closing price of $136.37 per share on December 31, 2025 by the number of unvested shares of restricted stock and performance shares that would vest upon termination of employment, with the number of performance shares calculated at target achievement, and in accordance with the applicable award agreements). In the case of stock option awards, the equity value was determined by multiplying (i) the spread between the exercise price and the closing price of $136.37 per share on December 31, 2025 and (ii) the number of unvested option shares that would vest following termination.</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25730" distB="0" distL="0" distR="0" simplePos="0" locked="0" layoutInCell="1" allowOverlap="1" relativeHeight="331">
                <wp:simplePos x="0" y="0"/>
                <wp:positionH relativeFrom="column">
                  <wp:align>left</wp:align>
                </wp:positionH>
                <wp:positionV relativeFrom="line">
                  <wp:align>top</wp:align>
                </wp:positionV>
                <wp:extent cx="254000" cy="330200"/>
                <wp:effectExtent l="0" t="0" r="0" b="0"/>
                <wp:wrapSquare wrapText="right"/>
                <wp:docPr id="310" name="Frame200"/>
                <a:graphic xmlns:a="http://schemas.openxmlformats.org/drawingml/2006/main">
                  <a:graphicData uri="http://schemas.microsoft.com/office/word/2010/wordprocessingShape">
                    <wps:wsp>
                      <wps:cNvSpPr txBox="1"/>
                      <wps:spPr>
                        <a:xfrm>
                          <a:off x="0" y="0"/>
                          <a:ext cx="254000" cy="330200"/>
                        </a:xfrm>
                        <a:prstGeom prst="rect"/>
                        <a:solidFill>
                          <a:srgbClr val="FFFFFF"/>
                        </a:solidFill>
                      </wps:spPr>
                      <wps:txbx>
                        <w:txbxContent>
                          <w:p>
                            <w:pPr>
                              <w:pStyle w:val="TextBody"/>
                              <w:bidi w:val="0"/>
                              <w:spacing w:lineRule="atLeast" w:line="260" w:before="0" w:after="283"/>
                              <w:jc w:val="left"/>
                              <w:rPr>
                                <w:sz w:val="22"/>
                              </w:rPr>
                            </w:pPr>
                            <w:r>
                              <w:rPr>
                                <w:spacing w:val="-2"/>
                                <w:sz w:val="22"/>
                              </w:rPr>
                              <w:t>(1)</w:t>
                            </w:r>
                            <w:r>
                              <w:rPr>
                                <w:sz w:val="22"/>
                              </w:rPr>
                              <w:t xml:space="preserve"> </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9.9pt;mso-wrap-distance-bottom:0pt;margin-top:9.9pt;mso-position-vertical:top;mso-position-vertical-relative:text;margin-left:0pt;mso-position-horizontal:left;mso-position-horizontal-relative:text">
                <v:textbox>
                  <w:txbxContent>
                    <w:p>
                      <w:pPr>
                        <w:pStyle w:val="TextBody"/>
                        <w:bidi w:val="0"/>
                        <w:spacing w:lineRule="atLeast" w:line="260" w:before="0" w:after="283"/>
                        <w:jc w:val="left"/>
                        <w:rPr>
                          <w:sz w:val="22"/>
                        </w:rPr>
                      </w:pPr>
                      <w:r>
                        <w:rPr>
                          <w:spacing w:val="-2"/>
                          <w:sz w:val="22"/>
                        </w:rPr>
                        <w:t>(1)</w:t>
                      </w:r>
                      <w:r>
                        <w:rPr>
                          <w:sz w:val="22"/>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All severance benefits are subject to the Executive’s execution and the effectiveness of a release of claims, as well as continued compliance with the nondisclosure and noncompete agreement between each Executive and the Company.</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400" w:before="240" w:after="283"/>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Pay Ratio Disclosure</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In accordance with Item 402(u) of Regulation S-K, passed as part of the Dodd-Frank Wall Street Reform Act and Consumer Protection Act of 2010, we determined the ratio of the annual total compensation of our CEO, Mr. Jagdfeld, relative to the annual total compensation of our median employee.</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Generac is a global organization with approximately 9,000 employees. For purposes of our 2025 pay ratio disclosure, we used the same median employee that we used for our 2023 and 2024 disclosure, as there has not been a significant change in our employee population or employee compensation arrangements that we believe would significantly impact the pay ratio disclosure.</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We identified our median employee using payroll data to examine the annual base salaries for all individuals who were employed as of November 30, 2023. We then used annual cash compensation paid to each employee, other than our CEO, to select the median employee. For purposes of reporting annual total compensation and the 2025 ratio of annual total compensation of the CEO to the median employee, both the CEO and median employee’s annual total compensation were calculated consistent with the disclosure requirement of executive compensation under the Summary Compensation Table. Consistent with prior years and to </w:t>
      </w:r>
    </w:p>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311"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100" descr=""/>
                          <pic:cNvPicPr>
                            <a:picLocks noChangeAspect="1" noChangeArrowheads="1"/>
                          </pic:cNvPicPr>
                        </pic:nvPicPr>
                        <pic:blipFill>
                          <a:blip r:embed="rId112"/>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52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caps w:val="false"/>
          <w:smallCaps w:val="false"/>
          <w:color w:val="FF6A00"/>
        </w:rPr>
      </w:pPr>
      <w:r>
        <w:rPr>
          <w:caps w:val="false"/>
          <w:smallCaps w:val="false"/>
          <w:color w:val="FF6A00"/>
          <w:spacing w:val="-2"/>
        </w:rPr>
        <w:t> </w:t>
      </w:r>
      <w:r>
        <w:rPr>
          <w:caps w:val="false"/>
          <w:smallCaps w:val="false"/>
          <w:color w:val="FF6A00"/>
        </w:rPr>
        <w:t xml:space="preserve"> </w:t>
      </w:r>
    </w:p>
    <w:p>
      <w:pPr>
        <w:pStyle w:val="TextBody"/>
        <w:bidi w:val="0"/>
        <w:spacing w:lineRule="atLeast" w:line="250" w:before="480" w:after="283"/>
        <w:ind w:left="11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present a holistic view of total compensation, we elected to include the value of health and welfare benefits in the annual total compensation of both our CEO and our median employee. The results of the 2025 ratio calculation are as follows: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2" w:before="86"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Annual total compensation of our median employee: $72,040</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4610" distB="0" distL="254000" distR="0" simplePos="0" locked="0" layoutInCell="1" allowOverlap="1" relativeHeight="332">
                <wp:simplePos x="0" y="0"/>
                <wp:positionH relativeFrom="column">
                  <wp:align>left</wp:align>
                </wp:positionH>
                <wp:positionV relativeFrom="line">
                  <wp:align>top</wp:align>
                </wp:positionV>
                <wp:extent cx="254000" cy="350520"/>
                <wp:effectExtent l="0" t="0" r="0" b="0"/>
                <wp:wrapSquare wrapText="right"/>
                <wp:docPr id="312" name="Frame2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spacing w:val="-2"/>
                              </w:rPr>
                              <w:t>•</w:t>
                            </w:r>
                            <w:r>
                              <w:rPr/>
                              <w:t xml:space="preserve"> </w:t>
                            </w:r>
                            <w:r>
                              <w:rPr>
                                <w:sz w:val="22"/>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3pt;mso-wrap-distance-bottom:0pt;margin-top:4.3pt;mso-position-vertical:top;mso-position-vertical-relative:text;margin-left:20pt;mso-position-horizontal:left;mso-position-horizontal-relative:text">
                <v:textbox>
                  <w:txbxContent>
                    <w:p>
                      <w:pPr>
                        <w:pStyle w:val="TextBody"/>
                        <w:bidi w:val="0"/>
                        <w:spacing w:lineRule="atLeast" w:line="252" w:before="0" w:after="283"/>
                        <w:jc w:val="left"/>
                        <w:rPr/>
                      </w:pPr>
                      <w:r>
                        <w:rPr>
                          <w:color w:val="FF6A00"/>
                          <w:spacing w:val="-2"/>
                        </w:rPr>
                        <w:t>•</w:t>
                      </w:r>
                      <w:r>
                        <w:rPr/>
                        <w:t xml:space="preserve"> </w:t>
                      </w:r>
                      <w:r>
                        <w:rPr>
                          <w:sz w:val="22"/>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52" w:before="80"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Annual total compensation of CEO: $8,823,989</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254000" distR="0" simplePos="0" locked="0" layoutInCell="1" allowOverlap="1" relativeHeight="333">
                <wp:simplePos x="0" y="0"/>
                <wp:positionH relativeFrom="column">
                  <wp:align>left</wp:align>
                </wp:positionH>
                <wp:positionV relativeFrom="line">
                  <wp:align>top</wp:align>
                </wp:positionV>
                <wp:extent cx="254000" cy="350520"/>
                <wp:effectExtent l="0" t="0" r="0" b="0"/>
                <wp:wrapSquare wrapText="right"/>
                <wp:docPr id="313" name="Frame2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spacing w:val="-2"/>
                              </w:rPr>
                              <w:t>•</w:t>
                            </w:r>
                            <w:r>
                              <w:rPr/>
                              <w:t xml:space="preserve"> </w:t>
                            </w:r>
                            <w:r>
                              <w:rPr>
                                <w:sz w:val="22"/>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52" w:before="0" w:after="283"/>
                        <w:jc w:val="left"/>
                        <w:rPr/>
                      </w:pPr>
                      <w:r>
                        <w:rPr>
                          <w:color w:val="FF6A00"/>
                          <w:spacing w:val="-2"/>
                        </w:rPr>
                        <w:t>•</w:t>
                      </w:r>
                      <w:r>
                        <w:rPr/>
                        <w:t xml:space="preserve"> </w:t>
                      </w:r>
                      <w:r>
                        <w:rPr>
                          <w:sz w:val="22"/>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52" w:before="80"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Ratio of CEO annual total compensation to median employee compensation: 122 to 1</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254000" distR="0" simplePos="0" locked="0" layoutInCell="1" allowOverlap="1" relativeHeight="334">
                <wp:simplePos x="0" y="0"/>
                <wp:positionH relativeFrom="column">
                  <wp:align>left</wp:align>
                </wp:positionH>
                <wp:positionV relativeFrom="line">
                  <wp:align>top</wp:align>
                </wp:positionV>
                <wp:extent cx="254000" cy="350520"/>
                <wp:effectExtent l="0" t="0" r="0" b="0"/>
                <wp:wrapSquare wrapText="right"/>
                <wp:docPr id="314" name="Frame2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spacing w:val="-2"/>
                              </w:rPr>
                              <w:t>•</w:t>
                            </w:r>
                            <w:r>
                              <w:rPr/>
                              <w:t xml:space="preserve"> </w:t>
                            </w:r>
                            <w:r>
                              <w:rPr>
                                <w:sz w:val="22"/>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52" w:before="0" w:after="283"/>
                        <w:jc w:val="left"/>
                        <w:rPr/>
                      </w:pPr>
                      <w:r>
                        <w:rPr>
                          <w:color w:val="FF6A00"/>
                          <w:spacing w:val="-2"/>
                        </w:rPr>
                        <w:t>•</w:t>
                      </w:r>
                      <w:r>
                        <w:rPr/>
                        <w:t xml:space="preserve"> </w:t>
                      </w:r>
                      <w:r>
                        <w:rPr>
                          <w:sz w:val="22"/>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400" w:before="240" w:after="283"/>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Pay Versus Performance</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As required by Section 953(a) of the Dodd-Frank Wall Street Reform and Consumer Protection Act, and Item 402(v) of Regulation S-K, we are providing the following information about the relationship between executive compensation actually paid and certain financial performance measures of the Company. The table below reflects Compensation Actually Paid to the Company’s CEO and average Compensation Actually Paid to Non-CEO NEOs during 2021 through 2025. In addition, the table compares the Company’s Total Shareholder Return (“TSR”) against Peer Group TSR using S&amp;P 500 Industrials (sector comparison). For further information concerning the Company’s variable pay-for-performance philosophy and how the Company aligns executive compensation with the Company’s performance, refer to “EXECUTIVE COMPENSATION — Compensation Discussion and Analysis” above.</w:t>
      </w:r>
      <w:r>
        <w:rPr>
          <w:rFonts w:ascii="Arial;Helvetica;sans-serif" w:hAnsi="Arial;Helvetica;sans-serif"/>
          <w:b w:val="false"/>
          <w:i w:val="false"/>
          <w:caps w:val="false"/>
          <w:smallCaps w:val="false"/>
          <w:color w:val="000000"/>
          <w:spacing w:val="4"/>
          <w:sz w:val="22"/>
        </w:rPr>
        <w:t xml:space="preserve"> </w:t>
      </w:r>
    </w:p>
    <w:tbl>
      <w:tblPr>
        <w:tblW w:w="13260" w:type="dxa"/>
        <w:jc w:val="left"/>
        <w:tblInd w:w="1140" w:type="dxa"/>
        <w:tblLayout w:type="fixed"/>
        <w:tblCellMar>
          <w:top w:w="0" w:type="dxa"/>
          <w:left w:w="0" w:type="dxa"/>
          <w:bottom w:w="28" w:type="dxa"/>
          <w:right w:w="0" w:type="dxa"/>
        </w:tblCellMar>
      </w:tblPr>
      <w:tblGrid>
        <w:gridCol w:w="124"/>
        <w:gridCol w:w="656"/>
        <w:gridCol w:w="109"/>
        <w:gridCol w:w="109"/>
        <w:gridCol w:w="114"/>
        <w:gridCol w:w="114"/>
        <w:gridCol w:w="1117"/>
        <w:gridCol w:w="115"/>
        <w:gridCol w:w="109"/>
        <w:gridCol w:w="109"/>
        <w:gridCol w:w="109"/>
        <w:gridCol w:w="109"/>
        <w:gridCol w:w="1261"/>
        <w:gridCol w:w="109"/>
        <w:gridCol w:w="109"/>
        <w:gridCol w:w="109"/>
        <w:gridCol w:w="114"/>
        <w:gridCol w:w="114"/>
        <w:gridCol w:w="1117"/>
        <w:gridCol w:w="115"/>
        <w:gridCol w:w="109"/>
        <w:gridCol w:w="109"/>
        <w:gridCol w:w="109"/>
        <w:gridCol w:w="109"/>
        <w:gridCol w:w="1141"/>
        <w:gridCol w:w="109"/>
        <w:gridCol w:w="109"/>
        <w:gridCol w:w="109"/>
        <w:gridCol w:w="123"/>
        <w:gridCol w:w="123"/>
        <w:gridCol w:w="866"/>
        <w:gridCol w:w="124"/>
        <w:gridCol w:w="109"/>
        <w:gridCol w:w="109"/>
        <w:gridCol w:w="109"/>
        <w:gridCol w:w="109"/>
        <w:gridCol w:w="766"/>
        <w:gridCol w:w="109"/>
        <w:gridCol w:w="109"/>
        <w:gridCol w:w="109"/>
        <w:gridCol w:w="123"/>
        <w:gridCol w:w="123"/>
        <w:gridCol w:w="730"/>
        <w:gridCol w:w="125"/>
        <w:gridCol w:w="109"/>
        <w:gridCol w:w="109"/>
        <w:gridCol w:w="131"/>
        <w:gridCol w:w="131"/>
        <w:gridCol w:w="780"/>
        <w:gridCol w:w="134"/>
        <w:gridCol w:w="154"/>
      </w:tblGrid>
      <w:tr>
        <w:trPr/>
        <w:tc>
          <w:tcPr>
            <w:tcW w:w="124" w:type="dxa"/>
            <w:tcBorders>
              <w:bottom w:val="single" w:sz="2" w:space="0" w:color="FF6A00"/>
            </w:tcBorders>
            <w:shd w:fill="FF6A00" w:val="clear"/>
            <w:vAlign w:val="center"/>
          </w:tcPr>
          <w:p>
            <w:pPr>
              <w:pStyle w:val="TableContents"/>
              <w:bidi w:val="0"/>
              <w:spacing w:before="0" w:after="283"/>
              <w:jc w:val="left"/>
              <w:rPr/>
            </w:pPr>
            <w:r>
              <w:rPr/>
              <w:t>​</w:t>
            </w:r>
          </w:p>
        </w:tc>
        <w:tc>
          <w:tcPr>
            <w:tcW w:w="656" w:type="dxa"/>
            <w:tcBorders>
              <w:bottom w:val="single" w:sz="2" w:space="0" w:color="FF6A00"/>
            </w:tcBorders>
            <w:shd w:fill="FF6A00" w:val="clear"/>
            <w:vAlign w:val="center"/>
          </w:tcPr>
          <w:p>
            <w:pPr>
              <w:pStyle w:val="TableContents"/>
              <w:bidi w:val="0"/>
              <w:spacing w:before="0" w:after="283"/>
              <w:jc w:val="left"/>
              <w:rPr/>
            </w:pPr>
            <w:r>
              <w:rPr/>
              <w:t>​</w:t>
            </w:r>
          </w:p>
        </w:tc>
        <w:tc>
          <w:tcPr>
            <w:tcW w:w="109" w:type="dxa"/>
            <w:tcBorders>
              <w:bottom w:val="single" w:sz="2" w:space="0" w:color="FF6A00"/>
            </w:tcBorders>
            <w:shd w:fill="FF6A00" w:val="clear"/>
            <w:vAlign w:val="center"/>
          </w:tcPr>
          <w:p>
            <w:pPr>
              <w:pStyle w:val="TableContents"/>
              <w:bidi w:val="0"/>
              <w:spacing w:before="0" w:after="283"/>
              <w:jc w:val="left"/>
              <w:rPr/>
            </w:pPr>
            <w:r>
              <w:rPr/>
              <w:t>​</w:t>
            </w:r>
          </w:p>
        </w:tc>
        <w:tc>
          <w:tcPr>
            <w:tcW w:w="109" w:type="dxa"/>
            <w:vMerge w:val="restart"/>
            <w:tcBorders/>
            <w:shd w:fill="FF6A00" w:val="clear"/>
            <w:tcMar>
              <w:bottom w:w="0" w:type="dxa"/>
            </w:tcMar>
            <w:vAlign w:val="center"/>
          </w:tcPr>
          <w:p>
            <w:pPr>
              <w:pStyle w:val="TableContents"/>
              <w:bidi w:val="0"/>
              <w:spacing w:before="0" w:after="283"/>
              <w:jc w:val="left"/>
              <w:rPr/>
            </w:pPr>
            <w:r>
              <w:rPr/>
              <w:t>​</w:t>
            </w:r>
          </w:p>
        </w:tc>
        <w:tc>
          <w:tcPr>
            <w:tcW w:w="1460" w:type="dxa"/>
            <w:gridSpan w:val="4"/>
            <w:vMerge w:val="restart"/>
            <w:tcBorders/>
            <w:shd w:fill="FF6A00" w:val="clear"/>
            <w:tcMar>
              <w:bottom w:w="0" w:type="dxa"/>
            </w:tcMar>
            <w:vAlign w:val="center"/>
          </w:tcPr>
          <w:p>
            <w:pPr>
              <w:pStyle w:val="TableContents"/>
              <w:bidi w:val="0"/>
              <w:spacing w:lineRule="atLeast" w:line="142" w:before="0" w:after="0"/>
              <w:jc w:val="center"/>
              <w:rPr/>
            </w:pPr>
            <w:r>
              <w:rPr>
                <w:spacing w:val="-1"/>
              </w:rPr>
              <w:t xml:space="preserve">Summary </w:t>
              <w:br/>
              <w:t xml:space="preserve">Compensation </w:t>
              <w:br/>
              <w:t xml:space="preserve">Table Total for </w:t>
              <w:br/>
              <w:t xml:space="preserve">CEO </w:t>
              <w:br/>
              <w:t>($)</w:t>
            </w:r>
            <w:r>
              <w:rPr>
                <w:spacing w:val="-1"/>
                <w:sz w:val="9"/>
              </w:rPr>
              <w:t>(1)</w:t>
            </w:r>
            <w:r>
              <w:rPr/>
              <w:t xml:space="preserve"> </w:t>
            </w:r>
          </w:p>
        </w:tc>
        <w:tc>
          <w:tcPr>
            <w:tcW w:w="109" w:type="dxa"/>
            <w:vMerge w:val="restart"/>
            <w:tcBorders/>
            <w:shd w:fill="FF6A00" w:val="clear"/>
            <w:tcMar>
              <w:bottom w:w="0" w:type="dxa"/>
            </w:tcMar>
            <w:vAlign w:val="center"/>
          </w:tcPr>
          <w:p>
            <w:pPr>
              <w:pStyle w:val="TableContents"/>
              <w:bidi w:val="0"/>
              <w:spacing w:before="0" w:after="283"/>
              <w:jc w:val="left"/>
              <w:rPr/>
            </w:pPr>
            <w:r>
              <w:rPr/>
              <w:t>​</w:t>
            </w:r>
          </w:p>
        </w:tc>
        <w:tc>
          <w:tcPr>
            <w:tcW w:w="109" w:type="dxa"/>
            <w:vMerge w:val="restart"/>
            <w:tcBorders/>
            <w:shd w:fill="FF6A00" w:val="clear"/>
            <w:tcMar>
              <w:bottom w:w="0" w:type="dxa"/>
            </w:tcMar>
            <w:vAlign w:val="center"/>
          </w:tcPr>
          <w:p>
            <w:pPr>
              <w:pStyle w:val="TableContents"/>
              <w:bidi w:val="0"/>
              <w:spacing w:before="0" w:after="283"/>
              <w:jc w:val="left"/>
              <w:rPr/>
            </w:pPr>
            <w:r>
              <w:rPr/>
              <w:t>​</w:t>
            </w:r>
          </w:p>
        </w:tc>
        <w:tc>
          <w:tcPr>
            <w:tcW w:w="1588" w:type="dxa"/>
            <w:gridSpan w:val="4"/>
            <w:vMerge w:val="restart"/>
            <w:tcBorders/>
            <w:shd w:fill="FF6A00" w:val="clear"/>
            <w:tcMar>
              <w:bottom w:w="0" w:type="dxa"/>
            </w:tcMar>
            <w:vAlign w:val="center"/>
          </w:tcPr>
          <w:p>
            <w:pPr>
              <w:pStyle w:val="TableContents"/>
              <w:bidi w:val="0"/>
              <w:spacing w:lineRule="atLeast" w:line="142" w:before="0" w:after="0"/>
              <w:jc w:val="center"/>
              <w:rPr/>
            </w:pPr>
            <w:r>
              <w:rPr>
                <w:spacing w:val="-1"/>
              </w:rPr>
              <w:t xml:space="preserve">Compensation </w:t>
              <w:br/>
              <w:t xml:space="preserve">Actually Paid to </w:t>
              <w:br/>
              <w:t xml:space="preserve">CEO </w:t>
              <w:br/>
              <w:t>($)</w:t>
            </w:r>
            <w:r>
              <w:rPr>
                <w:spacing w:val="-1"/>
                <w:sz w:val="9"/>
              </w:rPr>
              <w:t>(1)</w:t>
            </w:r>
            <w:r>
              <w:rPr/>
              <w:t xml:space="preserve"> </w:t>
            </w:r>
          </w:p>
        </w:tc>
        <w:tc>
          <w:tcPr>
            <w:tcW w:w="109" w:type="dxa"/>
            <w:vMerge w:val="restart"/>
            <w:tcBorders/>
            <w:shd w:fill="FF6A00" w:val="clear"/>
            <w:tcMar>
              <w:bottom w:w="0" w:type="dxa"/>
            </w:tcMar>
            <w:vAlign w:val="center"/>
          </w:tcPr>
          <w:p>
            <w:pPr>
              <w:pStyle w:val="TableContents"/>
              <w:bidi w:val="0"/>
              <w:spacing w:before="0" w:after="283"/>
              <w:jc w:val="left"/>
              <w:rPr/>
            </w:pPr>
            <w:r>
              <w:rPr/>
              <w:t>​</w:t>
            </w:r>
          </w:p>
        </w:tc>
        <w:tc>
          <w:tcPr>
            <w:tcW w:w="109" w:type="dxa"/>
            <w:vMerge w:val="restart"/>
            <w:tcBorders/>
            <w:shd w:fill="FF6A00" w:val="clear"/>
            <w:tcMar>
              <w:bottom w:w="0" w:type="dxa"/>
            </w:tcMar>
            <w:vAlign w:val="center"/>
          </w:tcPr>
          <w:p>
            <w:pPr>
              <w:pStyle w:val="TableContents"/>
              <w:bidi w:val="0"/>
              <w:spacing w:before="0" w:after="283"/>
              <w:jc w:val="left"/>
              <w:rPr/>
            </w:pPr>
            <w:r>
              <w:rPr/>
              <w:t>​</w:t>
            </w:r>
          </w:p>
        </w:tc>
        <w:tc>
          <w:tcPr>
            <w:tcW w:w="1460" w:type="dxa"/>
            <w:gridSpan w:val="4"/>
            <w:vMerge w:val="restart"/>
            <w:tcBorders/>
            <w:shd w:fill="FF6A00" w:val="clear"/>
            <w:tcMar>
              <w:bottom w:w="0" w:type="dxa"/>
            </w:tcMar>
            <w:vAlign w:val="center"/>
          </w:tcPr>
          <w:p>
            <w:pPr>
              <w:pStyle w:val="TableContents"/>
              <w:bidi w:val="0"/>
              <w:spacing w:lineRule="atLeast" w:line="142" w:before="0" w:after="0"/>
              <w:jc w:val="center"/>
              <w:rPr/>
            </w:pPr>
            <w:r>
              <w:rPr>
                <w:spacing w:val="-1"/>
              </w:rPr>
              <w:t xml:space="preserve">Average </w:t>
              <w:br/>
              <w:t xml:space="preserve">Summary </w:t>
              <w:br/>
              <w:t xml:space="preserve">Compensation </w:t>
              <w:br/>
              <w:t xml:space="preserve">Table Total for </w:t>
              <w:br/>
              <w:t xml:space="preserve">Non-CEO NEOs </w:t>
              <w:br/>
              <w:t>($)</w:t>
            </w:r>
            <w:r>
              <w:rPr>
                <w:spacing w:val="-1"/>
                <w:sz w:val="9"/>
              </w:rPr>
              <w:t>(1)</w:t>
            </w:r>
            <w:r>
              <w:rPr/>
              <w:t xml:space="preserve"> </w:t>
            </w:r>
          </w:p>
        </w:tc>
        <w:tc>
          <w:tcPr>
            <w:tcW w:w="109" w:type="dxa"/>
            <w:vMerge w:val="restart"/>
            <w:tcBorders/>
            <w:shd w:fill="FF6A00" w:val="clear"/>
            <w:tcMar>
              <w:bottom w:w="0" w:type="dxa"/>
            </w:tcMar>
            <w:vAlign w:val="center"/>
          </w:tcPr>
          <w:p>
            <w:pPr>
              <w:pStyle w:val="TableContents"/>
              <w:bidi w:val="0"/>
              <w:spacing w:before="0" w:after="283"/>
              <w:jc w:val="left"/>
              <w:rPr/>
            </w:pPr>
            <w:r>
              <w:rPr/>
              <w:t>​</w:t>
            </w:r>
          </w:p>
        </w:tc>
        <w:tc>
          <w:tcPr>
            <w:tcW w:w="109" w:type="dxa"/>
            <w:vMerge w:val="restart"/>
            <w:tcBorders/>
            <w:shd w:fill="FF6A00" w:val="clear"/>
            <w:tcMar>
              <w:bottom w:w="0" w:type="dxa"/>
            </w:tcMar>
            <w:vAlign w:val="center"/>
          </w:tcPr>
          <w:p>
            <w:pPr>
              <w:pStyle w:val="TableContents"/>
              <w:bidi w:val="0"/>
              <w:spacing w:before="0" w:after="283"/>
              <w:jc w:val="left"/>
              <w:rPr/>
            </w:pPr>
            <w:r>
              <w:rPr/>
              <w:t>​</w:t>
            </w:r>
          </w:p>
        </w:tc>
        <w:tc>
          <w:tcPr>
            <w:tcW w:w="1468" w:type="dxa"/>
            <w:gridSpan w:val="4"/>
            <w:vMerge w:val="restart"/>
            <w:tcBorders/>
            <w:shd w:fill="FF6A00" w:val="clear"/>
            <w:tcMar>
              <w:bottom w:w="0" w:type="dxa"/>
            </w:tcMar>
            <w:vAlign w:val="center"/>
          </w:tcPr>
          <w:p>
            <w:pPr>
              <w:pStyle w:val="TableContents"/>
              <w:bidi w:val="0"/>
              <w:spacing w:lineRule="atLeast" w:line="142" w:before="0" w:after="0"/>
              <w:jc w:val="center"/>
              <w:rPr/>
            </w:pPr>
            <w:r>
              <w:rPr>
                <w:spacing w:val="-1"/>
              </w:rPr>
              <w:t xml:space="preserve">Average </w:t>
              <w:br/>
              <w:t xml:space="preserve">Compensation </w:t>
              <w:br/>
              <w:t xml:space="preserve">Actually Paid to </w:t>
              <w:br/>
              <w:t xml:space="preserve">Non-CEO NEOs </w:t>
              <w:br/>
              <w:t>($)</w:t>
            </w:r>
            <w:r>
              <w:rPr>
                <w:spacing w:val="-1"/>
                <w:sz w:val="9"/>
              </w:rPr>
              <w:t>(1)</w:t>
            </w:r>
            <w:r>
              <w:rPr/>
              <w:t xml:space="preserve"> </w:t>
            </w:r>
          </w:p>
        </w:tc>
        <w:tc>
          <w:tcPr>
            <w:tcW w:w="109" w:type="dxa"/>
            <w:vMerge w:val="restart"/>
            <w:tcBorders/>
            <w:shd w:fill="FF6A00" w:val="clear"/>
            <w:tcMar>
              <w:bottom w:w="0" w:type="dxa"/>
            </w:tcMar>
            <w:vAlign w:val="center"/>
          </w:tcPr>
          <w:p>
            <w:pPr>
              <w:pStyle w:val="TableContents"/>
              <w:bidi w:val="0"/>
              <w:spacing w:before="0" w:after="283"/>
              <w:jc w:val="left"/>
              <w:rPr/>
            </w:pPr>
            <w:r>
              <w:rPr/>
              <w:t>​</w:t>
            </w:r>
          </w:p>
        </w:tc>
        <w:tc>
          <w:tcPr>
            <w:tcW w:w="109" w:type="dxa"/>
            <w:tcBorders>
              <w:bottom w:val="single" w:sz="2" w:space="0" w:color="FEFEFE"/>
            </w:tcBorders>
            <w:shd w:fill="FF6A00" w:val="clear"/>
            <w:vAlign w:val="center"/>
          </w:tcPr>
          <w:p>
            <w:pPr>
              <w:pStyle w:val="TableContents"/>
              <w:bidi w:val="0"/>
              <w:spacing w:before="0" w:after="283"/>
              <w:jc w:val="left"/>
              <w:rPr/>
            </w:pPr>
            <w:r>
              <w:rPr/>
              <w:t>​</w:t>
            </w:r>
          </w:p>
        </w:tc>
        <w:tc>
          <w:tcPr>
            <w:tcW w:w="2547" w:type="dxa"/>
            <w:gridSpan w:val="10"/>
            <w:tcBorders>
              <w:bottom w:val="single" w:sz="2" w:space="0" w:color="FEFEFE"/>
            </w:tcBorders>
            <w:shd w:fill="FF6A00" w:val="clear"/>
            <w:tcMar>
              <w:bottom w:w="54" w:type="dxa"/>
            </w:tcMar>
            <w:vAlign w:val="center"/>
          </w:tcPr>
          <w:p>
            <w:pPr>
              <w:pStyle w:val="TableContents"/>
              <w:bidi w:val="0"/>
              <w:spacing w:lineRule="atLeast" w:line="142" w:before="0" w:after="0"/>
              <w:jc w:val="center"/>
              <w:rPr/>
            </w:pPr>
            <w:r>
              <w:rPr>
                <w:spacing w:val="-1"/>
              </w:rPr>
              <w:t xml:space="preserve">Value of Initial Fixed $100 </w:t>
              <w:br/>
              <w:t>Investment Based On:</w:t>
            </w:r>
            <w:r>
              <w:rPr>
                <w:spacing w:val="-1"/>
                <w:sz w:val="9"/>
              </w:rPr>
              <w:t>(2)</w:t>
            </w:r>
            <w:r>
              <w:rPr/>
              <w:t xml:space="preserve"> </w:t>
            </w:r>
          </w:p>
        </w:tc>
        <w:tc>
          <w:tcPr>
            <w:tcW w:w="109" w:type="dxa"/>
            <w:tcBorders>
              <w:bottom w:val="single" w:sz="2" w:space="0" w:color="FEFEFE"/>
            </w:tcBorders>
            <w:shd w:fill="FF6A00" w:val="clear"/>
            <w:vAlign w:val="center"/>
          </w:tcPr>
          <w:p>
            <w:pPr>
              <w:pStyle w:val="TableContents"/>
              <w:bidi w:val="0"/>
              <w:spacing w:before="0" w:after="283"/>
              <w:jc w:val="left"/>
              <w:rPr/>
            </w:pPr>
            <w:r>
              <w:rPr/>
              <w:t>​</w:t>
            </w:r>
          </w:p>
        </w:tc>
        <w:tc>
          <w:tcPr>
            <w:tcW w:w="109" w:type="dxa"/>
            <w:vMerge w:val="restart"/>
            <w:tcBorders/>
            <w:shd w:fill="FF6A00" w:val="clear"/>
            <w:tcMar>
              <w:bottom w:w="0" w:type="dxa"/>
            </w:tcMar>
            <w:vAlign w:val="center"/>
          </w:tcPr>
          <w:p>
            <w:pPr>
              <w:pStyle w:val="TableContents"/>
              <w:bidi w:val="0"/>
              <w:spacing w:before="0" w:after="283"/>
              <w:jc w:val="left"/>
              <w:rPr/>
            </w:pPr>
            <w:r>
              <w:rPr/>
              <w:t>​</w:t>
            </w:r>
          </w:p>
        </w:tc>
        <w:tc>
          <w:tcPr>
            <w:tcW w:w="1101" w:type="dxa"/>
            <w:gridSpan w:val="4"/>
            <w:vMerge w:val="restart"/>
            <w:tcBorders/>
            <w:shd w:fill="FF6A00" w:val="clear"/>
            <w:tcMar>
              <w:bottom w:w="0" w:type="dxa"/>
            </w:tcMar>
            <w:vAlign w:val="center"/>
          </w:tcPr>
          <w:p>
            <w:pPr>
              <w:pStyle w:val="TableContents"/>
              <w:bidi w:val="0"/>
              <w:spacing w:lineRule="atLeast" w:line="154" w:before="0" w:after="0"/>
              <w:jc w:val="center"/>
              <w:rPr>
                <w:spacing w:val="-1"/>
              </w:rPr>
            </w:pPr>
            <w:r>
              <w:rPr>
                <w:spacing w:val="-1"/>
              </w:rPr>
              <w:t xml:space="preserve">Net Income </w:t>
              <w:br/>
              <w:t xml:space="preserve">($ millions) </w:t>
            </w:r>
          </w:p>
        </w:tc>
        <w:tc>
          <w:tcPr>
            <w:tcW w:w="109" w:type="dxa"/>
            <w:vMerge w:val="restart"/>
            <w:tcBorders/>
            <w:shd w:fill="FF6A00" w:val="clear"/>
            <w:tcMar>
              <w:bottom w:w="0" w:type="dxa"/>
            </w:tcMar>
            <w:vAlign w:val="center"/>
          </w:tcPr>
          <w:p>
            <w:pPr>
              <w:pStyle w:val="TableContents"/>
              <w:bidi w:val="0"/>
              <w:spacing w:before="0" w:after="283"/>
              <w:jc w:val="left"/>
              <w:rPr/>
            </w:pPr>
            <w:r>
              <w:rPr/>
              <w:t>​</w:t>
            </w:r>
          </w:p>
        </w:tc>
        <w:tc>
          <w:tcPr>
            <w:tcW w:w="109" w:type="dxa"/>
            <w:vMerge w:val="restart"/>
            <w:tcBorders/>
            <w:shd w:fill="FF6A00" w:val="clear"/>
            <w:tcMar>
              <w:bottom w:w="0" w:type="dxa"/>
            </w:tcMar>
            <w:vAlign w:val="center"/>
          </w:tcPr>
          <w:p>
            <w:pPr>
              <w:pStyle w:val="TableContents"/>
              <w:bidi w:val="0"/>
              <w:spacing w:before="0" w:after="283"/>
              <w:jc w:val="left"/>
              <w:rPr/>
            </w:pPr>
            <w:r>
              <w:rPr/>
              <w:t>​</w:t>
            </w:r>
          </w:p>
        </w:tc>
        <w:tc>
          <w:tcPr>
            <w:tcW w:w="1176" w:type="dxa"/>
            <w:gridSpan w:val="4"/>
            <w:vMerge w:val="restart"/>
            <w:tcBorders/>
            <w:shd w:fill="FF6A00" w:val="clear"/>
            <w:tcMar>
              <w:bottom w:w="0" w:type="dxa"/>
            </w:tcMar>
            <w:vAlign w:val="center"/>
          </w:tcPr>
          <w:p>
            <w:pPr>
              <w:pStyle w:val="TableContents"/>
              <w:bidi w:val="0"/>
              <w:spacing w:lineRule="atLeast" w:line="142" w:before="0" w:after="0"/>
              <w:jc w:val="center"/>
              <w:rPr/>
            </w:pPr>
            <w:r>
              <w:rPr>
                <w:spacing w:val="-1"/>
              </w:rPr>
              <w:t xml:space="preserve">Adjusted </w:t>
              <w:br/>
              <w:t xml:space="preserve">EBITDA </w:t>
              <w:br/>
              <w:t>($ millions)</w:t>
            </w:r>
            <w:r>
              <w:rPr>
                <w:spacing w:val="-1"/>
                <w:sz w:val="9"/>
              </w:rPr>
              <w:t>(4)</w:t>
            </w:r>
            <w:r>
              <w:rPr/>
              <w:t xml:space="preserve"> </w:t>
            </w:r>
          </w:p>
        </w:tc>
        <w:tc>
          <w:tcPr>
            <w:tcW w:w="154" w:type="dxa"/>
            <w:vMerge w:val="restart"/>
            <w:tcBorders/>
            <w:shd w:fill="FF6A00" w:val="clear"/>
            <w:tcMar>
              <w:bottom w:w="0" w:type="dxa"/>
            </w:tcMar>
            <w:vAlign w:val="center"/>
          </w:tcPr>
          <w:p>
            <w:pPr>
              <w:pStyle w:val="TableContents"/>
              <w:bidi w:val="0"/>
              <w:spacing w:before="0" w:after="283"/>
              <w:jc w:val="left"/>
              <w:rPr/>
            </w:pPr>
            <w:r>
              <w:rPr/>
              <w:t>​</w:t>
            </w:r>
          </w:p>
        </w:tc>
      </w:tr>
      <w:tr>
        <w:trPr/>
        <w:tc>
          <w:tcPr>
            <w:tcW w:w="124" w:type="dxa"/>
            <w:tcBorders/>
            <w:shd w:fill="FF6A00" w:val="clear"/>
            <w:tcMar>
              <w:bottom w:w="0" w:type="dxa"/>
            </w:tcMar>
            <w:vAlign w:val="center"/>
          </w:tcPr>
          <w:p>
            <w:pPr>
              <w:pStyle w:val="TableContents"/>
              <w:bidi w:val="0"/>
              <w:spacing w:before="0" w:after="283"/>
              <w:jc w:val="left"/>
              <w:rPr/>
            </w:pPr>
            <w:r>
              <w:rPr/>
              <w:t>​</w:t>
            </w:r>
          </w:p>
        </w:tc>
        <w:tc>
          <w:tcPr>
            <w:tcW w:w="656" w:type="dxa"/>
            <w:tcBorders/>
            <w:shd w:fill="FF6A00" w:val="clear"/>
            <w:tcMar>
              <w:bottom w:w="0" w:type="dxa"/>
            </w:tcMar>
            <w:vAlign w:val="center"/>
          </w:tcPr>
          <w:p>
            <w:pPr>
              <w:pStyle w:val="TableContents"/>
              <w:bidi w:val="0"/>
              <w:spacing w:lineRule="atLeast" w:line="154" w:before="0" w:after="0"/>
              <w:jc w:val="left"/>
              <w:rPr>
                <w:spacing w:val="-1"/>
              </w:rPr>
            </w:pPr>
            <w:r>
              <w:rPr>
                <w:spacing w:val="-1"/>
              </w:rPr>
              <w:t xml:space="preserve">Fiscal </w:t>
              <w:br/>
              <w:t xml:space="preserve">Year </w:t>
            </w:r>
          </w:p>
        </w:tc>
        <w:tc>
          <w:tcPr>
            <w:tcW w:w="109" w:type="dxa"/>
            <w:tcBorders/>
            <w:shd w:fill="FF6A00" w:val="clear"/>
            <w:tcMar>
              <w:bottom w:w="0" w:type="dxa"/>
            </w:tcMar>
            <w:vAlign w:val="center"/>
          </w:tcPr>
          <w:p>
            <w:pPr>
              <w:pStyle w:val="TableContents"/>
              <w:bidi w:val="0"/>
              <w:spacing w:before="0" w:after="283"/>
              <w:jc w:val="left"/>
              <w:rPr/>
            </w:pPr>
            <w:r>
              <w:rPr/>
              <w:t>​</w:t>
            </w:r>
          </w:p>
        </w:tc>
        <w:tc>
          <w:tcPr>
            <w:tcW w:w="109" w:type="dxa"/>
            <w:vMerge w:val="continue"/>
            <w:tcBorders/>
            <w:shd w:fill="FF6A00" w:val="clear"/>
            <w:tcMar>
              <w:bottom w:w="0" w:type="dxa"/>
            </w:tcMar>
            <w:vAlign w:val="center"/>
          </w:tcPr>
          <w:p>
            <w:pPr>
              <w:pStyle w:val="Normal"/>
              <w:bidi w:val="0"/>
              <w:jc w:val="left"/>
              <w:rPr/>
            </w:pPr>
            <w:r>
              <w:rPr/>
            </w:r>
          </w:p>
        </w:tc>
        <w:tc>
          <w:tcPr>
            <w:tcW w:w="1460" w:type="dxa"/>
            <w:gridSpan w:val="4"/>
            <w:vMerge w:val="continue"/>
            <w:tcBorders/>
            <w:shd w:fill="FF6A00" w:val="clear"/>
            <w:tcMar>
              <w:bottom w:w="0" w:type="dxa"/>
            </w:tcMar>
            <w:vAlign w:val="center"/>
          </w:tcPr>
          <w:p>
            <w:pPr>
              <w:pStyle w:val="Normal"/>
              <w:bidi w:val="0"/>
              <w:jc w:val="left"/>
              <w:rPr/>
            </w:pPr>
            <w:r>
              <w:rPr/>
            </w:r>
          </w:p>
        </w:tc>
        <w:tc>
          <w:tcPr>
            <w:tcW w:w="109" w:type="dxa"/>
            <w:vMerge w:val="continue"/>
            <w:tcBorders/>
            <w:shd w:fill="FF6A00" w:val="clear"/>
            <w:tcMar>
              <w:bottom w:w="0" w:type="dxa"/>
            </w:tcMar>
            <w:vAlign w:val="center"/>
          </w:tcPr>
          <w:p>
            <w:pPr>
              <w:pStyle w:val="Normal"/>
              <w:bidi w:val="0"/>
              <w:jc w:val="left"/>
              <w:rPr/>
            </w:pPr>
            <w:r>
              <w:rPr/>
            </w:r>
          </w:p>
        </w:tc>
        <w:tc>
          <w:tcPr>
            <w:tcW w:w="109" w:type="dxa"/>
            <w:vMerge w:val="continue"/>
            <w:tcBorders/>
            <w:shd w:fill="FF6A00" w:val="clear"/>
            <w:tcMar>
              <w:bottom w:w="0" w:type="dxa"/>
            </w:tcMar>
            <w:vAlign w:val="center"/>
          </w:tcPr>
          <w:p>
            <w:pPr>
              <w:pStyle w:val="Normal"/>
              <w:bidi w:val="0"/>
              <w:jc w:val="left"/>
              <w:rPr/>
            </w:pPr>
            <w:r>
              <w:rPr/>
            </w:r>
          </w:p>
        </w:tc>
        <w:tc>
          <w:tcPr>
            <w:tcW w:w="1588" w:type="dxa"/>
            <w:gridSpan w:val="4"/>
            <w:vMerge w:val="continue"/>
            <w:tcBorders/>
            <w:shd w:fill="FF6A00" w:val="clear"/>
            <w:tcMar>
              <w:bottom w:w="0" w:type="dxa"/>
            </w:tcMar>
            <w:vAlign w:val="center"/>
          </w:tcPr>
          <w:p>
            <w:pPr>
              <w:pStyle w:val="Normal"/>
              <w:bidi w:val="0"/>
              <w:jc w:val="left"/>
              <w:rPr/>
            </w:pPr>
            <w:r>
              <w:rPr/>
            </w:r>
          </w:p>
        </w:tc>
        <w:tc>
          <w:tcPr>
            <w:tcW w:w="109" w:type="dxa"/>
            <w:vMerge w:val="continue"/>
            <w:tcBorders/>
            <w:shd w:fill="FF6A00" w:val="clear"/>
            <w:tcMar>
              <w:bottom w:w="0" w:type="dxa"/>
            </w:tcMar>
            <w:vAlign w:val="center"/>
          </w:tcPr>
          <w:p>
            <w:pPr>
              <w:pStyle w:val="Normal"/>
              <w:bidi w:val="0"/>
              <w:jc w:val="left"/>
              <w:rPr/>
            </w:pPr>
            <w:r>
              <w:rPr/>
            </w:r>
          </w:p>
        </w:tc>
        <w:tc>
          <w:tcPr>
            <w:tcW w:w="109" w:type="dxa"/>
            <w:vMerge w:val="continue"/>
            <w:tcBorders/>
            <w:shd w:fill="FF6A00" w:val="clear"/>
            <w:tcMar>
              <w:bottom w:w="0" w:type="dxa"/>
            </w:tcMar>
            <w:vAlign w:val="center"/>
          </w:tcPr>
          <w:p>
            <w:pPr>
              <w:pStyle w:val="Normal"/>
              <w:bidi w:val="0"/>
              <w:jc w:val="left"/>
              <w:rPr/>
            </w:pPr>
            <w:r>
              <w:rPr/>
            </w:r>
          </w:p>
        </w:tc>
        <w:tc>
          <w:tcPr>
            <w:tcW w:w="1460" w:type="dxa"/>
            <w:gridSpan w:val="4"/>
            <w:vMerge w:val="continue"/>
            <w:tcBorders/>
            <w:shd w:fill="FF6A00" w:val="clear"/>
            <w:tcMar>
              <w:bottom w:w="0" w:type="dxa"/>
            </w:tcMar>
            <w:vAlign w:val="center"/>
          </w:tcPr>
          <w:p>
            <w:pPr>
              <w:pStyle w:val="Normal"/>
              <w:bidi w:val="0"/>
              <w:jc w:val="left"/>
              <w:rPr/>
            </w:pPr>
            <w:r>
              <w:rPr/>
            </w:r>
          </w:p>
        </w:tc>
        <w:tc>
          <w:tcPr>
            <w:tcW w:w="109" w:type="dxa"/>
            <w:vMerge w:val="continue"/>
            <w:tcBorders/>
            <w:shd w:fill="FF6A00" w:val="clear"/>
            <w:tcMar>
              <w:bottom w:w="0" w:type="dxa"/>
            </w:tcMar>
            <w:vAlign w:val="center"/>
          </w:tcPr>
          <w:p>
            <w:pPr>
              <w:pStyle w:val="Normal"/>
              <w:bidi w:val="0"/>
              <w:jc w:val="left"/>
              <w:rPr/>
            </w:pPr>
            <w:r>
              <w:rPr/>
            </w:r>
          </w:p>
        </w:tc>
        <w:tc>
          <w:tcPr>
            <w:tcW w:w="109" w:type="dxa"/>
            <w:vMerge w:val="continue"/>
            <w:tcBorders/>
            <w:shd w:fill="FF6A00" w:val="clear"/>
            <w:tcMar>
              <w:bottom w:w="0" w:type="dxa"/>
            </w:tcMar>
            <w:vAlign w:val="center"/>
          </w:tcPr>
          <w:p>
            <w:pPr>
              <w:pStyle w:val="Normal"/>
              <w:bidi w:val="0"/>
              <w:jc w:val="left"/>
              <w:rPr/>
            </w:pPr>
            <w:r>
              <w:rPr/>
            </w:r>
          </w:p>
        </w:tc>
        <w:tc>
          <w:tcPr>
            <w:tcW w:w="1468" w:type="dxa"/>
            <w:gridSpan w:val="4"/>
            <w:vMerge w:val="continue"/>
            <w:tcBorders/>
            <w:shd w:fill="FF6A00" w:val="clear"/>
            <w:tcMar>
              <w:bottom w:w="0" w:type="dxa"/>
            </w:tcMar>
            <w:vAlign w:val="center"/>
          </w:tcPr>
          <w:p>
            <w:pPr>
              <w:pStyle w:val="Normal"/>
              <w:bidi w:val="0"/>
              <w:jc w:val="left"/>
              <w:rPr/>
            </w:pPr>
            <w:r>
              <w:rPr/>
            </w:r>
          </w:p>
        </w:tc>
        <w:tc>
          <w:tcPr>
            <w:tcW w:w="109" w:type="dxa"/>
            <w:vMerge w:val="continue"/>
            <w:tcBorders/>
            <w:shd w:fill="FF6A00" w:val="clear"/>
            <w:tcMar>
              <w:bottom w:w="0" w:type="dxa"/>
            </w:tcMar>
            <w:vAlign w:val="center"/>
          </w:tcPr>
          <w:p>
            <w:pPr>
              <w:pStyle w:val="Normal"/>
              <w:bidi w:val="0"/>
              <w:jc w:val="left"/>
              <w:rPr/>
            </w:pPr>
            <w:r>
              <w:rPr/>
            </w:r>
          </w:p>
        </w:tc>
        <w:tc>
          <w:tcPr>
            <w:tcW w:w="109" w:type="dxa"/>
            <w:tcBorders/>
            <w:shd w:fill="FF6A00" w:val="clear"/>
            <w:tcMar>
              <w:bottom w:w="0" w:type="dxa"/>
            </w:tcMar>
            <w:vAlign w:val="center"/>
          </w:tcPr>
          <w:p>
            <w:pPr>
              <w:pStyle w:val="TableContents"/>
              <w:bidi w:val="0"/>
              <w:spacing w:before="0" w:after="283"/>
              <w:jc w:val="left"/>
              <w:rPr/>
            </w:pPr>
            <w:r>
              <w:rPr/>
              <w:t>​</w:t>
            </w:r>
          </w:p>
        </w:tc>
        <w:tc>
          <w:tcPr>
            <w:tcW w:w="1236" w:type="dxa"/>
            <w:gridSpan w:val="4"/>
            <w:tcBorders/>
            <w:shd w:fill="FF6A00" w:val="clear"/>
            <w:tcMar>
              <w:bottom w:w="0" w:type="dxa"/>
            </w:tcMar>
            <w:vAlign w:val="center"/>
          </w:tcPr>
          <w:p>
            <w:pPr>
              <w:pStyle w:val="TableContents"/>
              <w:bidi w:val="0"/>
              <w:spacing w:before="0" w:after="0"/>
              <w:jc w:val="center"/>
              <w:rPr>
                <w:spacing w:val="-1"/>
              </w:rPr>
            </w:pPr>
            <w:r>
              <w:rPr>
                <w:spacing w:val="-1"/>
              </w:rPr>
              <w:t xml:space="preserve">Total </w:t>
              <w:br/>
              <w:t xml:space="preserve">Shareholder </w:t>
              <w:br/>
              <w:t xml:space="preserve">Return ($) </w:t>
            </w:r>
          </w:p>
        </w:tc>
        <w:tc>
          <w:tcPr>
            <w:tcW w:w="109" w:type="dxa"/>
            <w:tcBorders/>
            <w:shd w:fill="FF6A00" w:val="clear"/>
            <w:tcMar>
              <w:bottom w:w="0" w:type="dxa"/>
            </w:tcMar>
            <w:vAlign w:val="center"/>
          </w:tcPr>
          <w:p>
            <w:pPr>
              <w:pStyle w:val="TableContents"/>
              <w:bidi w:val="0"/>
              <w:spacing w:before="0" w:after="283"/>
              <w:jc w:val="left"/>
              <w:rPr/>
            </w:pPr>
            <w:r>
              <w:rPr/>
              <w:t>​</w:t>
            </w:r>
          </w:p>
        </w:tc>
        <w:tc>
          <w:tcPr>
            <w:tcW w:w="109" w:type="dxa"/>
            <w:tcBorders/>
            <w:shd w:fill="FF6A00" w:val="clear"/>
            <w:tcMar>
              <w:bottom w:w="0" w:type="dxa"/>
            </w:tcMar>
            <w:vAlign w:val="center"/>
          </w:tcPr>
          <w:p>
            <w:pPr>
              <w:pStyle w:val="TableContents"/>
              <w:bidi w:val="0"/>
              <w:spacing w:before="0" w:after="283"/>
              <w:jc w:val="left"/>
              <w:rPr/>
            </w:pPr>
            <w:r>
              <w:rPr/>
              <w:t>​</w:t>
            </w:r>
          </w:p>
        </w:tc>
        <w:tc>
          <w:tcPr>
            <w:tcW w:w="1093" w:type="dxa"/>
            <w:gridSpan w:val="4"/>
            <w:tcBorders/>
            <w:shd w:fill="FF6A00" w:val="clear"/>
            <w:tcMar>
              <w:bottom w:w="0" w:type="dxa"/>
            </w:tcMar>
            <w:vAlign w:val="center"/>
          </w:tcPr>
          <w:p>
            <w:pPr>
              <w:pStyle w:val="TableContents"/>
              <w:bidi w:val="0"/>
              <w:spacing w:lineRule="atLeast" w:line="142" w:before="0" w:after="0"/>
              <w:jc w:val="center"/>
              <w:rPr/>
            </w:pPr>
            <w:r>
              <w:rPr>
                <w:spacing w:val="-1"/>
              </w:rPr>
              <w:t xml:space="preserve">S&amp;P 500 </w:t>
              <w:br/>
              <w:t xml:space="preserve">Industrials </w:t>
              <w:br/>
              <w:t xml:space="preserve">(Sector) </w:t>
              <w:br/>
              <w:t>TSR ($)</w:t>
            </w:r>
            <w:r>
              <w:rPr>
                <w:spacing w:val="-1"/>
                <w:sz w:val="9"/>
              </w:rPr>
              <w:t>(3)</w:t>
            </w:r>
            <w:r>
              <w:rPr/>
              <w:t xml:space="preserve"> </w:t>
            </w:r>
          </w:p>
        </w:tc>
        <w:tc>
          <w:tcPr>
            <w:tcW w:w="109" w:type="dxa"/>
            <w:tcBorders/>
            <w:shd w:fill="FF6A00" w:val="clear"/>
            <w:tcMar>
              <w:bottom w:w="0" w:type="dxa"/>
            </w:tcMar>
            <w:vAlign w:val="center"/>
          </w:tcPr>
          <w:p>
            <w:pPr>
              <w:pStyle w:val="TableContents"/>
              <w:bidi w:val="0"/>
              <w:spacing w:before="0" w:after="283"/>
              <w:jc w:val="left"/>
              <w:rPr/>
            </w:pPr>
            <w:r>
              <w:rPr/>
              <w:t>​</w:t>
            </w:r>
          </w:p>
        </w:tc>
        <w:tc>
          <w:tcPr>
            <w:tcW w:w="109" w:type="dxa"/>
            <w:vMerge w:val="continue"/>
            <w:tcBorders/>
            <w:shd w:fill="FF6A00" w:val="clear"/>
            <w:tcMar>
              <w:bottom w:w="0" w:type="dxa"/>
            </w:tcMar>
            <w:vAlign w:val="center"/>
          </w:tcPr>
          <w:p>
            <w:pPr>
              <w:pStyle w:val="Normal"/>
              <w:bidi w:val="0"/>
              <w:jc w:val="left"/>
              <w:rPr/>
            </w:pPr>
            <w:r>
              <w:rPr/>
            </w:r>
          </w:p>
        </w:tc>
        <w:tc>
          <w:tcPr>
            <w:tcW w:w="1101" w:type="dxa"/>
            <w:gridSpan w:val="4"/>
            <w:vMerge w:val="continue"/>
            <w:tcBorders/>
            <w:shd w:fill="FF6A00" w:val="clear"/>
            <w:tcMar>
              <w:bottom w:w="0" w:type="dxa"/>
            </w:tcMar>
            <w:vAlign w:val="center"/>
          </w:tcPr>
          <w:p>
            <w:pPr>
              <w:pStyle w:val="Normal"/>
              <w:bidi w:val="0"/>
              <w:jc w:val="left"/>
              <w:rPr/>
            </w:pPr>
            <w:r>
              <w:rPr/>
            </w:r>
          </w:p>
        </w:tc>
        <w:tc>
          <w:tcPr>
            <w:tcW w:w="109" w:type="dxa"/>
            <w:vMerge w:val="continue"/>
            <w:tcBorders/>
            <w:shd w:fill="FF6A00" w:val="clear"/>
            <w:tcMar>
              <w:bottom w:w="0" w:type="dxa"/>
            </w:tcMar>
            <w:vAlign w:val="center"/>
          </w:tcPr>
          <w:p>
            <w:pPr>
              <w:pStyle w:val="Normal"/>
              <w:bidi w:val="0"/>
              <w:jc w:val="left"/>
              <w:rPr/>
            </w:pPr>
            <w:r>
              <w:rPr/>
            </w:r>
          </w:p>
        </w:tc>
        <w:tc>
          <w:tcPr>
            <w:tcW w:w="109" w:type="dxa"/>
            <w:vMerge w:val="continue"/>
            <w:tcBorders/>
            <w:shd w:fill="FF6A00" w:val="clear"/>
            <w:tcMar>
              <w:bottom w:w="0" w:type="dxa"/>
            </w:tcMar>
            <w:vAlign w:val="center"/>
          </w:tcPr>
          <w:p>
            <w:pPr>
              <w:pStyle w:val="Normal"/>
              <w:bidi w:val="0"/>
              <w:jc w:val="left"/>
              <w:rPr/>
            </w:pPr>
            <w:r>
              <w:rPr/>
            </w:r>
          </w:p>
        </w:tc>
        <w:tc>
          <w:tcPr>
            <w:tcW w:w="1176" w:type="dxa"/>
            <w:gridSpan w:val="4"/>
            <w:vMerge w:val="continue"/>
            <w:tcBorders/>
            <w:shd w:fill="FF6A00" w:val="clear"/>
            <w:tcMar>
              <w:bottom w:w="0" w:type="dxa"/>
            </w:tcMar>
            <w:vAlign w:val="center"/>
          </w:tcPr>
          <w:p>
            <w:pPr>
              <w:pStyle w:val="Normal"/>
              <w:bidi w:val="0"/>
              <w:jc w:val="left"/>
              <w:rPr/>
            </w:pPr>
            <w:r>
              <w:rPr/>
            </w:r>
          </w:p>
        </w:tc>
        <w:tc>
          <w:tcPr>
            <w:tcW w:w="154" w:type="dxa"/>
            <w:vMerge w:val="continue"/>
            <w:tcBorders/>
            <w:shd w:fill="FF6A00" w:val="clear"/>
            <w:tcMar>
              <w:bottom w:w="0" w:type="dxa"/>
            </w:tcMar>
            <w:vAlign w:val="center"/>
          </w:tcPr>
          <w:p>
            <w:pPr>
              <w:pStyle w:val="Normal"/>
              <w:bidi w:val="0"/>
              <w:jc w:val="left"/>
              <w:rPr/>
            </w:pPr>
            <w:r>
              <w:rPr/>
            </w:r>
          </w:p>
        </w:tc>
      </w:tr>
      <w:tr>
        <w:trPr/>
        <w:tc>
          <w:tcPr>
            <w:tcW w:w="124" w:type="dxa"/>
            <w:tcBorders/>
            <w:tcMar>
              <w:bottom w:w="0" w:type="dxa"/>
            </w:tcMar>
            <w:vAlign w:val="center"/>
          </w:tcPr>
          <w:p>
            <w:pPr>
              <w:pStyle w:val="TableContents"/>
              <w:bidi w:val="0"/>
              <w:spacing w:before="0" w:after="283"/>
              <w:jc w:val="left"/>
              <w:rPr/>
            </w:pPr>
            <w:r>
              <w:rPr/>
              <w:t>​</w:t>
            </w:r>
          </w:p>
        </w:tc>
        <w:tc>
          <w:tcPr>
            <w:tcW w:w="656" w:type="dxa"/>
            <w:tcBorders/>
            <w:tcMar>
              <w:bottom w:w="0" w:type="dxa"/>
            </w:tcMar>
            <w:vAlign w:val="center"/>
          </w:tcPr>
          <w:p>
            <w:pPr>
              <w:pStyle w:val="TableContents"/>
              <w:bidi w:val="0"/>
              <w:spacing w:before="0" w:after="283"/>
              <w:jc w:val="left"/>
              <w:rPr>
                <w:spacing w:val="-1"/>
              </w:rPr>
            </w:pPr>
            <w:r>
              <w:rPr>
                <w:spacing w:val="-1"/>
              </w:rPr>
              <w:t xml:space="preserve">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117" w:type="dxa"/>
            <w:tcBorders/>
            <w:tcMar>
              <w:bottom w:w="0" w:type="dxa"/>
            </w:tcMar>
            <w:vAlign w:val="center"/>
          </w:tcPr>
          <w:p>
            <w:pPr>
              <w:pStyle w:val="TableContents"/>
              <w:bidi w:val="0"/>
              <w:spacing w:before="0" w:after="283"/>
              <w:jc w:val="right"/>
              <w:rPr/>
            </w:pPr>
            <w:r>
              <w:rPr/>
              <w:t>8,809,765</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4,503,043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117" w:type="dxa"/>
            <w:tcBorders/>
            <w:tcMar>
              <w:bottom w:w="0" w:type="dxa"/>
            </w:tcMar>
            <w:vAlign w:val="center"/>
          </w:tcPr>
          <w:p>
            <w:pPr>
              <w:pStyle w:val="TableContents"/>
              <w:bidi w:val="0"/>
              <w:spacing w:before="0" w:after="283"/>
              <w:jc w:val="right"/>
              <w:rPr/>
            </w:pPr>
            <w:r>
              <w:rPr/>
              <w:t>1,920,351</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408,612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66" w:type="dxa"/>
            <w:tcBorders/>
            <w:tcMar>
              <w:bottom w:w="0" w:type="dxa"/>
            </w:tcMar>
            <w:vAlign w:val="center"/>
          </w:tcPr>
          <w:p>
            <w:pPr>
              <w:pStyle w:val="TableContents"/>
              <w:bidi w:val="0"/>
              <w:spacing w:before="0" w:after="283"/>
              <w:jc w:val="right"/>
              <w:rPr/>
            </w:pPr>
            <w:r>
              <w:rPr/>
              <w:t>59.93</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189.72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730" w:type="dxa"/>
            <w:tcBorders/>
            <w:tcMar>
              <w:bottom w:w="0" w:type="dxa"/>
            </w:tcMar>
            <w:vAlign w:val="center"/>
          </w:tcPr>
          <w:p>
            <w:pPr>
              <w:pStyle w:val="TableContents"/>
              <w:bidi w:val="0"/>
              <w:spacing w:before="0" w:after="283"/>
              <w:jc w:val="right"/>
              <w:rPr/>
            </w:pPr>
            <w:r>
              <w:rPr/>
              <w:t>161.4</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715.5</w:t>
            </w:r>
          </w:p>
        </w:tc>
        <w:tc>
          <w:tcPr>
            <w:tcW w:w="13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B2B2B2" w:val="clear"/>
            <w:tcMar>
              <w:bottom w:w="0" w:type="dxa"/>
            </w:tcMar>
            <w:vAlign w:val="center"/>
          </w:tcPr>
          <w:p>
            <w:pPr>
              <w:pStyle w:val="TableContents"/>
              <w:bidi w:val="0"/>
              <w:spacing w:before="0" w:after="283"/>
              <w:jc w:val="left"/>
              <w:rPr/>
            </w:pPr>
            <w:r>
              <w:rPr/>
              <w:t>​</w:t>
            </w:r>
          </w:p>
        </w:tc>
        <w:tc>
          <w:tcPr>
            <w:tcW w:w="656" w:type="dxa"/>
            <w:tcBorders/>
            <w:shd w:fill="B2B2B2" w:val="clear"/>
            <w:tcMar>
              <w:bottom w:w="0" w:type="dxa"/>
            </w:tcMar>
            <w:vAlign w:val="center"/>
          </w:tcPr>
          <w:p>
            <w:pPr>
              <w:pStyle w:val="TableContents"/>
              <w:bidi w:val="0"/>
              <w:spacing w:before="0" w:after="283"/>
              <w:jc w:val="left"/>
              <w:rPr>
                <w:spacing w:val="-1"/>
              </w:rPr>
            </w:pPr>
            <w:r>
              <w:rPr>
                <w:spacing w:val="-1"/>
              </w:rPr>
              <w:t xml:space="preserve">2024 </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14" w:type="dxa"/>
            <w:tcBorders/>
            <w:shd w:fill="B2B2B2" w:val="clear"/>
            <w:tcMar>
              <w:bottom w:w="0" w:type="dxa"/>
            </w:tcMar>
            <w:vAlign w:val="center"/>
          </w:tcPr>
          <w:p>
            <w:pPr>
              <w:pStyle w:val="TableContents"/>
              <w:bidi w:val="0"/>
              <w:spacing w:before="0" w:after="283"/>
              <w:jc w:val="left"/>
              <w:rPr/>
            </w:pPr>
            <w:r>
              <w:rPr/>
              <w:t>​</w:t>
            </w:r>
          </w:p>
        </w:tc>
        <w:tc>
          <w:tcPr>
            <w:tcW w:w="114" w:type="dxa"/>
            <w:tcBorders/>
            <w:shd w:fill="B2B2B2" w:val="clear"/>
            <w:tcMar>
              <w:bottom w:w="0" w:type="dxa"/>
            </w:tcMar>
            <w:vAlign w:val="center"/>
          </w:tcPr>
          <w:p>
            <w:pPr>
              <w:pStyle w:val="TableContents"/>
              <w:bidi w:val="0"/>
              <w:spacing w:before="0" w:after="283"/>
              <w:jc w:val="right"/>
              <w:rPr/>
            </w:pPr>
            <w:r>
              <w:rPr/>
              <w:t>​</w:t>
            </w:r>
          </w:p>
        </w:tc>
        <w:tc>
          <w:tcPr>
            <w:tcW w:w="1117" w:type="dxa"/>
            <w:tcBorders/>
            <w:shd w:fill="B2B2B2" w:val="clear"/>
            <w:tcMar>
              <w:bottom w:w="0" w:type="dxa"/>
            </w:tcMar>
            <w:vAlign w:val="center"/>
          </w:tcPr>
          <w:p>
            <w:pPr>
              <w:pStyle w:val="TableContents"/>
              <w:bidi w:val="0"/>
              <w:spacing w:before="0" w:after="283"/>
              <w:jc w:val="right"/>
              <w:rPr/>
            </w:pPr>
            <w:r>
              <w:rPr/>
              <w:t>9,297,966</w:t>
            </w:r>
          </w:p>
        </w:tc>
        <w:tc>
          <w:tcPr>
            <w:tcW w:w="115"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1261" w:type="dxa"/>
            <w:tcBorders/>
            <w:shd w:fill="B2B2B2" w:val="clear"/>
            <w:tcMar>
              <w:bottom w:w="0" w:type="dxa"/>
            </w:tcMar>
            <w:vAlign w:val="center"/>
          </w:tcPr>
          <w:p>
            <w:pPr>
              <w:pStyle w:val="TableContents"/>
              <w:bidi w:val="0"/>
              <w:spacing w:before="0" w:after="283"/>
              <w:jc w:val="right"/>
              <w:rPr/>
            </w:pPr>
            <w:r>
              <w:rPr/>
              <w:t>12,023,483</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14" w:type="dxa"/>
            <w:tcBorders/>
            <w:shd w:fill="B2B2B2" w:val="clear"/>
            <w:tcMar>
              <w:bottom w:w="0" w:type="dxa"/>
            </w:tcMar>
            <w:vAlign w:val="center"/>
          </w:tcPr>
          <w:p>
            <w:pPr>
              <w:pStyle w:val="TableContents"/>
              <w:bidi w:val="0"/>
              <w:spacing w:before="0" w:after="283"/>
              <w:jc w:val="left"/>
              <w:rPr/>
            </w:pPr>
            <w:r>
              <w:rPr/>
              <w:t>​</w:t>
            </w:r>
          </w:p>
        </w:tc>
        <w:tc>
          <w:tcPr>
            <w:tcW w:w="114" w:type="dxa"/>
            <w:tcBorders/>
            <w:shd w:fill="B2B2B2" w:val="clear"/>
            <w:tcMar>
              <w:bottom w:w="0" w:type="dxa"/>
            </w:tcMar>
            <w:vAlign w:val="center"/>
          </w:tcPr>
          <w:p>
            <w:pPr>
              <w:pStyle w:val="TableContents"/>
              <w:bidi w:val="0"/>
              <w:spacing w:before="0" w:after="283"/>
              <w:jc w:val="right"/>
              <w:rPr/>
            </w:pPr>
            <w:r>
              <w:rPr/>
              <w:t>​</w:t>
            </w:r>
          </w:p>
        </w:tc>
        <w:tc>
          <w:tcPr>
            <w:tcW w:w="1117" w:type="dxa"/>
            <w:tcBorders/>
            <w:shd w:fill="B2B2B2" w:val="clear"/>
            <w:tcMar>
              <w:bottom w:w="0" w:type="dxa"/>
            </w:tcMar>
            <w:vAlign w:val="center"/>
          </w:tcPr>
          <w:p>
            <w:pPr>
              <w:pStyle w:val="TableContents"/>
              <w:bidi w:val="0"/>
              <w:spacing w:before="0" w:after="283"/>
              <w:jc w:val="right"/>
              <w:rPr/>
            </w:pPr>
            <w:r>
              <w:rPr/>
              <w:t>2,463,437</w:t>
            </w:r>
          </w:p>
        </w:tc>
        <w:tc>
          <w:tcPr>
            <w:tcW w:w="115"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1141" w:type="dxa"/>
            <w:tcBorders/>
            <w:shd w:fill="B2B2B2" w:val="clear"/>
            <w:tcMar>
              <w:bottom w:w="0" w:type="dxa"/>
            </w:tcMar>
            <w:vAlign w:val="center"/>
          </w:tcPr>
          <w:p>
            <w:pPr>
              <w:pStyle w:val="TableContents"/>
              <w:bidi w:val="0"/>
              <w:spacing w:before="0" w:after="283"/>
              <w:jc w:val="right"/>
              <w:rPr/>
            </w:pPr>
            <w:r>
              <w:rPr/>
              <w:t>3,140,627</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23" w:type="dxa"/>
            <w:tcBorders/>
            <w:shd w:fill="B2B2B2" w:val="clear"/>
            <w:tcMar>
              <w:bottom w:w="0" w:type="dxa"/>
            </w:tcMar>
            <w:vAlign w:val="center"/>
          </w:tcPr>
          <w:p>
            <w:pPr>
              <w:pStyle w:val="TableContents"/>
              <w:bidi w:val="0"/>
              <w:spacing w:before="0" w:after="283"/>
              <w:jc w:val="left"/>
              <w:rPr/>
            </w:pPr>
            <w:r>
              <w:rPr/>
              <w:t>​</w:t>
            </w:r>
          </w:p>
        </w:tc>
        <w:tc>
          <w:tcPr>
            <w:tcW w:w="123" w:type="dxa"/>
            <w:tcBorders/>
            <w:shd w:fill="B2B2B2" w:val="clear"/>
            <w:tcMar>
              <w:bottom w:w="0" w:type="dxa"/>
            </w:tcMar>
            <w:vAlign w:val="center"/>
          </w:tcPr>
          <w:p>
            <w:pPr>
              <w:pStyle w:val="TableContents"/>
              <w:bidi w:val="0"/>
              <w:spacing w:before="0" w:after="283"/>
              <w:jc w:val="right"/>
              <w:rPr/>
            </w:pPr>
            <w:r>
              <w:rPr/>
              <w:t>​</w:t>
            </w:r>
          </w:p>
        </w:tc>
        <w:tc>
          <w:tcPr>
            <w:tcW w:w="866" w:type="dxa"/>
            <w:tcBorders/>
            <w:shd w:fill="B2B2B2" w:val="clear"/>
            <w:tcMar>
              <w:bottom w:w="0" w:type="dxa"/>
            </w:tcMar>
            <w:vAlign w:val="center"/>
          </w:tcPr>
          <w:p>
            <w:pPr>
              <w:pStyle w:val="TableContents"/>
              <w:bidi w:val="0"/>
              <w:spacing w:before="0" w:after="283"/>
              <w:jc w:val="right"/>
              <w:rPr/>
            </w:pPr>
            <w:r>
              <w:rPr/>
              <w:t>68.15</w:t>
            </w:r>
          </w:p>
        </w:tc>
        <w:tc>
          <w:tcPr>
            <w:tcW w:w="124"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66" w:type="dxa"/>
            <w:tcBorders/>
            <w:shd w:fill="B2B2B2" w:val="clear"/>
            <w:tcMar>
              <w:bottom w:w="0" w:type="dxa"/>
            </w:tcMar>
            <w:vAlign w:val="center"/>
          </w:tcPr>
          <w:p>
            <w:pPr>
              <w:pStyle w:val="TableContents"/>
              <w:bidi w:val="0"/>
              <w:spacing w:before="0" w:after="283"/>
              <w:jc w:val="right"/>
              <w:rPr/>
            </w:pPr>
            <w:r>
              <w:rPr/>
              <w:t>158.87</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23" w:type="dxa"/>
            <w:tcBorders/>
            <w:shd w:fill="B2B2B2" w:val="clear"/>
            <w:tcMar>
              <w:bottom w:w="0" w:type="dxa"/>
            </w:tcMar>
            <w:vAlign w:val="center"/>
          </w:tcPr>
          <w:p>
            <w:pPr>
              <w:pStyle w:val="TableContents"/>
              <w:bidi w:val="0"/>
              <w:spacing w:before="0" w:after="283"/>
              <w:jc w:val="left"/>
              <w:rPr/>
            </w:pPr>
            <w:r>
              <w:rPr/>
              <w:t>​</w:t>
            </w:r>
          </w:p>
        </w:tc>
        <w:tc>
          <w:tcPr>
            <w:tcW w:w="123" w:type="dxa"/>
            <w:tcBorders/>
            <w:shd w:fill="B2B2B2" w:val="clear"/>
            <w:tcMar>
              <w:bottom w:w="0" w:type="dxa"/>
            </w:tcMar>
            <w:vAlign w:val="center"/>
          </w:tcPr>
          <w:p>
            <w:pPr>
              <w:pStyle w:val="TableContents"/>
              <w:bidi w:val="0"/>
              <w:spacing w:before="0" w:after="283"/>
              <w:jc w:val="right"/>
              <w:rPr/>
            </w:pPr>
            <w:r>
              <w:rPr/>
              <w:t>​</w:t>
            </w:r>
          </w:p>
        </w:tc>
        <w:tc>
          <w:tcPr>
            <w:tcW w:w="730" w:type="dxa"/>
            <w:tcBorders/>
            <w:shd w:fill="B2B2B2" w:val="clear"/>
            <w:tcMar>
              <w:bottom w:w="0" w:type="dxa"/>
            </w:tcMar>
            <w:vAlign w:val="center"/>
          </w:tcPr>
          <w:p>
            <w:pPr>
              <w:pStyle w:val="TableContents"/>
              <w:bidi w:val="0"/>
              <w:spacing w:before="0" w:after="283"/>
              <w:jc w:val="right"/>
              <w:rPr/>
            </w:pPr>
            <w:r>
              <w:rPr/>
              <w:t>316.9</w:t>
            </w:r>
          </w:p>
        </w:tc>
        <w:tc>
          <w:tcPr>
            <w:tcW w:w="125"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31" w:type="dxa"/>
            <w:tcBorders/>
            <w:shd w:fill="B2B2B2" w:val="clear"/>
            <w:tcMar>
              <w:bottom w:w="0" w:type="dxa"/>
            </w:tcMar>
            <w:vAlign w:val="center"/>
          </w:tcPr>
          <w:p>
            <w:pPr>
              <w:pStyle w:val="TableContents"/>
              <w:bidi w:val="0"/>
              <w:spacing w:before="0" w:after="283"/>
              <w:jc w:val="left"/>
              <w:rPr/>
            </w:pPr>
            <w:r>
              <w:rPr/>
              <w:t>​</w:t>
            </w:r>
          </w:p>
        </w:tc>
        <w:tc>
          <w:tcPr>
            <w:tcW w:w="131" w:type="dxa"/>
            <w:tcBorders/>
            <w:shd w:fill="B2B2B2" w:val="clear"/>
            <w:tcMar>
              <w:bottom w:w="0" w:type="dxa"/>
            </w:tcMar>
            <w:vAlign w:val="center"/>
          </w:tcPr>
          <w:p>
            <w:pPr>
              <w:pStyle w:val="TableContents"/>
              <w:bidi w:val="0"/>
              <w:spacing w:before="0" w:after="283"/>
              <w:jc w:val="right"/>
              <w:rPr/>
            </w:pPr>
            <w:r>
              <w:rPr/>
              <w:t>​</w:t>
            </w:r>
          </w:p>
        </w:tc>
        <w:tc>
          <w:tcPr>
            <w:tcW w:w="780" w:type="dxa"/>
            <w:tcBorders/>
            <w:shd w:fill="B2B2B2" w:val="clear"/>
            <w:tcMar>
              <w:bottom w:w="0" w:type="dxa"/>
            </w:tcMar>
            <w:vAlign w:val="center"/>
          </w:tcPr>
          <w:p>
            <w:pPr>
              <w:pStyle w:val="TableContents"/>
              <w:bidi w:val="0"/>
              <w:spacing w:before="0" w:after="283"/>
              <w:jc w:val="right"/>
              <w:rPr/>
            </w:pPr>
            <w:r>
              <w:rPr/>
              <w:t>789.1</w:t>
            </w:r>
          </w:p>
        </w:tc>
        <w:tc>
          <w:tcPr>
            <w:tcW w:w="134" w:type="dxa"/>
            <w:tcBorders/>
            <w:shd w:fill="B2B2B2" w:val="clear"/>
            <w:tcMar>
              <w:bottom w:w="0" w:type="dxa"/>
            </w:tcMar>
            <w:vAlign w:val="center"/>
          </w:tcPr>
          <w:p>
            <w:pPr>
              <w:pStyle w:val="TableContents"/>
              <w:bidi w:val="0"/>
              <w:spacing w:before="0" w:after="283"/>
              <w:jc w:val="left"/>
              <w:rPr/>
            </w:pPr>
            <w:r>
              <w:rPr/>
              <w:t>​</w:t>
            </w:r>
          </w:p>
        </w:tc>
        <w:tc>
          <w:tcPr>
            <w:tcW w:w="154" w:type="dxa"/>
            <w:tcBorders/>
            <w:shd w:fill="B2B2B2"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56" w:type="dxa"/>
            <w:tcBorders/>
            <w:tcMar>
              <w:bottom w:w="0" w:type="dxa"/>
            </w:tcMar>
            <w:vAlign w:val="center"/>
          </w:tcPr>
          <w:p>
            <w:pPr>
              <w:pStyle w:val="TableContents"/>
              <w:bidi w:val="0"/>
              <w:spacing w:before="0" w:after="283"/>
              <w:jc w:val="left"/>
              <w:rPr>
                <w:spacing w:val="-1"/>
              </w:rPr>
            </w:pPr>
            <w:r>
              <w:rPr>
                <w:spacing w:val="-1"/>
              </w:rPr>
              <w:t xml:space="preserve">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117" w:type="dxa"/>
            <w:tcBorders/>
            <w:tcMar>
              <w:bottom w:w="0" w:type="dxa"/>
            </w:tcMar>
            <w:vAlign w:val="center"/>
          </w:tcPr>
          <w:p>
            <w:pPr>
              <w:pStyle w:val="TableContents"/>
              <w:bidi w:val="0"/>
              <w:spacing w:before="0" w:after="283"/>
              <w:jc w:val="right"/>
              <w:rPr/>
            </w:pPr>
            <w:r>
              <w:rPr/>
              <w:t>7,084,966</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9,034,716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117" w:type="dxa"/>
            <w:tcBorders/>
            <w:tcMar>
              <w:bottom w:w="0" w:type="dxa"/>
            </w:tcMar>
            <w:vAlign w:val="center"/>
          </w:tcPr>
          <w:p>
            <w:pPr>
              <w:pStyle w:val="TableContents"/>
              <w:bidi w:val="0"/>
              <w:spacing w:before="0" w:after="283"/>
              <w:jc w:val="right"/>
              <w:rPr/>
            </w:pPr>
            <w:r>
              <w:rPr/>
              <w:t>1,771,206</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2,130,483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66" w:type="dxa"/>
            <w:tcBorders/>
            <w:tcMar>
              <w:bottom w:w="0" w:type="dxa"/>
            </w:tcMar>
            <w:vAlign w:val="center"/>
          </w:tcPr>
          <w:p>
            <w:pPr>
              <w:pStyle w:val="TableContents"/>
              <w:bidi w:val="0"/>
              <w:spacing w:before="0" w:after="283"/>
              <w:jc w:val="right"/>
              <w:rPr/>
            </w:pPr>
            <w:r>
              <w:rPr/>
              <w:t>56.81</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135.24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730" w:type="dxa"/>
            <w:tcBorders/>
            <w:tcMar>
              <w:bottom w:w="0" w:type="dxa"/>
            </w:tcMar>
            <w:vAlign w:val="center"/>
          </w:tcPr>
          <w:p>
            <w:pPr>
              <w:pStyle w:val="TableContents"/>
              <w:bidi w:val="0"/>
              <w:spacing w:before="0" w:after="283"/>
              <w:jc w:val="right"/>
              <w:rPr/>
            </w:pPr>
            <w:r>
              <w:rPr/>
              <w:t>217.1</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637.9</w:t>
            </w:r>
          </w:p>
        </w:tc>
        <w:tc>
          <w:tcPr>
            <w:tcW w:w="13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B2B2B2" w:val="clear"/>
            <w:tcMar>
              <w:bottom w:w="0" w:type="dxa"/>
            </w:tcMar>
            <w:vAlign w:val="center"/>
          </w:tcPr>
          <w:p>
            <w:pPr>
              <w:pStyle w:val="TableContents"/>
              <w:bidi w:val="0"/>
              <w:spacing w:before="0" w:after="283"/>
              <w:jc w:val="left"/>
              <w:rPr/>
            </w:pPr>
            <w:r>
              <w:rPr/>
              <w:t>​</w:t>
            </w:r>
          </w:p>
        </w:tc>
        <w:tc>
          <w:tcPr>
            <w:tcW w:w="656" w:type="dxa"/>
            <w:tcBorders/>
            <w:shd w:fill="B2B2B2" w:val="clear"/>
            <w:tcMar>
              <w:bottom w:w="0" w:type="dxa"/>
            </w:tcMar>
            <w:vAlign w:val="center"/>
          </w:tcPr>
          <w:p>
            <w:pPr>
              <w:pStyle w:val="TableContents"/>
              <w:bidi w:val="0"/>
              <w:spacing w:before="0" w:after="283"/>
              <w:jc w:val="left"/>
              <w:rPr>
                <w:spacing w:val="-1"/>
              </w:rPr>
            </w:pPr>
            <w:r>
              <w:rPr>
                <w:spacing w:val="-1"/>
              </w:rPr>
              <w:t xml:space="preserve">2022 </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14" w:type="dxa"/>
            <w:tcBorders/>
            <w:shd w:fill="B2B2B2" w:val="clear"/>
            <w:tcMar>
              <w:bottom w:w="0" w:type="dxa"/>
            </w:tcMar>
            <w:vAlign w:val="center"/>
          </w:tcPr>
          <w:p>
            <w:pPr>
              <w:pStyle w:val="TableContents"/>
              <w:bidi w:val="0"/>
              <w:spacing w:before="0" w:after="283"/>
              <w:jc w:val="left"/>
              <w:rPr/>
            </w:pPr>
            <w:r>
              <w:rPr/>
              <w:t>​</w:t>
            </w:r>
          </w:p>
        </w:tc>
        <w:tc>
          <w:tcPr>
            <w:tcW w:w="114" w:type="dxa"/>
            <w:tcBorders/>
            <w:shd w:fill="B2B2B2" w:val="clear"/>
            <w:tcMar>
              <w:bottom w:w="0" w:type="dxa"/>
            </w:tcMar>
            <w:vAlign w:val="center"/>
          </w:tcPr>
          <w:p>
            <w:pPr>
              <w:pStyle w:val="TableContents"/>
              <w:bidi w:val="0"/>
              <w:spacing w:before="0" w:after="283"/>
              <w:jc w:val="right"/>
              <w:rPr/>
            </w:pPr>
            <w:r>
              <w:rPr/>
              <w:t>​</w:t>
            </w:r>
          </w:p>
        </w:tc>
        <w:tc>
          <w:tcPr>
            <w:tcW w:w="1117" w:type="dxa"/>
            <w:tcBorders/>
            <w:shd w:fill="B2B2B2" w:val="clear"/>
            <w:tcMar>
              <w:bottom w:w="0" w:type="dxa"/>
            </w:tcMar>
            <w:vAlign w:val="center"/>
          </w:tcPr>
          <w:p>
            <w:pPr>
              <w:pStyle w:val="TableContents"/>
              <w:bidi w:val="0"/>
              <w:spacing w:before="0" w:after="283"/>
              <w:jc w:val="right"/>
              <w:rPr/>
            </w:pPr>
            <w:r>
              <w:rPr/>
              <w:t>6,807,676</w:t>
            </w:r>
          </w:p>
        </w:tc>
        <w:tc>
          <w:tcPr>
            <w:tcW w:w="115"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1261" w:type="dxa"/>
            <w:tcBorders/>
            <w:shd w:fill="B2B2B2" w:val="clear"/>
            <w:tcMar>
              <w:bottom w:w="0" w:type="dxa"/>
            </w:tcMar>
            <w:vAlign w:val="center"/>
          </w:tcPr>
          <w:p>
            <w:pPr>
              <w:pStyle w:val="TableContents"/>
              <w:bidi w:val="0"/>
              <w:spacing w:before="0" w:after="283"/>
              <w:jc w:val="right"/>
              <w:rPr/>
            </w:pPr>
            <w:r>
              <w:rPr/>
              <w:t>(19,271,201)</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14" w:type="dxa"/>
            <w:tcBorders/>
            <w:shd w:fill="B2B2B2" w:val="clear"/>
            <w:tcMar>
              <w:bottom w:w="0" w:type="dxa"/>
            </w:tcMar>
            <w:vAlign w:val="center"/>
          </w:tcPr>
          <w:p>
            <w:pPr>
              <w:pStyle w:val="TableContents"/>
              <w:bidi w:val="0"/>
              <w:spacing w:before="0" w:after="283"/>
              <w:jc w:val="left"/>
              <w:rPr/>
            </w:pPr>
            <w:r>
              <w:rPr/>
              <w:t>​</w:t>
            </w:r>
          </w:p>
        </w:tc>
        <w:tc>
          <w:tcPr>
            <w:tcW w:w="114" w:type="dxa"/>
            <w:tcBorders/>
            <w:shd w:fill="B2B2B2" w:val="clear"/>
            <w:tcMar>
              <w:bottom w:w="0" w:type="dxa"/>
            </w:tcMar>
            <w:vAlign w:val="center"/>
          </w:tcPr>
          <w:p>
            <w:pPr>
              <w:pStyle w:val="TableContents"/>
              <w:bidi w:val="0"/>
              <w:spacing w:before="0" w:after="283"/>
              <w:jc w:val="right"/>
              <w:rPr/>
            </w:pPr>
            <w:r>
              <w:rPr/>
              <w:t>​</w:t>
            </w:r>
          </w:p>
        </w:tc>
        <w:tc>
          <w:tcPr>
            <w:tcW w:w="1117" w:type="dxa"/>
            <w:tcBorders/>
            <w:shd w:fill="B2B2B2" w:val="clear"/>
            <w:tcMar>
              <w:bottom w:w="0" w:type="dxa"/>
            </w:tcMar>
            <w:vAlign w:val="center"/>
          </w:tcPr>
          <w:p>
            <w:pPr>
              <w:pStyle w:val="TableContents"/>
              <w:bidi w:val="0"/>
              <w:spacing w:before="0" w:after="283"/>
              <w:jc w:val="right"/>
              <w:rPr/>
            </w:pPr>
            <w:r>
              <w:rPr/>
              <w:t>1,613,648</w:t>
            </w:r>
          </w:p>
        </w:tc>
        <w:tc>
          <w:tcPr>
            <w:tcW w:w="115"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1141" w:type="dxa"/>
            <w:tcBorders/>
            <w:shd w:fill="B2B2B2" w:val="clear"/>
            <w:tcMar>
              <w:bottom w:w="0" w:type="dxa"/>
            </w:tcMar>
            <w:vAlign w:val="center"/>
          </w:tcPr>
          <w:p>
            <w:pPr>
              <w:pStyle w:val="TableContents"/>
              <w:bidi w:val="0"/>
              <w:spacing w:before="0" w:after="283"/>
              <w:jc w:val="right"/>
              <w:rPr/>
            </w:pPr>
            <w:r>
              <w:rPr/>
              <w:t>(2,405,918)</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23" w:type="dxa"/>
            <w:tcBorders/>
            <w:shd w:fill="B2B2B2" w:val="clear"/>
            <w:tcMar>
              <w:bottom w:w="0" w:type="dxa"/>
            </w:tcMar>
            <w:vAlign w:val="center"/>
          </w:tcPr>
          <w:p>
            <w:pPr>
              <w:pStyle w:val="TableContents"/>
              <w:bidi w:val="0"/>
              <w:spacing w:before="0" w:after="283"/>
              <w:jc w:val="left"/>
              <w:rPr/>
            </w:pPr>
            <w:r>
              <w:rPr/>
              <w:t>​</w:t>
            </w:r>
          </w:p>
        </w:tc>
        <w:tc>
          <w:tcPr>
            <w:tcW w:w="123" w:type="dxa"/>
            <w:tcBorders/>
            <w:shd w:fill="B2B2B2" w:val="clear"/>
            <w:tcMar>
              <w:bottom w:w="0" w:type="dxa"/>
            </w:tcMar>
            <w:vAlign w:val="center"/>
          </w:tcPr>
          <w:p>
            <w:pPr>
              <w:pStyle w:val="TableContents"/>
              <w:bidi w:val="0"/>
              <w:spacing w:before="0" w:after="283"/>
              <w:jc w:val="right"/>
              <w:rPr/>
            </w:pPr>
            <w:r>
              <w:rPr/>
              <w:t>​</w:t>
            </w:r>
          </w:p>
        </w:tc>
        <w:tc>
          <w:tcPr>
            <w:tcW w:w="866" w:type="dxa"/>
            <w:tcBorders/>
            <w:shd w:fill="B2B2B2" w:val="clear"/>
            <w:tcMar>
              <w:bottom w:w="0" w:type="dxa"/>
            </w:tcMar>
            <w:vAlign w:val="center"/>
          </w:tcPr>
          <w:p>
            <w:pPr>
              <w:pStyle w:val="TableContents"/>
              <w:bidi w:val="0"/>
              <w:spacing w:before="0" w:after="283"/>
              <w:jc w:val="right"/>
              <w:rPr/>
            </w:pPr>
            <w:r>
              <w:rPr/>
              <w:t>44.25</w:t>
            </w:r>
          </w:p>
        </w:tc>
        <w:tc>
          <w:tcPr>
            <w:tcW w:w="124"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right"/>
              <w:rPr/>
            </w:pPr>
            <w:r>
              <w:rPr/>
              <w:t>​</w:t>
            </w:r>
          </w:p>
        </w:tc>
        <w:tc>
          <w:tcPr>
            <w:tcW w:w="766" w:type="dxa"/>
            <w:tcBorders/>
            <w:shd w:fill="B2B2B2" w:val="clear"/>
            <w:tcMar>
              <w:bottom w:w="0" w:type="dxa"/>
            </w:tcMar>
            <w:vAlign w:val="center"/>
          </w:tcPr>
          <w:p>
            <w:pPr>
              <w:pStyle w:val="TableContents"/>
              <w:bidi w:val="0"/>
              <w:spacing w:before="0" w:after="283"/>
              <w:jc w:val="right"/>
              <w:rPr/>
            </w:pPr>
            <w:r>
              <w:rPr/>
              <w:t>114.48</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23" w:type="dxa"/>
            <w:tcBorders/>
            <w:shd w:fill="B2B2B2" w:val="clear"/>
            <w:tcMar>
              <w:bottom w:w="0" w:type="dxa"/>
            </w:tcMar>
            <w:vAlign w:val="center"/>
          </w:tcPr>
          <w:p>
            <w:pPr>
              <w:pStyle w:val="TableContents"/>
              <w:bidi w:val="0"/>
              <w:spacing w:before="0" w:after="283"/>
              <w:jc w:val="left"/>
              <w:rPr/>
            </w:pPr>
            <w:r>
              <w:rPr/>
              <w:t>​</w:t>
            </w:r>
          </w:p>
        </w:tc>
        <w:tc>
          <w:tcPr>
            <w:tcW w:w="123" w:type="dxa"/>
            <w:tcBorders/>
            <w:shd w:fill="B2B2B2" w:val="clear"/>
            <w:tcMar>
              <w:bottom w:w="0" w:type="dxa"/>
            </w:tcMar>
            <w:vAlign w:val="center"/>
          </w:tcPr>
          <w:p>
            <w:pPr>
              <w:pStyle w:val="TableContents"/>
              <w:bidi w:val="0"/>
              <w:spacing w:before="0" w:after="283"/>
              <w:jc w:val="right"/>
              <w:rPr/>
            </w:pPr>
            <w:r>
              <w:rPr/>
              <w:t>​</w:t>
            </w:r>
          </w:p>
        </w:tc>
        <w:tc>
          <w:tcPr>
            <w:tcW w:w="730" w:type="dxa"/>
            <w:tcBorders/>
            <w:shd w:fill="B2B2B2" w:val="clear"/>
            <w:tcMar>
              <w:bottom w:w="0" w:type="dxa"/>
            </w:tcMar>
            <w:vAlign w:val="center"/>
          </w:tcPr>
          <w:p>
            <w:pPr>
              <w:pStyle w:val="TableContents"/>
              <w:bidi w:val="0"/>
              <w:spacing w:before="0" w:after="283"/>
              <w:jc w:val="right"/>
              <w:rPr/>
            </w:pPr>
            <w:r>
              <w:rPr/>
              <w:t>408.9</w:t>
            </w:r>
          </w:p>
        </w:tc>
        <w:tc>
          <w:tcPr>
            <w:tcW w:w="125"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31" w:type="dxa"/>
            <w:tcBorders/>
            <w:shd w:fill="B2B2B2" w:val="clear"/>
            <w:tcMar>
              <w:bottom w:w="0" w:type="dxa"/>
            </w:tcMar>
            <w:vAlign w:val="center"/>
          </w:tcPr>
          <w:p>
            <w:pPr>
              <w:pStyle w:val="TableContents"/>
              <w:bidi w:val="0"/>
              <w:spacing w:before="0" w:after="283"/>
              <w:jc w:val="left"/>
              <w:rPr/>
            </w:pPr>
            <w:r>
              <w:rPr/>
              <w:t>​</w:t>
            </w:r>
          </w:p>
        </w:tc>
        <w:tc>
          <w:tcPr>
            <w:tcW w:w="131" w:type="dxa"/>
            <w:tcBorders/>
            <w:shd w:fill="B2B2B2" w:val="clear"/>
            <w:tcMar>
              <w:bottom w:w="0" w:type="dxa"/>
            </w:tcMar>
            <w:vAlign w:val="center"/>
          </w:tcPr>
          <w:p>
            <w:pPr>
              <w:pStyle w:val="TableContents"/>
              <w:bidi w:val="0"/>
              <w:spacing w:before="0" w:after="283"/>
              <w:jc w:val="right"/>
              <w:rPr/>
            </w:pPr>
            <w:r>
              <w:rPr/>
              <w:t>​</w:t>
            </w:r>
          </w:p>
        </w:tc>
        <w:tc>
          <w:tcPr>
            <w:tcW w:w="780" w:type="dxa"/>
            <w:tcBorders/>
            <w:shd w:fill="B2B2B2" w:val="clear"/>
            <w:tcMar>
              <w:bottom w:w="0" w:type="dxa"/>
            </w:tcMar>
            <w:vAlign w:val="center"/>
          </w:tcPr>
          <w:p>
            <w:pPr>
              <w:pStyle w:val="TableContents"/>
              <w:bidi w:val="0"/>
              <w:spacing w:before="0" w:after="283"/>
              <w:jc w:val="right"/>
              <w:rPr/>
            </w:pPr>
            <w:r>
              <w:rPr/>
              <w:t>825.4</w:t>
            </w:r>
          </w:p>
        </w:tc>
        <w:tc>
          <w:tcPr>
            <w:tcW w:w="134" w:type="dxa"/>
            <w:tcBorders/>
            <w:shd w:fill="B2B2B2" w:val="clear"/>
            <w:tcMar>
              <w:bottom w:w="0" w:type="dxa"/>
            </w:tcMar>
            <w:vAlign w:val="center"/>
          </w:tcPr>
          <w:p>
            <w:pPr>
              <w:pStyle w:val="TableContents"/>
              <w:bidi w:val="0"/>
              <w:spacing w:before="0" w:after="283"/>
              <w:jc w:val="left"/>
              <w:rPr/>
            </w:pPr>
            <w:r>
              <w:rPr/>
              <w:t>​</w:t>
            </w:r>
          </w:p>
        </w:tc>
        <w:tc>
          <w:tcPr>
            <w:tcW w:w="154" w:type="dxa"/>
            <w:tcBorders/>
            <w:shd w:fill="B2B2B2"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656" w:type="dxa"/>
            <w:tcBorders>
              <w:bottom w:val="single" w:sz="2" w:space="0" w:color="000000"/>
            </w:tcBorders>
            <w:tcMar>
              <w:bottom w:w="59" w:type="dxa"/>
            </w:tcMar>
            <w:vAlign w:val="center"/>
          </w:tcPr>
          <w:p>
            <w:pPr>
              <w:pStyle w:val="TableContents"/>
              <w:bidi w:val="0"/>
              <w:spacing w:before="0" w:after="283"/>
              <w:jc w:val="left"/>
              <w:rPr>
                <w:spacing w:val="-1"/>
              </w:rPr>
            </w:pPr>
            <w:r>
              <w:rPr>
                <w:spacing w:val="-1"/>
              </w:rPr>
              <w:t xml:space="preserve">2021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14" w:type="dxa"/>
            <w:tcBorders>
              <w:bottom w:val="single" w:sz="2" w:space="0" w:color="000000"/>
            </w:tcBorders>
            <w:vAlign w:val="center"/>
          </w:tcPr>
          <w:p>
            <w:pPr>
              <w:pStyle w:val="TableContents"/>
              <w:bidi w:val="0"/>
              <w:spacing w:before="0" w:after="283"/>
              <w:jc w:val="left"/>
              <w:rPr/>
            </w:pPr>
            <w:r>
              <w:rPr/>
              <w:t>​</w:t>
            </w:r>
          </w:p>
        </w:tc>
        <w:tc>
          <w:tcPr>
            <w:tcW w:w="114" w:type="dxa"/>
            <w:tcBorders>
              <w:bottom w:val="single" w:sz="2" w:space="0" w:color="000000"/>
            </w:tcBorders>
            <w:tcMar>
              <w:bottom w:w="59" w:type="dxa"/>
            </w:tcMar>
            <w:vAlign w:val="center"/>
          </w:tcPr>
          <w:p>
            <w:pPr>
              <w:pStyle w:val="TableContents"/>
              <w:bidi w:val="0"/>
              <w:spacing w:before="0" w:after="283"/>
              <w:jc w:val="right"/>
              <w:rPr/>
            </w:pPr>
            <w:r>
              <w:rPr/>
              <w:t>​</w:t>
            </w:r>
          </w:p>
        </w:tc>
        <w:tc>
          <w:tcPr>
            <w:tcW w:w="1117" w:type="dxa"/>
            <w:tcBorders>
              <w:bottom w:val="single" w:sz="2" w:space="0" w:color="000000"/>
            </w:tcBorders>
            <w:tcMar>
              <w:bottom w:w="59" w:type="dxa"/>
            </w:tcMar>
            <w:vAlign w:val="center"/>
          </w:tcPr>
          <w:p>
            <w:pPr>
              <w:pStyle w:val="TableContents"/>
              <w:bidi w:val="0"/>
              <w:spacing w:before="0" w:after="283"/>
              <w:jc w:val="right"/>
              <w:rPr/>
            </w:pPr>
            <w:r>
              <w:rPr/>
              <w:t>7,519,812</w:t>
            </w:r>
          </w:p>
        </w:tc>
        <w:tc>
          <w:tcPr>
            <w:tcW w:w="115"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59" w:type="dxa"/>
            </w:tcMar>
            <w:vAlign w:val="center"/>
          </w:tcPr>
          <w:p>
            <w:pPr>
              <w:pStyle w:val="TableContents"/>
              <w:bidi w:val="0"/>
              <w:spacing w:before="0" w:after="283"/>
              <w:jc w:val="right"/>
              <w:rPr/>
            </w:pPr>
            <w:r>
              <w:rPr/>
              <w:t>​</w:t>
            </w:r>
          </w:p>
        </w:tc>
        <w:tc>
          <w:tcPr>
            <w:tcW w:w="1261" w:type="dxa"/>
            <w:tcBorders>
              <w:bottom w:val="single" w:sz="2" w:space="0" w:color="000000"/>
            </w:tcBorders>
            <w:tcMar>
              <w:bottom w:w="59" w:type="dxa"/>
            </w:tcMar>
            <w:vAlign w:val="center"/>
          </w:tcPr>
          <w:p>
            <w:pPr>
              <w:pStyle w:val="TableContents"/>
              <w:bidi w:val="0"/>
              <w:spacing w:before="0" w:after="283"/>
              <w:jc w:val="right"/>
              <w:rPr/>
            </w:pPr>
            <w:r>
              <w:rPr/>
              <w:t>40,727,644</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14" w:type="dxa"/>
            <w:tcBorders>
              <w:bottom w:val="single" w:sz="2" w:space="0" w:color="000000"/>
            </w:tcBorders>
            <w:vAlign w:val="center"/>
          </w:tcPr>
          <w:p>
            <w:pPr>
              <w:pStyle w:val="TableContents"/>
              <w:bidi w:val="0"/>
              <w:spacing w:before="0" w:after="283"/>
              <w:jc w:val="left"/>
              <w:rPr/>
            </w:pPr>
            <w:r>
              <w:rPr/>
              <w:t>​</w:t>
            </w:r>
          </w:p>
        </w:tc>
        <w:tc>
          <w:tcPr>
            <w:tcW w:w="114" w:type="dxa"/>
            <w:tcBorders>
              <w:bottom w:val="single" w:sz="2" w:space="0" w:color="000000"/>
            </w:tcBorders>
            <w:tcMar>
              <w:bottom w:w="59" w:type="dxa"/>
            </w:tcMar>
            <w:vAlign w:val="center"/>
          </w:tcPr>
          <w:p>
            <w:pPr>
              <w:pStyle w:val="TableContents"/>
              <w:bidi w:val="0"/>
              <w:spacing w:before="0" w:after="283"/>
              <w:jc w:val="right"/>
              <w:rPr/>
            </w:pPr>
            <w:r>
              <w:rPr/>
              <w:t>​</w:t>
            </w:r>
          </w:p>
        </w:tc>
        <w:tc>
          <w:tcPr>
            <w:tcW w:w="1117" w:type="dxa"/>
            <w:tcBorders>
              <w:bottom w:val="single" w:sz="2" w:space="0" w:color="000000"/>
            </w:tcBorders>
            <w:tcMar>
              <w:bottom w:w="59" w:type="dxa"/>
            </w:tcMar>
            <w:vAlign w:val="center"/>
          </w:tcPr>
          <w:p>
            <w:pPr>
              <w:pStyle w:val="TableContents"/>
              <w:bidi w:val="0"/>
              <w:spacing w:before="0" w:after="283"/>
              <w:jc w:val="right"/>
              <w:rPr/>
            </w:pPr>
            <w:r>
              <w:rPr/>
              <w:t>2,178,594</w:t>
            </w:r>
          </w:p>
        </w:tc>
        <w:tc>
          <w:tcPr>
            <w:tcW w:w="115"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59" w:type="dxa"/>
            </w:tcMar>
            <w:vAlign w:val="center"/>
          </w:tcPr>
          <w:p>
            <w:pPr>
              <w:pStyle w:val="TableContents"/>
              <w:bidi w:val="0"/>
              <w:spacing w:before="0" w:after="283"/>
              <w:jc w:val="right"/>
              <w:rPr/>
            </w:pPr>
            <w:r>
              <w:rPr/>
              <w:t>​</w:t>
            </w:r>
          </w:p>
        </w:tc>
        <w:tc>
          <w:tcPr>
            <w:tcW w:w="1141" w:type="dxa"/>
            <w:tcBorders>
              <w:bottom w:val="single" w:sz="2" w:space="0" w:color="000000"/>
            </w:tcBorders>
            <w:tcMar>
              <w:bottom w:w="59" w:type="dxa"/>
            </w:tcMar>
            <w:vAlign w:val="center"/>
          </w:tcPr>
          <w:p>
            <w:pPr>
              <w:pStyle w:val="TableContents"/>
              <w:bidi w:val="0"/>
              <w:spacing w:before="0" w:after="283"/>
              <w:jc w:val="right"/>
              <w:rPr/>
            </w:pPr>
            <w:r>
              <w:rPr/>
              <w:t>9,342,402</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3" w:type="dxa"/>
            <w:tcBorders>
              <w:bottom w:val="single" w:sz="2" w:space="0" w:color="000000"/>
            </w:tcBorders>
            <w:vAlign w:val="center"/>
          </w:tcPr>
          <w:p>
            <w:pPr>
              <w:pStyle w:val="TableContents"/>
              <w:bidi w:val="0"/>
              <w:spacing w:before="0" w:after="283"/>
              <w:jc w:val="left"/>
              <w:rPr/>
            </w:pPr>
            <w:r>
              <w:rPr/>
              <w:t>​</w:t>
            </w:r>
          </w:p>
        </w:tc>
        <w:tc>
          <w:tcPr>
            <w:tcW w:w="123" w:type="dxa"/>
            <w:tcBorders>
              <w:bottom w:val="single" w:sz="2" w:space="0" w:color="000000"/>
            </w:tcBorders>
            <w:tcMar>
              <w:bottom w:w="59" w:type="dxa"/>
            </w:tcMar>
            <w:vAlign w:val="center"/>
          </w:tcPr>
          <w:p>
            <w:pPr>
              <w:pStyle w:val="TableContents"/>
              <w:bidi w:val="0"/>
              <w:spacing w:before="0" w:after="283"/>
              <w:jc w:val="right"/>
              <w:rPr/>
            </w:pPr>
            <w:r>
              <w:rPr/>
              <w:t>​</w:t>
            </w:r>
          </w:p>
        </w:tc>
        <w:tc>
          <w:tcPr>
            <w:tcW w:w="866" w:type="dxa"/>
            <w:tcBorders>
              <w:bottom w:val="single" w:sz="2" w:space="0" w:color="000000"/>
            </w:tcBorders>
            <w:tcMar>
              <w:bottom w:w="59" w:type="dxa"/>
            </w:tcMar>
            <w:vAlign w:val="center"/>
          </w:tcPr>
          <w:p>
            <w:pPr>
              <w:pStyle w:val="TableContents"/>
              <w:bidi w:val="0"/>
              <w:spacing w:before="0" w:after="283"/>
              <w:jc w:val="right"/>
              <w:rPr/>
            </w:pPr>
            <w:r>
              <w:rPr/>
              <w:t>154.73</w:t>
            </w:r>
          </w:p>
        </w:tc>
        <w:tc>
          <w:tcPr>
            <w:tcW w:w="124"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59" w:type="dxa"/>
            </w:tcMar>
            <w:vAlign w:val="center"/>
          </w:tcPr>
          <w:p>
            <w:pPr>
              <w:pStyle w:val="TableContents"/>
              <w:bidi w:val="0"/>
              <w:spacing w:before="0" w:after="283"/>
              <w:jc w:val="right"/>
              <w:rPr/>
            </w:pPr>
            <w:r>
              <w:rPr/>
              <w:t>​</w:t>
            </w:r>
          </w:p>
        </w:tc>
        <w:tc>
          <w:tcPr>
            <w:tcW w:w="766" w:type="dxa"/>
            <w:tcBorders>
              <w:bottom w:val="single" w:sz="2" w:space="0" w:color="000000"/>
            </w:tcBorders>
            <w:tcMar>
              <w:bottom w:w="59" w:type="dxa"/>
            </w:tcMar>
            <w:vAlign w:val="center"/>
          </w:tcPr>
          <w:p>
            <w:pPr>
              <w:pStyle w:val="TableContents"/>
              <w:bidi w:val="0"/>
              <w:spacing w:before="0" w:after="283"/>
              <w:jc w:val="right"/>
              <w:rPr/>
            </w:pPr>
            <w:r>
              <w:rPr/>
              <w:t>121.12</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3" w:type="dxa"/>
            <w:tcBorders>
              <w:bottom w:val="single" w:sz="2" w:space="0" w:color="000000"/>
            </w:tcBorders>
            <w:vAlign w:val="center"/>
          </w:tcPr>
          <w:p>
            <w:pPr>
              <w:pStyle w:val="TableContents"/>
              <w:bidi w:val="0"/>
              <w:spacing w:before="0" w:after="283"/>
              <w:jc w:val="left"/>
              <w:rPr/>
            </w:pPr>
            <w:r>
              <w:rPr/>
              <w:t>​</w:t>
            </w:r>
          </w:p>
        </w:tc>
        <w:tc>
          <w:tcPr>
            <w:tcW w:w="123" w:type="dxa"/>
            <w:tcBorders>
              <w:bottom w:val="single" w:sz="2" w:space="0" w:color="000000"/>
            </w:tcBorders>
            <w:tcMar>
              <w:bottom w:w="59" w:type="dxa"/>
            </w:tcMar>
            <w:vAlign w:val="center"/>
          </w:tcPr>
          <w:p>
            <w:pPr>
              <w:pStyle w:val="TableContents"/>
              <w:bidi w:val="0"/>
              <w:spacing w:before="0" w:after="283"/>
              <w:jc w:val="right"/>
              <w:rPr/>
            </w:pPr>
            <w:r>
              <w:rPr/>
              <w:t>​</w:t>
            </w:r>
          </w:p>
        </w:tc>
        <w:tc>
          <w:tcPr>
            <w:tcW w:w="730" w:type="dxa"/>
            <w:tcBorders>
              <w:bottom w:val="single" w:sz="2" w:space="0" w:color="000000"/>
            </w:tcBorders>
            <w:tcMar>
              <w:bottom w:w="59" w:type="dxa"/>
            </w:tcMar>
            <w:vAlign w:val="center"/>
          </w:tcPr>
          <w:p>
            <w:pPr>
              <w:pStyle w:val="TableContents"/>
              <w:bidi w:val="0"/>
              <w:spacing w:before="0" w:after="283"/>
              <w:jc w:val="right"/>
              <w:rPr/>
            </w:pPr>
            <w:r>
              <w:rPr/>
              <w:t>556.6</w:t>
            </w:r>
          </w:p>
        </w:tc>
        <w:tc>
          <w:tcPr>
            <w:tcW w:w="125"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31" w:type="dxa"/>
            <w:tcBorders>
              <w:bottom w:val="single" w:sz="2" w:space="0" w:color="000000"/>
            </w:tcBorders>
            <w:vAlign w:val="center"/>
          </w:tcPr>
          <w:p>
            <w:pPr>
              <w:pStyle w:val="TableContents"/>
              <w:bidi w:val="0"/>
              <w:spacing w:before="0" w:after="283"/>
              <w:jc w:val="left"/>
              <w:rPr/>
            </w:pPr>
            <w:r>
              <w:rPr/>
              <w:t>​</w:t>
            </w:r>
          </w:p>
        </w:tc>
        <w:tc>
          <w:tcPr>
            <w:tcW w:w="131" w:type="dxa"/>
            <w:tcBorders>
              <w:bottom w:val="single" w:sz="2" w:space="0" w:color="000000"/>
            </w:tcBorders>
            <w:tcMar>
              <w:bottom w:w="59" w:type="dxa"/>
            </w:tcMar>
            <w:vAlign w:val="center"/>
          </w:tcPr>
          <w:p>
            <w:pPr>
              <w:pStyle w:val="TableContents"/>
              <w:bidi w:val="0"/>
              <w:spacing w:before="0" w:after="283"/>
              <w:jc w:val="right"/>
              <w:rPr/>
            </w:pPr>
            <w:r>
              <w:rPr/>
              <w:t>​</w:t>
            </w:r>
          </w:p>
        </w:tc>
        <w:tc>
          <w:tcPr>
            <w:tcW w:w="780" w:type="dxa"/>
            <w:tcBorders>
              <w:bottom w:val="single" w:sz="2" w:space="0" w:color="000000"/>
            </w:tcBorders>
            <w:tcMar>
              <w:bottom w:w="59" w:type="dxa"/>
            </w:tcMar>
            <w:vAlign w:val="center"/>
          </w:tcPr>
          <w:p>
            <w:pPr>
              <w:pStyle w:val="TableContents"/>
              <w:bidi w:val="0"/>
              <w:spacing w:before="0" w:after="283"/>
              <w:jc w:val="right"/>
              <w:rPr/>
            </w:pPr>
            <w:r>
              <w:rPr/>
              <w:t>861.4</w:t>
            </w:r>
          </w:p>
        </w:tc>
        <w:tc>
          <w:tcPr>
            <w:tcW w:w="134" w:type="dxa"/>
            <w:tcBorders>
              <w:bottom w:val="single" w:sz="2" w:space="0" w:color="000000"/>
            </w:tcBorders>
            <w:vAlign w:val="center"/>
          </w:tcPr>
          <w:p>
            <w:pPr>
              <w:pStyle w:val="TableContents"/>
              <w:bidi w:val="0"/>
              <w:spacing w:before="0" w:after="283"/>
              <w:jc w:val="left"/>
              <w:rPr/>
            </w:pPr>
            <w:r>
              <w:rPr/>
              <w:t>​</w:t>
            </w:r>
          </w:p>
        </w:tc>
        <w:tc>
          <w:tcPr>
            <w:tcW w:w="154" w:type="dxa"/>
            <w:tcBorders>
              <w:bottom w:val="single" w:sz="2" w:space="0" w:color="000000"/>
            </w:tcBorders>
            <w:vAlign w:val="center"/>
          </w:tcPr>
          <w:p>
            <w:pPr>
              <w:pStyle w:val="TableContents"/>
              <w:bidi w:val="0"/>
              <w:spacing w:before="0" w:after="283"/>
              <w:jc w:val="left"/>
              <w:rPr/>
            </w:pPr>
            <w:r>
              <w:rPr/>
              <w:t>​</w:t>
            </w:r>
          </w:p>
        </w:tc>
      </w:tr>
    </w:tbl>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20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Amounts represent Summary Compensation Table (“SCT”) total compensation and compensation actually paid (“CAP”) to our primary executive officer (our CEO), and the average SCT compensation and CAP to our remaining NEOs for the relevant fiscal year. Our NEOs include the individuals indicated in the table below for each fiscal year:</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27000" distB="0" distL="0" distR="0" simplePos="0" locked="0" layoutInCell="1" allowOverlap="1" relativeHeight="335">
                <wp:simplePos x="0" y="0"/>
                <wp:positionH relativeFrom="column">
                  <wp:align>left</wp:align>
                </wp:positionH>
                <wp:positionV relativeFrom="line">
                  <wp:posOffset>635</wp:posOffset>
                </wp:positionV>
                <wp:extent cx="254000" cy="14605"/>
                <wp:effectExtent l="0" t="0" r="0" b="0"/>
                <wp:wrapSquare wrapText="right"/>
                <wp:docPr id="315" name="Frame204"/>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60" w:before="0" w:after="283"/>
                              <w:jc w:val="left"/>
                              <w:rPr>
                                <w:sz w:val="22"/>
                              </w:rPr>
                            </w:pPr>
                            <w:r>
                              <w:rPr>
                                <w:spacing w:val="-2"/>
                                <w:sz w:val="22"/>
                              </w:rPr>
                              <w:t>(1)</w:t>
                            </w:r>
                            <w:r>
                              <w:rPr>
                                <w:sz w:val="22"/>
                              </w:rPr>
                              <w:t xml:space="preserve"> </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10pt;mso-wrap-distance-bottom:0pt;margin-top:0pt;mso-position-vertical:top;mso-position-vertical-relative:text;margin-left:0pt;mso-position-horizontal:left;mso-position-horizontal-relative:text">
                <v:textbox>
                  <w:txbxContent>
                    <w:p>
                      <w:pPr>
                        <w:pStyle w:val="TextBody"/>
                        <w:bidi w:val="0"/>
                        <w:spacing w:lineRule="atLeast" w:line="260" w:before="0" w:after="283"/>
                        <w:jc w:val="left"/>
                        <w:rPr>
                          <w:sz w:val="22"/>
                        </w:rPr>
                      </w:pPr>
                      <w:r>
                        <w:rPr>
                          <w:spacing w:val="-2"/>
                          <w:sz w:val="22"/>
                        </w:rPr>
                        <w:t>(1)</w:t>
                      </w:r>
                      <w:r>
                        <w:rPr>
                          <w:sz w:val="22"/>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tbl>
      <w:tblPr>
        <w:tblW w:w="9065" w:type="dxa"/>
        <w:jc w:val="left"/>
        <w:tblInd w:w="1140" w:type="dxa"/>
        <w:tblLayout w:type="fixed"/>
        <w:tblCellMar>
          <w:top w:w="0" w:type="dxa"/>
          <w:left w:w="0" w:type="dxa"/>
          <w:bottom w:w="28" w:type="dxa"/>
          <w:right w:w="0" w:type="dxa"/>
        </w:tblCellMar>
      </w:tblPr>
      <w:tblGrid>
        <w:gridCol w:w="124"/>
        <w:gridCol w:w="638"/>
        <w:gridCol w:w="109"/>
        <w:gridCol w:w="109"/>
        <w:gridCol w:w="1778"/>
        <w:gridCol w:w="109"/>
        <w:gridCol w:w="109"/>
        <w:gridCol w:w="5933"/>
        <w:gridCol w:w="156"/>
      </w:tblGrid>
      <w:tr>
        <w:trPr/>
        <w:tc>
          <w:tcPr>
            <w:tcW w:w="124" w:type="dxa"/>
            <w:tcBorders>
              <w:bottom w:val="single" w:sz="2" w:space="0" w:color="000000"/>
            </w:tcBorders>
            <w:vAlign w:val="center"/>
          </w:tcPr>
          <w:p>
            <w:pPr>
              <w:pStyle w:val="TableContents"/>
              <w:bidi w:val="0"/>
              <w:spacing w:before="0" w:after="283"/>
              <w:jc w:val="left"/>
              <w:rPr/>
            </w:pPr>
            <w:r>
              <w:rPr/>
              <w:t>​</w:t>
            </w:r>
          </w:p>
        </w:tc>
        <w:tc>
          <w:tcPr>
            <w:tcW w:w="638"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Year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778"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CEO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593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Non-CEO NEOs </w:t>
            </w:r>
          </w:p>
        </w:tc>
        <w:tc>
          <w:tcPr>
            <w:tcW w:w="156" w:type="dxa"/>
            <w:tcBorders>
              <w:bottom w:val="single" w:sz="2" w:space="0" w:color="000000"/>
            </w:tcBorders>
            <w:vAlign w:val="center"/>
          </w:tcPr>
          <w:p>
            <w:pPr>
              <w:pStyle w:val="TableContents"/>
              <w:bidi w:val="0"/>
              <w:spacing w:before="0" w:after="283"/>
              <w:jc w:val="left"/>
              <w:rPr/>
            </w:pPr>
            <w:r>
              <w:rPr/>
              <w:t>​</w:t>
            </w:r>
          </w:p>
        </w:tc>
      </w:tr>
      <w:tr>
        <w:trPr/>
        <w:tc>
          <w:tcPr>
            <w:tcW w:w="124" w:type="dxa"/>
            <w:tcBorders/>
            <w:shd w:fill="B2B2B2" w:val="clear"/>
            <w:tcMar>
              <w:bottom w:w="0" w:type="dxa"/>
            </w:tcMar>
            <w:vAlign w:val="center"/>
          </w:tcPr>
          <w:p>
            <w:pPr>
              <w:pStyle w:val="TableContents"/>
              <w:bidi w:val="0"/>
              <w:spacing w:before="0" w:after="283"/>
              <w:jc w:val="left"/>
              <w:rPr/>
            </w:pPr>
            <w:r>
              <w:rPr/>
              <w:t>​</w:t>
            </w:r>
          </w:p>
        </w:tc>
        <w:tc>
          <w:tcPr>
            <w:tcW w:w="638" w:type="dxa"/>
            <w:tcBorders/>
            <w:shd w:fill="B2B2B2" w:val="clear"/>
            <w:tcMar>
              <w:bottom w:w="0" w:type="dxa"/>
            </w:tcMar>
            <w:vAlign w:val="center"/>
          </w:tcPr>
          <w:p>
            <w:pPr>
              <w:pStyle w:val="TableContents"/>
              <w:bidi w:val="0"/>
              <w:spacing w:before="0" w:after="283"/>
              <w:jc w:val="left"/>
              <w:rPr>
                <w:spacing w:val="-2"/>
              </w:rPr>
            </w:pPr>
            <w:r>
              <w:rPr>
                <w:spacing w:val="-2"/>
              </w:rPr>
              <w:t xml:space="preserve">2025 </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778" w:type="dxa"/>
            <w:tcBorders/>
            <w:shd w:fill="B2B2B2" w:val="clear"/>
            <w:tcMar>
              <w:bottom w:w="0" w:type="dxa"/>
            </w:tcMar>
            <w:vAlign w:val="center"/>
          </w:tcPr>
          <w:p>
            <w:pPr>
              <w:pStyle w:val="TableContents"/>
              <w:bidi w:val="0"/>
              <w:spacing w:before="0" w:after="0"/>
              <w:jc w:val="left"/>
              <w:rPr>
                <w:spacing w:val="-2"/>
              </w:rPr>
            </w:pPr>
            <w:r>
              <w:rPr>
                <w:spacing w:val="-2"/>
              </w:rPr>
              <w:t xml:space="preserve">Aaron P Jagdfeld </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5933" w:type="dxa"/>
            <w:tcBorders/>
            <w:shd w:fill="B2B2B2" w:val="clear"/>
            <w:tcMar>
              <w:bottom w:w="0" w:type="dxa"/>
            </w:tcMar>
            <w:vAlign w:val="center"/>
          </w:tcPr>
          <w:p>
            <w:pPr>
              <w:pStyle w:val="TableContents"/>
              <w:bidi w:val="0"/>
              <w:spacing w:before="0" w:after="283"/>
              <w:jc w:val="left"/>
              <w:rPr>
                <w:spacing w:val="-2"/>
              </w:rPr>
            </w:pPr>
            <w:r>
              <w:rPr>
                <w:spacing w:val="-2"/>
              </w:rPr>
              <w:t xml:space="preserve">Raj Kanuru, York Ragen, Norman Taffe, and Erik Wilde </w:t>
            </w:r>
          </w:p>
        </w:tc>
        <w:tc>
          <w:tcPr>
            <w:tcW w:w="156" w:type="dxa"/>
            <w:tcBorders/>
            <w:shd w:fill="B2B2B2"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38" w:type="dxa"/>
            <w:tcBorders/>
            <w:tcMar>
              <w:bottom w:w="0" w:type="dxa"/>
            </w:tcMar>
            <w:vAlign w:val="center"/>
          </w:tcPr>
          <w:p>
            <w:pPr>
              <w:pStyle w:val="TableContents"/>
              <w:bidi w:val="0"/>
              <w:spacing w:before="0" w:after="283"/>
              <w:jc w:val="left"/>
              <w:rPr>
                <w:spacing w:val="-2"/>
              </w:rPr>
            </w:pPr>
            <w:r>
              <w:rPr>
                <w:spacing w:val="-2"/>
              </w:rPr>
              <w:t xml:space="preserve">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8" w:type="dxa"/>
            <w:tcBorders/>
            <w:tcMar>
              <w:bottom w:w="0" w:type="dxa"/>
            </w:tcMar>
            <w:vAlign w:val="center"/>
          </w:tcPr>
          <w:p>
            <w:pPr>
              <w:pStyle w:val="TableContents"/>
              <w:bidi w:val="0"/>
              <w:spacing w:before="0" w:after="0"/>
              <w:jc w:val="left"/>
              <w:rPr>
                <w:spacing w:val="-2"/>
              </w:rPr>
            </w:pPr>
            <w:r>
              <w:rPr>
                <w:spacing w:val="-2"/>
              </w:rPr>
              <w:t xml:space="preserve">Aaron P Jagdfeld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933" w:type="dxa"/>
            <w:tcBorders/>
            <w:tcMar>
              <w:bottom w:w="0" w:type="dxa"/>
            </w:tcMar>
            <w:vAlign w:val="center"/>
          </w:tcPr>
          <w:p>
            <w:pPr>
              <w:pStyle w:val="TableContents"/>
              <w:bidi w:val="0"/>
              <w:spacing w:before="0" w:after="283"/>
              <w:jc w:val="left"/>
              <w:rPr>
                <w:spacing w:val="-2"/>
              </w:rPr>
            </w:pPr>
            <w:r>
              <w:rPr>
                <w:spacing w:val="-2"/>
              </w:rPr>
              <w:t xml:space="preserve">Kyle Raabe, York Ragen, Norman Taffe, and Erik Wilde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shd w:fill="B2B2B2" w:val="clear"/>
            <w:tcMar>
              <w:bottom w:w="0" w:type="dxa"/>
            </w:tcMar>
            <w:vAlign w:val="center"/>
          </w:tcPr>
          <w:p>
            <w:pPr>
              <w:pStyle w:val="TableContents"/>
              <w:bidi w:val="0"/>
              <w:spacing w:before="0" w:after="283"/>
              <w:jc w:val="left"/>
              <w:rPr/>
            </w:pPr>
            <w:r>
              <w:rPr/>
              <w:t>​</w:t>
            </w:r>
          </w:p>
        </w:tc>
        <w:tc>
          <w:tcPr>
            <w:tcW w:w="638" w:type="dxa"/>
            <w:tcBorders/>
            <w:shd w:fill="B2B2B2" w:val="clear"/>
            <w:tcMar>
              <w:bottom w:w="0" w:type="dxa"/>
            </w:tcMar>
            <w:vAlign w:val="center"/>
          </w:tcPr>
          <w:p>
            <w:pPr>
              <w:pStyle w:val="TableContents"/>
              <w:bidi w:val="0"/>
              <w:spacing w:before="0" w:after="283"/>
              <w:jc w:val="left"/>
              <w:rPr>
                <w:spacing w:val="-2"/>
              </w:rPr>
            </w:pPr>
            <w:r>
              <w:rPr>
                <w:spacing w:val="-2"/>
              </w:rPr>
              <w:t xml:space="preserve">2023 </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778" w:type="dxa"/>
            <w:tcBorders/>
            <w:shd w:fill="B2B2B2" w:val="clear"/>
            <w:tcMar>
              <w:bottom w:w="0" w:type="dxa"/>
            </w:tcMar>
            <w:vAlign w:val="center"/>
          </w:tcPr>
          <w:p>
            <w:pPr>
              <w:pStyle w:val="TableContents"/>
              <w:bidi w:val="0"/>
              <w:spacing w:before="0" w:after="0"/>
              <w:jc w:val="left"/>
              <w:rPr>
                <w:spacing w:val="-2"/>
              </w:rPr>
            </w:pPr>
            <w:r>
              <w:rPr>
                <w:spacing w:val="-2"/>
              </w:rPr>
              <w:t xml:space="preserve">Aaron P Jagdfeld </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5933" w:type="dxa"/>
            <w:tcBorders/>
            <w:shd w:fill="B2B2B2" w:val="clear"/>
            <w:tcMar>
              <w:bottom w:w="0" w:type="dxa"/>
            </w:tcMar>
            <w:vAlign w:val="center"/>
          </w:tcPr>
          <w:p>
            <w:pPr>
              <w:pStyle w:val="TableContents"/>
              <w:bidi w:val="0"/>
              <w:spacing w:before="0" w:after="283"/>
              <w:jc w:val="left"/>
              <w:rPr>
                <w:spacing w:val="-2"/>
              </w:rPr>
            </w:pPr>
            <w:r>
              <w:rPr>
                <w:spacing w:val="-2"/>
              </w:rPr>
              <w:t xml:space="preserve">Kyle Raabe, York Ragen, Norman Taffe, and Erik Wilde </w:t>
            </w:r>
          </w:p>
        </w:tc>
        <w:tc>
          <w:tcPr>
            <w:tcW w:w="156" w:type="dxa"/>
            <w:tcBorders/>
            <w:shd w:fill="B2B2B2"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38" w:type="dxa"/>
            <w:tcBorders/>
            <w:tcMar>
              <w:bottom w:w="0" w:type="dxa"/>
            </w:tcMar>
            <w:vAlign w:val="center"/>
          </w:tcPr>
          <w:p>
            <w:pPr>
              <w:pStyle w:val="TableContents"/>
              <w:bidi w:val="0"/>
              <w:spacing w:before="0" w:after="283"/>
              <w:jc w:val="left"/>
              <w:rPr>
                <w:spacing w:val="-2"/>
              </w:rPr>
            </w:pPr>
            <w:r>
              <w:rPr>
                <w:spacing w:val="-2"/>
              </w:rPr>
              <w:t xml:space="preserve">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8" w:type="dxa"/>
            <w:tcBorders/>
            <w:tcMar>
              <w:bottom w:w="0" w:type="dxa"/>
            </w:tcMar>
            <w:vAlign w:val="center"/>
          </w:tcPr>
          <w:p>
            <w:pPr>
              <w:pStyle w:val="TableContents"/>
              <w:bidi w:val="0"/>
              <w:spacing w:before="0" w:after="0"/>
              <w:jc w:val="left"/>
              <w:rPr>
                <w:spacing w:val="-2"/>
              </w:rPr>
            </w:pPr>
            <w:r>
              <w:rPr>
                <w:spacing w:val="-2"/>
              </w:rPr>
              <w:t xml:space="preserve">Aaron P Jagdfeld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933" w:type="dxa"/>
            <w:tcBorders/>
            <w:tcMar>
              <w:bottom w:w="0" w:type="dxa"/>
            </w:tcMar>
            <w:vAlign w:val="center"/>
          </w:tcPr>
          <w:p>
            <w:pPr>
              <w:pStyle w:val="TableContents"/>
              <w:bidi w:val="0"/>
              <w:spacing w:before="0" w:after="283"/>
              <w:jc w:val="left"/>
              <w:rPr>
                <w:spacing w:val="-2"/>
              </w:rPr>
            </w:pPr>
            <w:r>
              <w:rPr>
                <w:spacing w:val="-2"/>
              </w:rPr>
              <w:t xml:space="preserve">Patrick Forsythe, York Ragen, Norman Taffe, and Erik Wilde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shd w:fill="B2B2B2" w:val="clear"/>
            <w:tcMar>
              <w:bottom w:w="0" w:type="dxa"/>
            </w:tcMar>
            <w:vAlign w:val="center"/>
          </w:tcPr>
          <w:p>
            <w:pPr>
              <w:pStyle w:val="TableContents"/>
              <w:bidi w:val="0"/>
              <w:spacing w:before="0" w:after="283"/>
              <w:jc w:val="left"/>
              <w:rPr/>
            </w:pPr>
            <w:r>
              <w:rPr/>
              <w:t>​</w:t>
            </w:r>
          </w:p>
        </w:tc>
        <w:tc>
          <w:tcPr>
            <w:tcW w:w="638" w:type="dxa"/>
            <w:tcBorders/>
            <w:shd w:fill="B2B2B2" w:val="clear"/>
            <w:tcMar>
              <w:bottom w:w="0" w:type="dxa"/>
            </w:tcMar>
            <w:vAlign w:val="center"/>
          </w:tcPr>
          <w:p>
            <w:pPr>
              <w:pStyle w:val="TableContents"/>
              <w:bidi w:val="0"/>
              <w:spacing w:before="0" w:after="283"/>
              <w:jc w:val="left"/>
              <w:rPr>
                <w:spacing w:val="-2"/>
              </w:rPr>
            </w:pPr>
            <w:r>
              <w:rPr>
                <w:spacing w:val="-2"/>
              </w:rPr>
              <w:t xml:space="preserve">2021 </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778" w:type="dxa"/>
            <w:tcBorders/>
            <w:shd w:fill="B2B2B2" w:val="clear"/>
            <w:tcMar>
              <w:bottom w:w="0" w:type="dxa"/>
            </w:tcMar>
            <w:vAlign w:val="center"/>
          </w:tcPr>
          <w:p>
            <w:pPr>
              <w:pStyle w:val="TableContents"/>
              <w:bidi w:val="0"/>
              <w:spacing w:before="0" w:after="0"/>
              <w:jc w:val="left"/>
              <w:rPr>
                <w:spacing w:val="-2"/>
              </w:rPr>
            </w:pPr>
            <w:r>
              <w:rPr>
                <w:spacing w:val="-2"/>
              </w:rPr>
              <w:t xml:space="preserve">Aaron P Jagdfeld </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5933" w:type="dxa"/>
            <w:tcBorders/>
            <w:shd w:fill="B2B2B2" w:val="clear"/>
            <w:tcMar>
              <w:bottom w:w="0" w:type="dxa"/>
            </w:tcMar>
            <w:vAlign w:val="center"/>
          </w:tcPr>
          <w:p>
            <w:pPr>
              <w:pStyle w:val="TableContents"/>
              <w:bidi w:val="0"/>
              <w:spacing w:before="0" w:after="283"/>
              <w:jc w:val="left"/>
              <w:rPr/>
            </w:pPr>
            <w:r>
              <w:rPr>
                <w:spacing w:val="-2"/>
              </w:rPr>
              <w:t>Patrick Forsythe, Russell Minick, York Ragen, and Erik Wilde</w:t>
            </w:r>
            <w:r>
              <w:rPr/>
              <w:t xml:space="preserve"> </w:t>
            </w:r>
          </w:p>
        </w:tc>
        <w:tc>
          <w:tcPr>
            <w:tcW w:w="156" w:type="dxa"/>
            <w:tcBorders/>
            <w:shd w:fill="B2B2B2"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316"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101" descr=""/>
                          <pic:cNvPicPr>
                            <a:picLocks noChangeAspect="1" noChangeArrowheads="1"/>
                          </pic:cNvPicPr>
                        </pic:nvPicPr>
                        <pic:blipFill>
                          <a:blip r:embed="rId113"/>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53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caps w:val="false"/>
          <w:smallCaps w:val="false"/>
          <w:color w:val="FF6A00"/>
        </w:rPr>
      </w:pPr>
      <w:r>
        <w:rPr>
          <w:caps w:val="false"/>
          <w:smallCaps w:val="false"/>
          <w:color w:val="FF6A00"/>
          <w:spacing w:val="-2"/>
        </w:rPr>
        <w:t> </w:t>
      </w:r>
      <w:r>
        <w:rPr>
          <w:caps w:val="false"/>
          <w:smallCaps w:val="false"/>
          <w:color w:val="FF6A00"/>
        </w:rPr>
        <w:t xml:space="preserve"> </w:t>
      </w:r>
    </w:p>
    <w:p>
      <w:pPr>
        <w:pStyle w:val="TextBody"/>
        <w:bidi w:val="0"/>
        <w:spacing w:lineRule="atLeast" w:line="250" w:before="480" w:after="283"/>
        <w:ind w:left="11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CAP represents the SCT total compensation for the applicable fiscal year, adjusted as set forth below. None of our NEOs participate in a pension plan; therefore, no adjustments from the SCT total related to pension value are needed.</w:t>
      </w:r>
      <w:r>
        <w:rPr>
          <w:rFonts w:ascii="Arial;Helvetica;sans-serif" w:hAnsi="Arial;Helvetica;sans-serif"/>
          <w:b w:val="false"/>
          <w:i w:val="false"/>
          <w:caps w:val="false"/>
          <w:smallCaps w:val="false"/>
          <w:color w:val="000000"/>
          <w:spacing w:val="4"/>
          <w:sz w:val="22"/>
        </w:rPr>
        <w:t xml:space="preserve"> </w:t>
      </w:r>
    </w:p>
    <w:tbl>
      <w:tblPr>
        <w:tblW w:w="9065" w:type="dxa"/>
        <w:jc w:val="left"/>
        <w:tblInd w:w="1140" w:type="dxa"/>
        <w:tblLayout w:type="fixed"/>
        <w:tblCellMar>
          <w:top w:w="0" w:type="dxa"/>
          <w:left w:w="0" w:type="dxa"/>
          <w:bottom w:w="28" w:type="dxa"/>
          <w:right w:w="0" w:type="dxa"/>
        </w:tblCellMar>
      </w:tblPr>
      <w:tblGrid>
        <w:gridCol w:w="124"/>
        <w:gridCol w:w="5148"/>
        <w:gridCol w:w="109"/>
        <w:gridCol w:w="109"/>
        <w:gridCol w:w="109"/>
        <w:gridCol w:w="226"/>
        <w:gridCol w:w="1157"/>
        <w:gridCol w:w="109"/>
        <w:gridCol w:w="109"/>
        <w:gridCol w:w="109"/>
        <w:gridCol w:w="109"/>
        <w:gridCol w:w="226"/>
        <w:gridCol w:w="1157"/>
        <w:gridCol w:w="109"/>
        <w:gridCol w:w="155"/>
      </w:tblGrid>
      <w:tr>
        <w:trPr/>
        <w:tc>
          <w:tcPr>
            <w:tcW w:w="124" w:type="dxa"/>
            <w:tcBorders>
              <w:bottom w:val="single" w:sz="2" w:space="0" w:color="FF6A00"/>
            </w:tcBorders>
            <w:shd w:fill="FF6A00" w:val="clear"/>
            <w:vAlign w:val="center"/>
          </w:tcPr>
          <w:p>
            <w:pPr>
              <w:pStyle w:val="TableContents"/>
              <w:bidi w:val="0"/>
              <w:spacing w:before="0" w:after="283"/>
              <w:jc w:val="left"/>
              <w:rPr/>
            </w:pPr>
            <w:r>
              <w:rPr/>
              <w:t>​</w:t>
            </w:r>
          </w:p>
        </w:tc>
        <w:tc>
          <w:tcPr>
            <w:tcW w:w="5148" w:type="dxa"/>
            <w:tcBorders>
              <w:bottom w:val="single" w:sz="2" w:space="0" w:color="FF6A00"/>
            </w:tcBorders>
            <w:shd w:fill="FF6A00" w:val="clear"/>
            <w:vAlign w:val="center"/>
          </w:tcPr>
          <w:p>
            <w:pPr>
              <w:pStyle w:val="TableContents"/>
              <w:bidi w:val="0"/>
              <w:spacing w:before="0" w:after="283"/>
              <w:jc w:val="left"/>
              <w:rPr/>
            </w:pPr>
            <w:r>
              <w:rPr/>
              <w:t>​</w:t>
            </w:r>
          </w:p>
        </w:tc>
        <w:tc>
          <w:tcPr>
            <w:tcW w:w="109" w:type="dxa"/>
            <w:tcBorders>
              <w:bottom w:val="single" w:sz="2" w:space="0" w:color="FF6A00"/>
            </w:tcBorders>
            <w:shd w:fill="FF6A00" w:val="clear"/>
            <w:vAlign w:val="center"/>
          </w:tcPr>
          <w:p>
            <w:pPr>
              <w:pStyle w:val="TableContents"/>
              <w:bidi w:val="0"/>
              <w:spacing w:before="0" w:after="283"/>
              <w:jc w:val="left"/>
              <w:rPr/>
            </w:pPr>
            <w:r>
              <w:rPr/>
              <w:t>​</w:t>
            </w:r>
          </w:p>
        </w:tc>
        <w:tc>
          <w:tcPr>
            <w:tcW w:w="109" w:type="dxa"/>
            <w:tcBorders>
              <w:bottom w:val="single" w:sz="2" w:space="0" w:color="FEFEFE"/>
            </w:tcBorders>
            <w:shd w:fill="FF6A00" w:val="clear"/>
            <w:vAlign w:val="center"/>
          </w:tcPr>
          <w:p>
            <w:pPr>
              <w:pStyle w:val="TableContents"/>
              <w:bidi w:val="0"/>
              <w:spacing w:before="0" w:after="283"/>
              <w:jc w:val="left"/>
              <w:rPr/>
            </w:pPr>
            <w:r>
              <w:rPr/>
              <w:t>​</w:t>
            </w:r>
          </w:p>
        </w:tc>
        <w:tc>
          <w:tcPr>
            <w:tcW w:w="3420" w:type="dxa"/>
            <w:gridSpan w:val="10"/>
            <w:tcBorders>
              <w:bottom w:val="single" w:sz="2" w:space="0" w:color="FEFEFE"/>
            </w:tcBorders>
            <w:shd w:fill="FF6A00" w:val="clear"/>
            <w:tcMar>
              <w:bottom w:w="50" w:type="dxa"/>
            </w:tcMar>
            <w:vAlign w:val="center"/>
          </w:tcPr>
          <w:p>
            <w:pPr>
              <w:pStyle w:val="TableContents"/>
              <w:bidi w:val="0"/>
              <w:spacing w:before="0" w:after="0"/>
              <w:jc w:val="center"/>
              <w:rPr>
                <w:spacing w:val="-2"/>
              </w:rPr>
            </w:pPr>
            <w:r>
              <w:rPr>
                <w:spacing w:val="-2"/>
              </w:rPr>
              <w:t xml:space="preserve">2025 </w:t>
            </w:r>
          </w:p>
        </w:tc>
        <w:tc>
          <w:tcPr>
            <w:tcW w:w="155" w:type="dxa"/>
            <w:tcBorders>
              <w:bottom w:val="single" w:sz="2" w:space="0" w:color="FEFEFE"/>
            </w:tcBorders>
            <w:shd w:fill="FF6A00" w:val="clear"/>
            <w:vAlign w:val="center"/>
          </w:tcPr>
          <w:p>
            <w:pPr>
              <w:pStyle w:val="TableContents"/>
              <w:bidi w:val="0"/>
              <w:spacing w:before="0" w:after="283"/>
              <w:jc w:val="left"/>
              <w:rPr/>
            </w:pPr>
            <w:r>
              <w:rPr/>
              <w:t>​</w:t>
            </w:r>
          </w:p>
        </w:tc>
      </w:tr>
      <w:tr>
        <w:trPr/>
        <w:tc>
          <w:tcPr>
            <w:tcW w:w="124" w:type="dxa"/>
            <w:tcBorders/>
            <w:shd w:fill="FF6A00" w:val="clear"/>
            <w:tcMar>
              <w:bottom w:w="0" w:type="dxa"/>
            </w:tcMar>
            <w:vAlign w:val="center"/>
          </w:tcPr>
          <w:p>
            <w:pPr>
              <w:pStyle w:val="TableContents"/>
              <w:bidi w:val="0"/>
              <w:spacing w:before="0" w:after="283"/>
              <w:jc w:val="left"/>
              <w:rPr/>
            </w:pPr>
            <w:r>
              <w:rPr/>
              <w:t>​</w:t>
            </w:r>
          </w:p>
        </w:tc>
        <w:tc>
          <w:tcPr>
            <w:tcW w:w="5148" w:type="dxa"/>
            <w:tcBorders/>
            <w:shd w:fill="FF6A00" w:val="clear"/>
            <w:tcMar>
              <w:bottom w:w="0" w:type="dxa"/>
            </w:tcMar>
            <w:vAlign w:val="center"/>
          </w:tcPr>
          <w:p>
            <w:pPr>
              <w:pStyle w:val="TableContents"/>
              <w:bidi w:val="0"/>
              <w:spacing w:before="0" w:after="0"/>
              <w:jc w:val="left"/>
              <w:rPr>
                <w:spacing w:val="-2"/>
              </w:rPr>
            </w:pPr>
            <w:r>
              <w:rPr>
                <w:spacing w:val="-2"/>
              </w:rPr>
              <w:t xml:space="preserve">Adjustments </w:t>
            </w:r>
          </w:p>
        </w:tc>
        <w:tc>
          <w:tcPr>
            <w:tcW w:w="109" w:type="dxa"/>
            <w:tcBorders/>
            <w:shd w:fill="FF6A00" w:val="clear"/>
            <w:tcMar>
              <w:bottom w:w="0" w:type="dxa"/>
            </w:tcMar>
            <w:vAlign w:val="center"/>
          </w:tcPr>
          <w:p>
            <w:pPr>
              <w:pStyle w:val="TableContents"/>
              <w:bidi w:val="0"/>
              <w:spacing w:before="0" w:after="283"/>
              <w:jc w:val="left"/>
              <w:rPr/>
            </w:pPr>
            <w:r>
              <w:rPr/>
              <w:t>​</w:t>
            </w:r>
          </w:p>
        </w:tc>
        <w:tc>
          <w:tcPr>
            <w:tcW w:w="109" w:type="dxa"/>
            <w:tcBorders/>
            <w:shd w:fill="FF6A00" w:val="clear"/>
            <w:tcMar>
              <w:bottom w:w="0" w:type="dxa"/>
            </w:tcMar>
            <w:vAlign w:val="center"/>
          </w:tcPr>
          <w:p>
            <w:pPr>
              <w:pStyle w:val="TableContents"/>
              <w:bidi w:val="0"/>
              <w:spacing w:before="0" w:after="283"/>
              <w:jc w:val="left"/>
              <w:rPr/>
            </w:pPr>
            <w:r>
              <w:rPr/>
              <w:t>​</w:t>
            </w:r>
          </w:p>
        </w:tc>
        <w:tc>
          <w:tcPr>
            <w:tcW w:w="1601" w:type="dxa"/>
            <w:gridSpan w:val="4"/>
            <w:tcBorders/>
            <w:shd w:fill="FF6A00" w:val="clear"/>
            <w:tcMar>
              <w:bottom w:w="0" w:type="dxa"/>
            </w:tcMar>
            <w:vAlign w:val="center"/>
          </w:tcPr>
          <w:p>
            <w:pPr>
              <w:pStyle w:val="TableContents"/>
              <w:bidi w:val="0"/>
              <w:spacing w:before="0" w:after="0"/>
              <w:jc w:val="center"/>
              <w:rPr>
                <w:spacing w:val="-2"/>
              </w:rPr>
            </w:pPr>
            <w:r>
              <w:rPr>
                <w:spacing w:val="-2"/>
              </w:rPr>
              <w:t xml:space="preserve">PEO </w:t>
            </w:r>
          </w:p>
        </w:tc>
        <w:tc>
          <w:tcPr>
            <w:tcW w:w="109" w:type="dxa"/>
            <w:tcBorders/>
            <w:shd w:fill="FF6A00" w:val="clear"/>
            <w:tcMar>
              <w:bottom w:w="0" w:type="dxa"/>
            </w:tcMar>
            <w:vAlign w:val="center"/>
          </w:tcPr>
          <w:p>
            <w:pPr>
              <w:pStyle w:val="TableContents"/>
              <w:bidi w:val="0"/>
              <w:spacing w:before="0" w:after="283"/>
              <w:jc w:val="left"/>
              <w:rPr/>
            </w:pPr>
            <w:r>
              <w:rPr/>
              <w:t>​</w:t>
            </w:r>
          </w:p>
        </w:tc>
        <w:tc>
          <w:tcPr>
            <w:tcW w:w="109" w:type="dxa"/>
            <w:tcBorders/>
            <w:shd w:fill="FF6A00" w:val="clear"/>
            <w:tcMar>
              <w:bottom w:w="0" w:type="dxa"/>
            </w:tcMar>
            <w:vAlign w:val="center"/>
          </w:tcPr>
          <w:p>
            <w:pPr>
              <w:pStyle w:val="TableContents"/>
              <w:bidi w:val="0"/>
              <w:spacing w:before="0" w:after="283"/>
              <w:jc w:val="left"/>
              <w:rPr/>
            </w:pPr>
            <w:r>
              <w:rPr/>
              <w:t>​</w:t>
            </w:r>
          </w:p>
        </w:tc>
        <w:tc>
          <w:tcPr>
            <w:tcW w:w="1601" w:type="dxa"/>
            <w:gridSpan w:val="4"/>
            <w:tcBorders/>
            <w:shd w:fill="FF6A00" w:val="clear"/>
            <w:tcMar>
              <w:bottom w:w="0" w:type="dxa"/>
            </w:tcMar>
            <w:vAlign w:val="center"/>
          </w:tcPr>
          <w:p>
            <w:pPr>
              <w:pStyle w:val="TableContents"/>
              <w:bidi w:val="0"/>
              <w:spacing w:before="0" w:after="0"/>
              <w:jc w:val="center"/>
              <w:rPr>
                <w:spacing w:val="-2"/>
              </w:rPr>
            </w:pPr>
            <w:r>
              <w:rPr>
                <w:spacing w:val="-2"/>
              </w:rPr>
              <w:t xml:space="preserve">Average non- </w:t>
              <w:br/>
              <w:t xml:space="preserve">PEO NEOs </w:t>
            </w:r>
          </w:p>
        </w:tc>
        <w:tc>
          <w:tcPr>
            <w:tcW w:w="155" w:type="dxa"/>
            <w:tcBorders/>
            <w:shd w:fill="FF6A00"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148" w:type="dxa"/>
            <w:tcBorders/>
            <w:tcMar>
              <w:bottom w:w="0" w:type="dxa"/>
            </w:tcMar>
            <w:vAlign w:val="center"/>
          </w:tcPr>
          <w:p>
            <w:pPr>
              <w:pStyle w:val="TableContents"/>
              <w:bidi w:val="0"/>
              <w:spacing w:before="0" w:after="0"/>
              <w:ind w:left="200" w:right="0" w:hanging="200"/>
              <w:jc w:val="left"/>
              <w:rPr>
                <w:spacing w:val="-2"/>
              </w:rPr>
            </w:pPr>
            <w:r>
              <w:rPr>
                <w:spacing w:val="-2"/>
              </w:rPr>
              <w:t xml:space="preserve">Deduction for Amounts Reported under the “Stock Awards” and “Option </w:t>
              <w:br/>
              <w:t xml:space="preserve">Awards” Columns in the Summary Compensation Table for Applicable </w:t>
              <w:br/>
              <w:t xml:space="preserve">FY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57" w:type="dxa"/>
            <w:tcBorders/>
            <w:tcMar>
              <w:bottom w:w="0" w:type="dxa"/>
            </w:tcMar>
            <w:vAlign w:val="center"/>
          </w:tcPr>
          <w:p>
            <w:pPr>
              <w:pStyle w:val="TableContents"/>
              <w:bidi w:val="0"/>
              <w:spacing w:before="0" w:after="283"/>
              <w:jc w:val="right"/>
              <w:rPr/>
            </w:pPr>
            <w:r>
              <w:rPr/>
              <w:t>(7,000,190)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57" w:type="dxa"/>
            <w:tcBorders/>
            <w:tcMar>
              <w:bottom w:w="0" w:type="dxa"/>
            </w:tcMar>
            <w:vAlign w:val="center"/>
          </w:tcPr>
          <w:p>
            <w:pPr>
              <w:pStyle w:val="TableContents"/>
              <w:bidi w:val="0"/>
              <w:spacing w:before="0" w:after="283"/>
              <w:jc w:val="right"/>
              <w:rPr/>
            </w:pPr>
            <w:r>
              <w:rPr/>
              <w:t>(1,125,257)</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B2B2B2" w:val="clear"/>
            <w:tcMar>
              <w:bottom w:w="0" w:type="dxa"/>
            </w:tcMar>
            <w:vAlign w:val="center"/>
          </w:tcPr>
          <w:p>
            <w:pPr>
              <w:pStyle w:val="TableContents"/>
              <w:bidi w:val="0"/>
              <w:spacing w:before="0" w:after="283"/>
              <w:jc w:val="left"/>
              <w:rPr/>
            </w:pPr>
            <w:r>
              <w:rPr/>
              <w:t>​</w:t>
            </w:r>
          </w:p>
        </w:tc>
        <w:tc>
          <w:tcPr>
            <w:tcW w:w="5148" w:type="dxa"/>
            <w:tcBorders/>
            <w:shd w:fill="B2B2B2" w:val="clear"/>
            <w:tcMar>
              <w:bottom w:w="0" w:type="dxa"/>
            </w:tcMar>
            <w:vAlign w:val="center"/>
          </w:tcPr>
          <w:p>
            <w:pPr>
              <w:pStyle w:val="TableContents"/>
              <w:bidi w:val="0"/>
              <w:spacing w:before="0" w:after="0"/>
              <w:ind w:left="200" w:right="0" w:hanging="200"/>
              <w:jc w:val="left"/>
              <w:rPr>
                <w:spacing w:val="-2"/>
              </w:rPr>
            </w:pPr>
            <w:r>
              <w:rPr>
                <w:spacing w:val="-2"/>
              </w:rPr>
              <w:t xml:space="preserve">Increase based on ASC 718 Fair Value of Awards Granted during Applicable FY that Remain Unvested as of Applicable FY End, determined as of Applicable FY End </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226" w:type="dxa"/>
            <w:tcBorders/>
            <w:shd w:fill="B2B2B2" w:val="clear"/>
            <w:tcMar>
              <w:bottom w:w="0" w:type="dxa"/>
            </w:tcMar>
            <w:vAlign w:val="center"/>
          </w:tcPr>
          <w:p>
            <w:pPr>
              <w:pStyle w:val="TableContents"/>
              <w:bidi w:val="0"/>
              <w:spacing w:before="0" w:after="283"/>
              <w:jc w:val="right"/>
              <w:rPr/>
            </w:pPr>
            <w:r>
              <w:rPr/>
              <w:t>$</w:t>
            </w:r>
          </w:p>
        </w:tc>
        <w:tc>
          <w:tcPr>
            <w:tcW w:w="1157" w:type="dxa"/>
            <w:tcBorders/>
            <w:shd w:fill="B2B2B2" w:val="clear"/>
            <w:tcMar>
              <w:bottom w:w="0" w:type="dxa"/>
            </w:tcMar>
            <w:vAlign w:val="center"/>
          </w:tcPr>
          <w:p>
            <w:pPr>
              <w:pStyle w:val="TableContents"/>
              <w:bidi w:val="0"/>
              <w:spacing w:before="0" w:after="283"/>
              <w:jc w:val="right"/>
              <w:rPr/>
            </w:pPr>
            <w:r>
              <w:rPr/>
              <w:t>6,289,384</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226" w:type="dxa"/>
            <w:tcBorders/>
            <w:shd w:fill="B2B2B2" w:val="clear"/>
            <w:tcMar>
              <w:bottom w:w="0" w:type="dxa"/>
            </w:tcMar>
            <w:vAlign w:val="center"/>
          </w:tcPr>
          <w:p>
            <w:pPr>
              <w:pStyle w:val="TableContents"/>
              <w:bidi w:val="0"/>
              <w:spacing w:before="0" w:after="283"/>
              <w:jc w:val="right"/>
              <w:rPr/>
            </w:pPr>
            <w:r>
              <w:rPr/>
              <w:t>$</w:t>
            </w:r>
          </w:p>
        </w:tc>
        <w:tc>
          <w:tcPr>
            <w:tcW w:w="1157" w:type="dxa"/>
            <w:tcBorders/>
            <w:shd w:fill="B2B2B2" w:val="clear"/>
            <w:tcMar>
              <w:bottom w:w="0" w:type="dxa"/>
            </w:tcMar>
            <w:vAlign w:val="center"/>
          </w:tcPr>
          <w:p>
            <w:pPr>
              <w:pStyle w:val="TableContents"/>
              <w:bidi w:val="0"/>
              <w:spacing w:before="0" w:after="283"/>
              <w:jc w:val="right"/>
              <w:rPr/>
            </w:pPr>
            <w:r>
              <w:rPr/>
              <w:t>1,010,945</w:t>
            </w:r>
          </w:p>
        </w:tc>
        <w:tc>
          <w:tcPr>
            <w:tcW w:w="109" w:type="dxa"/>
            <w:tcBorders/>
            <w:shd w:fill="B2B2B2" w:val="clear"/>
            <w:tcMar>
              <w:bottom w:w="0" w:type="dxa"/>
            </w:tcMar>
            <w:vAlign w:val="center"/>
          </w:tcPr>
          <w:p>
            <w:pPr>
              <w:pStyle w:val="TableContents"/>
              <w:bidi w:val="0"/>
              <w:spacing w:before="0" w:after="283"/>
              <w:jc w:val="left"/>
              <w:rPr/>
            </w:pPr>
            <w:r>
              <w:rPr/>
              <w:t>​</w:t>
            </w:r>
          </w:p>
        </w:tc>
        <w:tc>
          <w:tcPr>
            <w:tcW w:w="155" w:type="dxa"/>
            <w:tcBorders/>
            <w:shd w:fill="B2B2B2"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148" w:type="dxa"/>
            <w:tcBorders/>
            <w:tcMar>
              <w:bottom w:w="0" w:type="dxa"/>
            </w:tcMar>
            <w:vAlign w:val="center"/>
          </w:tcPr>
          <w:p>
            <w:pPr>
              <w:pStyle w:val="TableContents"/>
              <w:bidi w:val="0"/>
              <w:spacing w:before="0" w:after="0"/>
              <w:ind w:left="200" w:right="0" w:hanging="200"/>
              <w:jc w:val="left"/>
              <w:rPr>
                <w:spacing w:val="-2"/>
              </w:rPr>
            </w:pPr>
            <w:r>
              <w:rPr>
                <w:spacing w:val="-2"/>
              </w:rPr>
              <w:t xml:space="preserve">Increase based on ASC 718 Fair Value of Awards Granted during Applicable FY that Vested during Applicable FY, determined as of Vesting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57"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57"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B2B2B2" w:val="clear"/>
            <w:tcMar>
              <w:bottom w:w="0" w:type="dxa"/>
            </w:tcMar>
            <w:vAlign w:val="center"/>
          </w:tcPr>
          <w:p>
            <w:pPr>
              <w:pStyle w:val="TableContents"/>
              <w:bidi w:val="0"/>
              <w:spacing w:before="0" w:after="283"/>
              <w:jc w:val="left"/>
              <w:rPr/>
            </w:pPr>
            <w:r>
              <w:rPr/>
              <w:t>​</w:t>
            </w:r>
          </w:p>
        </w:tc>
        <w:tc>
          <w:tcPr>
            <w:tcW w:w="5148" w:type="dxa"/>
            <w:tcBorders/>
            <w:shd w:fill="B2B2B2" w:val="clear"/>
            <w:tcMar>
              <w:bottom w:w="0" w:type="dxa"/>
            </w:tcMar>
            <w:vAlign w:val="center"/>
          </w:tcPr>
          <w:p>
            <w:pPr>
              <w:pStyle w:val="TableContents"/>
              <w:bidi w:val="0"/>
              <w:spacing w:before="0" w:after="0"/>
              <w:ind w:left="200" w:right="0" w:hanging="200"/>
              <w:jc w:val="left"/>
              <w:rPr>
                <w:spacing w:val="-2"/>
              </w:rPr>
            </w:pPr>
            <w:r>
              <w:rPr>
                <w:spacing w:val="-2"/>
              </w:rPr>
              <w:t xml:space="preserve">Increase/deduction for Awards Granted during Prior FY that were </w:t>
              <w:br/>
              <w:t xml:space="preserve">Outstanding and Unvested as of Applicable FY End, determined based on change in ASC 718 Fair Value from Prior FY End to Applicable FY End </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226" w:type="dxa"/>
            <w:tcBorders/>
            <w:shd w:fill="B2B2B2" w:val="clear"/>
            <w:tcMar>
              <w:bottom w:w="0" w:type="dxa"/>
            </w:tcMar>
            <w:vAlign w:val="center"/>
          </w:tcPr>
          <w:p>
            <w:pPr>
              <w:pStyle w:val="TableContents"/>
              <w:bidi w:val="0"/>
              <w:spacing w:before="0" w:after="283"/>
              <w:jc w:val="right"/>
              <w:rPr/>
            </w:pPr>
            <w:r>
              <w:rPr/>
              <w:t>$</w:t>
            </w:r>
          </w:p>
        </w:tc>
        <w:tc>
          <w:tcPr>
            <w:tcW w:w="1157" w:type="dxa"/>
            <w:tcBorders/>
            <w:shd w:fill="B2B2B2" w:val="clear"/>
            <w:tcMar>
              <w:bottom w:w="0" w:type="dxa"/>
            </w:tcMar>
            <w:vAlign w:val="center"/>
          </w:tcPr>
          <w:p>
            <w:pPr>
              <w:pStyle w:val="TableContents"/>
              <w:bidi w:val="0"/>
              <w:spacing w:before="0" w:after="283"/>
              <w:jc w:val="right"/>
              <w:rPr/>
            </w:pPr>
            <w:r>
              <w:rPr/>
              <w:t>(3,030,863)</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226" w:type="dxa"/>
            <w:tcBorders/>
            <w:shd w:fill="B2B2B2" w:val="clear"/>
            <w:tcMar>
              <w:bottom w:w="0" w:type="dxa"/>
            </w:tcMar>
            <w:vAlign w:val="center"/>
          </w:tcPr>
          <w:p>
            <w:pPr>
              <w:pStyle w:val="TableContents"/>
              <w:bidi w:val="0"/>
              <w:spacing w:before="0" w:after="283"/>
              <w:jc w:val="right"/>
              <w:rPr/>
            </w:pPr>
            <w:r>
              <w:rPr/>
              <w:t>$</w:t>
            </w:r>
          </w:p>
        </w:tc>
        <w:tc>
          <w:tcPr>
            <w:tcW w:w="1157" w:type="dxa"/>
            <w:tcBorders/>
            <w:shd w:fill="B2B2B2" w:val="clear"/>
            <w:tcMar>
              <w:bottom w:w="0" w:type="dxa"/>
            </w:tcMar>
            <w:vAlign w:val="center"/>
          </w:tcPr>
          <w:p>
            <w:pPr>
              <w:pStyle w:val="TableContents"/>
              <w:bidi w:val="0"/>
              <w:spacing w:before="0" w:after="283"/>
              <w:jc w:val="right"/>
              <w:rPr/>
            </w:pPr>
            <w:r>
              <w:rPr/>
              <w:t>(1,322,646)</w:t>
            </w:r>
          </w:p>
        </w:tc>
        <w:tc>
          <w:tcPr>
            <w:tcW w:w="109" w:type="dxa"/>
            <w:tcBorders/>
            <w:shd w:fill="B2B2B2" w:val="clear"/>
            <w:tcMar>
              <w:bottom w:w="0" w:type="dxa"/>
            </w:tcMar>
            <w:vAlign w:val="center"/>
          </w:tcPr>
          <w:p>
            <w:pPr>
              <w:pStyle w:val="TableContents"/>
              <w:bidi w:val="0"/>
              <w:spacing w:before="0" w:after="283"/>
              <w:jc w:val="left"/>
              <w:rPr/>
            </w:pPr>
            <w:r>
              <w:rPr/>
              <w:t>​</w:t>
            </w:r>
          </w:p>
        </w:tc>
        <w:tc>
          <w:tcPr>
            <w:tcW w:w="155" w:type="dxa"/>
            <w:tcBorders/>
            <w:shd w:fill="B2B2B2"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148" w:type="dxa"/>
            <w:tcBorders/>
            <w:tcMar>
              <w:bottom w:w="0" w:type="dxa"/>
            </w:tcMar>
            <w:vAlign w:val="center"/>
          </w:tcPr>
          <w:p>
            <w:pPr>
              <w:pStyle w:val="TableContents"/>
              <w:bidi w:val="0"/>
              <w:spacing w:before="0" w:after="0"/>
              <w:ind w:left="200" w:right="0" w:hanging="200"/>
              <w:jc w:val="left"/>
              <w:rPr>
                <w:spacing w:val="-2"/>
              </w:rPr>
            </w:pPr>
            <w:r>
              <w:rPr>
                <w:spacing w:val="-2"/>
              </w:rPr>
              <w:t xml:space="preserve">Increase/deduction for Awards Granted during Prior FY that Vested During Applicable FY, determined based on change in ASC 718 Fair Value from Prior FY End to Vesting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57" w:type="dxa"/>
            <w:tcBorders/>
            <w:tcMar>
              <w:bottom w:w="0" w:type="dxa"/>
            </w:tcMar>
            <w:vAlign w:val="center"/>
          </w:tcPr>
          <w:p>
            <w:pPr>
              <w:pStyle w:val="TableContents"/>
              <w:bidi w:val="0"/>
              <w:spacing w:before="0" w:after="283"/>
              <w:jc w:val="right"/>
              <w:rPr/>
            </w:pPr>
            <w:r>
              <w:rPr/>
              <w:t>(565,052)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57" w:type="dxa"/>
            <w:tcBorders/>
            <w:tcMar>
              <w:bottom w:w="0" w:type="dxa"/>
            </w:tcMar>
            <w:vAlign w:val="center"/>
          </w:tcPr>
          <w:p>
            <w:pPr>
              <w:pStyle w:val="TableContents"/>
              <w:bidi w:val="0"/>
              <w:spacing w:before="0" w:after="283"/>
              <w:jc w:val="right"/>
              <w:rPr/>
            </w:pPr>
            <w:r>
              <w:rPr/>
              <w:t>(74,781)</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B2B2B2" w:val="clear"/>
            <w:tcMar>
              <w:bottom w:w="0" w:type="dxa"/>
            </w:tcMar>
            <w:vAlign w:val="center"/>
          </w:tcPr>
          <w:p>
            <w:pPr>
              <w:pStyle w:val="TableContents"/>
              <w:bidi w:val="0"/>
              <w:spacing w:before="0" w:after="283"/>
              <w:jc w:val="left"/>
              <w:rPr/>
            </w:pPr>
            <w:r>
              <w:rPr/>
              <w:t>​</w:t>
            </w:r>
          </w:p>
        </w:tc>
        <w:tc>
          <w:tcPr>
            <w:tcW w:w="5148" w:type="dxa"/>
            <w:tcBorders/>
            <w:shd w:fill="B2B2B2" w:val="clear"/>
            <w:tcMar>
              <w:bottom w:w="0" w:type="dxa"/>
            </w:tcMar>
            <w:vAlign w:val="center"/>
          </w:tcPr>
          <w:p>
            <w:pPr>
              <w:pStyle w:val="TableContents"/>
              <w:bidi w:val="0"/>
              <w:spacing w:before="0" w:after="0"/>
              <w:ind w:left="200" w:right="0" w:hanging="200"/>
              <w:jc w:val="left"/>
              <w:rPr>
                <w:spacing w:val="-2"/>
              </w:rPr>
            </w:pPr>
            <w:r>
              <w:rPr>
                <w:spacing w:val="-2"/>
              </w:rPr>
              <w:t xml:space="preserve">Deduction of ASC 718 Fair Value of Awards Granted during Prior FY that </w:t>
              <w:br/>
              <w:t xml:space="preserve">were Forfeited during Applicable FY, determined as of Prior FY End </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226" w:type="dxa"/>
            <w:tcBorders/>
            <w:shd w:fill="B2B2B2" w:val="clear"/>
            <w:tcMar>
              <w:bottom w:w="0" w:type="dxa"/>
            </w:tcMar>
            <w:vAlign w:val="center"/>
          </w:tcPr>
          <w:p>
            <w:pPr>
              <w:pStyle w:val="TableContents"/>
              <w:bidi w:val="0"/>
              <w:spacing w:before="0" w:after="283"/>
              <w:jc w:val="right"/>
              <w:rPr/>
            </w:pPr>
            <w:r>
              <w:rPr/>
              <w:t>$</w:t>
            </w:r>
          </w:p>
        </w:tc>
        <w:tc>
          <w:tcPr>
            <w:tcW w:w="1157" w:type="dxa"/>
            <w:tcBorders/>
            <w:shd w:fill="B2B2B2" w:val="clear"/>
            <w:tcMar>
              <w:bottom w:w="0" w:type="dxa"/>
            </w:tcMar>
            <w:vAlign w:val="center"/>
          </w:tcPr>
          <w:p>
            <w:pPr>
              <w:pStyle w:val="TableContents"/>
              <w:bidi w:val="0"/>
              <w:spacing w:before="0" w:after="283"/>
              <w:jc w:val="right"/>
              <w:rPr/>
            </w:pPr>
            <w:r>
              <w:rPr/>
              <w:t>0</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226" w:type="dxa"/>
            <w:tcBorders/>
            <w:shd w:fill="B2B2B2" w:val="clear"/>
            <w:tcMar>
              <w:bottom w:w="0" w:type="dxa"/>
            </w:tcMar>
            <w:vAlign w:val="center"/>
          </w:tcPr>
          <w:p>
            <w:pPr>
              <w:pStyle w:val="TableContents"/>
              <w:bidi w:val="0"/>
              <w:spacing w:before="0" w:after="283"/>
              <w:jc w:val="right"/>
              <w:rPr/>
            </w:pPr>
            <w:r>
              <w:rPr/>
              <w:t>$</w:t>
            </w:r>
          </w:p>
        </w:tc>
        <w:tc>
          <w:tcPr>
            <w:tcW w:w="1157" w:type="dxa"/>
            <w:tcBorders/>
            <w:shd w:fill="B2B2B2" w:val="clear"/>
            <w:tcMar>
              <w:bottom w:w="0" w:type="dxa"/>
            </w:tcMar>
            <w:vAlign w:val="center"/>
          </w:tcPr>
          <w:p>
            <w:pPr>
              <w:pStyle w:val="TableContents"/>
              <w:bidi w:val="0"/>
              <w:spacing w:before="0" w:after="283"/>
              <w:jc w:val="right"/>
              <w:rPr/>
            </w:pPr>
            <w:r>
              <w:rPr/>
              <w:t>0</w:t>
            </w:r>
          </w:p>
        </w:tc>
        <w:tc>
          <w:tcPr>
            <w:tcW w:w="109" w:type="dxa"/>
            <w:tcBorders/>
            <w:shd w:fill="B2B2B2" w:val="clear"/>
            <w:tcMar>
              <w:bottom w:w="0" w:type="dxa"/>
            </w:tcMar>
            <w:vAlign w:val="center"/>
          </w:tcPr>
          <w:p>
            <w:pPr>
              <w:pStyle w:val="TableContents"/>
              <w:bidi w:val="0"/>
              <w:spacing w:before="0" w:after="283"/>
              <w:jc w:val="left"/>
              <w:rPr/>
            </w:pPr>
            <w:r>
              <w:rPr/>
              <w:t>​</w:t>
            </w:r>
          </w:p>
        </w:tc>
        <w:tc>
          <w:tcPr>
            <w:tcW w:w="155" w:type="dxa"/>
            <w:tcBorders/>
            <w:shd w:fill="B2B2B2"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148" w:type="dxa"/>
            <w:tcBorders/>
            <w:tcMar>
              <w:bottom w:w="0" w:type="dxa"/>
            </w:tcMar>
            <w:vAlign w:val="center"/>
          </w:tcPr>
          <w:p>
            <w:pPr>
              <w:pStyle w:val="TableContents"/>
              <w:bidi w:val="0"/>
              <w:spacing w:before="0" w:after="0"/>
              <w:ind w:left="200" w:right="0" w:hanging="200"/>
              <w:jc w:val="left"/>
              <w:rPr>
                <w:spacing w:val="-2"/>
              </w:rPr>
            </w:pPr>
            <w:r>
              <w:rPr>
                <w:spacing w:val="-2"/>
              </w:rPr>
              <w:t xml:space="preserve">Increase based on Dividends or Other Earnings Paid during Applicable FY prior to Vesting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57"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57"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B2B2B2" w:val="clear"/>
            <w:tcMar>
              <w:bottom w:w="0" w:type="dxa"/>
            </w:tcMar>
            <w:vAlign w:val="center"/>
          </w:tcPr>
          <w:p>
            <w:pPr>
              <w:pStyle w:val="TableContents"/>
              <w:bidi w:val="0"/>
              <w:spacing w:before="0" w:after="283"/>
              <w:jc w:val="left"/>
              <w:rPr/>
            </w:pPr>
            <w:r>
              <w:rPr/>
              <w:t>​</w:t>
            </w:r>
          </w:p>
        </w:tc>
        <w:tc>
          <w:tcPr>
            <w:tcW w:w="5148" w:type="dxa"/>
            <w:tcBorders/>
            <w:shd w:fill="B2B2B2" w:val="clear"/>
            <w:tcMar>
              <w:bottom w:w="0" w:type="dxa"/>
            </w:tcMar>
            <w:vAlign w:val="center"/>
          </w:tcPr>
          <w:p>
            <w:pPr>
              <w:pStyle w:val="TableContents"/>
              <w:bidi w:val="0"/>
              <w:spacing w:before="0" w:after="283"/>
              <w:jc w:val="left"/>
              <w:rPr/>
            </w:pPr>
            <w:r>
              <w:rPr>
                <w:spacing w:val="-2"/>
              </w:rPr>
              <w:t>TOTAL ADJUSTMENTS</w:t>
            </w:r>
            <w:r>
              <w:rPr/>
              <w:t xml:space="preserve"> </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226" w:type="dxa"/>
            <w:tcBorders/>
            <w:shd w:fill="B2B2B2" w:val="clear"/>
            <w:tcMar>
              <w:bottom w:w="0" w:type="dxa"/>
            </w:tcMar>
            <w:vAlign w:val="center"/>
          </w:tcPr>
          <w:p>
            <w:pPr>
              <w:pStyle w:val="TableContents"/>
              <w:bidi w:val="0"/>
              <w:spacing w:before="0" w:after="283"/>
              <w:jc w:val="right"/>
              <w:rPr/>
            </w:pPr>
            <w:r>
              <w:rPr/>
              <w:t>$</w:t>
            </w:r>
          </w:p>
        </w:tc>
        <w:tc>
          <w:tcPr>
            <w:tcW w:w="1157" w:type="dxa"/>
            <w:tcBorders/>
            <w:shd w:fill="B2B2B2" w:val="clear"/>
            <w:tcMar>
              <w:bottom w:w="0" w:type="dxa"/>
            </w:tcMar>
            <w:vAlign w:val="center"/>
          </w:tcPr>
          <w:p>
            <w:pPr>
              <w:pStyle w:val="TableContents"/>
              <w:bidi w:val="0"/>
              <w:spacing w:before="0" w:after="283"/>
              <w:jc w:val="right"/>
              <w:rPr/>
            </w:pPr>
            <w:r>
              <w:rPr/>
              <w:t>(4,306,721)</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226" w:type="dxa"/>
            <w:tcBorders/>
            <w:shd w:fill="B2B2B2" w:val="clear"/>
            <w:tcMar>
              <w:bottom w:w="0" w:type="dxa"/>
            </w:tcMar>
            <w:vAlign w:val="center"/>
          </w:tcPr>
          <w:p>
            <w:pPr>
              <w:pStyle w:val="TableContents"/>
              <w:bidi w:val="0"/>
              <w:spacing w:before="0" w:after="283"/>
              <w:jc w:val="right"/>
              <w:rPr/>
            </w:pPr>
            <w:r>
              <w:rPr/>
              <w:t>$</w:t>
            </w:r>
          </w:p>
        </w:tc>
        <w:tc>
          <w:tcPr>
            <w:tcW w:w="1157" w:type="dxa"/>
            <w:tcBorders/>
            <w:shd w:fill="B2B2B2" w:val="clear"/>
            <w:tcMar>
              <w:bottom w:w="0" w:type="dxa"/>
            </w:tcMar>
            <w:vAlign w:val="center"/>
          </w:tcPr>
          <w:p>
            <w:pPr>
              <w:pStyle w:val="TableContents"/>
              <w:bidi w:val="0"/>
              <w:spacing w:before="0" w:after="283"/>
              <w:jc w:val="right"/>
              <w:rPr/>
            </w:pPr>
            <w:r>
              <w:rPr/>
              <w:t>(1,511,739)</w:t>
            </w:r>
          </w:p>
        </w:tc>
        <w:tc>
          <w:tcPr>
            <w:tcW w:w="109" w:type="dxa"/>
            <w:tcBorders/>
            <w:shd w:fill="B2B2B2" w:val="clear"/>
            <w:tcMar>
              <w:bottom w:w="0" w:type="dxa"/>
            </w:tcMar>
            <w:vAlign w:val="center"/>
          </w:tcPr>
          <w:p>
            <w:pPr>
              <w:pStyle w:val="TableContents"/>
              <w:bidi w:val="0"/>
              <w:spacing w:before="0" w:after="283"/>
              <w:jc w:val="left"/>
              <w:rPr/>
            </w:pPr>
            <w:r>
              <w:rPr/>
              <w:t>​</w:t>
            </w:r>
          </w:p>
        </w:tc>
        <w:tc>
          <w:tcPr>
            <w:tcW w:w="155" w:type="dxa"/>
            <w:tcBorders/>
            <w:shd w:fill="B2B2B2" w:val="clear"/>
            <w:tcMar>
              <w:bottom w:w="0" w:type="dxa"/>
            </w:tcMar>
            <w:vAlign w:val="center"/>
          </w:tcPr>
          <w:p>
            <w:pPr>
              <w:pStyle w:val="TableContents"/>
              <w:bidi w:val="0"/>
              <w:spacing w:before="0" w:after="283"/>
              <w:jc w:val="left"/>
              <w:rPr/>
            </w:pPr>
            <w:r>
              <w:rPr/>
              <w:t>​</w:t>
            </w:r>
          </w:p>
        </w:tc>
      </w:tr>
    </w:tbl>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20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TSR is calculated based on a fixed investment of one hundred dollars measured from the market close on December 31, 2020 through and including the end of each fiscal year reported in the table.</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27000" distB="0" distL="0" distR="0" simplePos="0" locked="0" layoutInCell="1" allowOverlap="1" relativeHeight="336">
                <wp:simplePos x="0" y="0"/>
                <wp:positionH relativeFrom="column">
                  <wp:align>left</wp:align>
                </wp:positionH>
                <wp:positionV relativeFrom="line">
                  <wp:align>top</wp:align>
                </wp:positionV>
                <wp:extent cx="254000" cy="330200"/>
                <wp:effectExtent l="0" t="0" r="0" b="0"/>
                <wp:wrapSquare wrapText="right"/>
                <wp:docPr id="317" name="Frame205"/>
                <a:graphic xmlns:a="http://schemas.openxmlformats.org/drawingml/2006/main">
                  <a:graphicData uri="http://schemas.microsoft.com/office/word/2010/wordprocessingShape">
                    <wps:wsp>
                      <wps:cNvSpPr txBox="1"/>
                      <wps:spPr>
                        <a:xfrm>
                          <a:off x="0" y="0"/>
                          <a:ext cx="254000" cy="330200"/>
                        </a:xfrm>
                        <a:prstGeom prst="rect"/>
                        <a:solidFill>
                          <a:srgbClr val="FFFFFF"/>
                        </a:solidFill>
                      </wps:spPr>
                      <wps:txbx>
                        <w:txbxContent>
                          <w:p>
                            <w:pPr>
                              <w:pStyle w:val="TextBody"/>
                              <w:bidi w:val="0"/>
                              <w:spacing w:lineRule="atLeast" w:line="260" w:before="0" w:after="283"/>
                              <w:jc w:val="left"/>
                              <w:rPr>
                                <w:sz w:val="22"/>
                              </w:rPr>
                            </w:pPr>
                            <w:r>
                              <w:rPr>
                                <w:spacing w:val="-2"/>
                                <w:sz w:val="22"/>
                              </w:rPr>
                              <w:t>2.</w:t>
                            </w:r>
                            <w:r>
                              <w:rPr>
                                <w:sz w:val="22"/>
                              </w:rPr>
                              <w:t xml:space="preserve"> </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lineRule="atLeast" w:line="260" w:before="0" w:after="283"/>
                        <w:jc w:val="left"/>
                        <w:rPr>
                          <w:sz w:val="22"/>
                        </w:rPr>
                      </w:pPr>
                      <w:r>
                        <w:rPr>
                          <w:spacing w:val="-2"/>
                          <w:sz w:val="22"/>
                        </w:rPr>
                        <w:t>2.</w:t>
                      </w:r>
                      <w:r>
                        <w:rPr>
                          <w:sz w:val="22"/>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8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Our Peer Group is the S&amp;P 500 Industrials (Sector) Index, which is the industry index used to show our performance in our Form 10-K.</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0" distR="0" simplePos="0" locked="0" layoutInCell="1" allowOverlap="1" relativeHeight="337">
                <wp:simplePos x="0" y="0"/>
                <wp:positionH relativeFrom="column">
                  <wp:align>left</wp:align>
                </wp:positionH>
                <wp:positionV relativeFrom="line">
                  <wp:align>top</wp:align>
                </wp:positionV>
                <wp:extent cx="254000" cy="330200"/>
                <wp:effectExtent l="0" t="0" r="0" b="0"/>
                <wp:wrapSquare wrapText="right"/>
                <wp:docPr id="318" name="Frame206"/>
                <a:graphic xmlns:a="http://schemas.openxmlformats.org/drawingml/2006/main">
                  <a:graphicData uri="http://schemas.microsoft.com/office/word/2010/wordprocessingShape">
                    <wps:wsp>
                      <wps:cNvSpPr txBox="1"/>
                      <wps:spPr>
                        <a:xfrm>
                          <a:off x="0" y="0"/>
                          <a:ext cx="254000" cy="330200"/>
                        </a:xfrm>
                        <a:prstGeom prst="rect"/>
                        <a:solidFill>
                          <a:srgbClr val="FFFFFF"/>
                        </a:solidFill>
                      </wps:spPr>
                      <wps:txbx>
                        <w:txbxContent>
                          <w:p>
                            <w:pPr>
                              <w:pStyle w:val="TextBody"/>
                              <w:bidi w:val="0"/>
                              <w:spacing w:lineRule="atLeast" w:line="260" w:before="0" w:after="283"/>
                              <w:jc w:val="left"/>
                              <w:rPr>
                                <w:sz w:val="22"/>
                              </w:rPr>
                            </w:pPr>
                            <w:r>
                              <w:rPr>
                                <w:spacing w:val="-2"/>
                                <w:sz w:val="22"/>
                              </w:rPr>
                              <w:t>3.</w:t>
                            </w:r>
                            <w:r>
                              <w:rPr>
                                <w:sz w:val="22"/>
                              </w:rPr>
                              <w:t xml:space="preserve"> </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60" w:before="0" w:after="283"/>
                        <w:jc w:val="left"/>
                        <w:rPr>
                          <w:sz w:val="22"/>
                        </w:rPr>
                      </w:pPr>
                      <w:r>
                        <w:rPr>
                          <w:spacing w:val="-2"/>
                          <w:sz w:val="22"/>
                        </w:rPr>
                        <w:t>3.</w:t>
                      </w:r>
                      <w:r>
                        <w:rPr>
                          <w:sz w:val="22"/>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80" w:after="0"/>
        <w:ind w:left="1540" w:right="0" w:hanging="0"/>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Our company-selected measure, which is the measure we believe represents the most important financial performance measure not otherwise presented in the table above that we used to link CAP for fiscal 2025 to performance, is Adjusted EBITDA, which is a Non-GAAP measure that excludes the impact of acquisitions. A reconciliation of Adjusted EBITDA to net income can be found in Item 7 of the Company’s Annual Report on Form 10-K for the fiscal year ended December 31, 2025. </w:t>
      </w:r>
      <w:r>
        <mc:AlternateContent>
          <mc:Choice Requires="wps">
            <w:drawing>
              <wp:anchor behindDoc="0" distT="50800" distB="0" distL="0" distR="0" simplePos="0" locked="0" layoutInCell="1" allowOverlap="1" relativeHeight="338">
                <wp:simplePos x="0" y="0"/>
                <wp:positionH relativeFrom="column">
                  <wp:align>left</wp:align>
                </wp:positionH>
                <wp:positionV relativeFrom="line">
                  <wp:align>top</wp:align>
                </wp:positionV>
                <wp:extent cx="254000" cy="330200"/>
                <wp:effectExtent l="0" t="0" r="0" b="0"/>
                <wp:wrapSquare wrapText="right"/>
                <wp:docPr id="319" name="Frame207"/>
                <a:graphic xmlns:a="http://schemas.openxmlformats.org/drawingml/2006/main">
                  <a:graphicData uri="http://schemas.microsoft.com/office/word/2010/wordprocessingShape">
                    <wps:wsp>
                      <wps:cNvSpPr txBox="1"/>
                      <wps:spPr>
                        <a:xfrm>
                          <a:off x="0" y="0"/>
                          <a:ext cx="254000" cy="330200"/>
                        </a:xfrm>
                        <a:prstGeom prst="rect"/>
                        <a:solidFill>
                          <a:srgbClr val="FFFFFF"/>
                        </a:solidFill>
                      </wps:spPr>
                      <wps:txbx>
                        <w:txbxContent>
                          <w:p>
                            <w:pPr>
                              <w:pStyle w:val="TextBody"/>
                              <w:bidi w:val="0"/>
                              <w:spacing w:lineRule="atLeast" w:line="260" w:before="0" w:after="283"/>
                              <w:jc w:val="left"/>
                              <w:rPr>
                                <w:sz w:val="22"/>
                              </w:rPr>
                            </w:pPr>
                            <w:r>
                              <w:rPr>
                                <w:spacing w:val="-2"/>
                                <w:sz w:val="22"/>
                              </w:rPr>
                              <w:t>4.</w:t>
                            </w:r>
                            <w:r>
                              <w:rPr>
                                <w:sz w:val="22"/>
                              </w:rPr>
                              <w:t xml:space="preserve"> </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60" w:before="0" w:after="283"/>
                        <w:jc w:val="left"/>
                        <w:rPr>
                          <w:sz w:val="22"/>
                        </w:rPr>
                      </w:pPr>
                      <w:r>
                        <w:rPr>
                          <w:spacing w:val="-2"/>
                          <w:sz w:val="22"/>
                        </w:rPr>
                        <w:t>4.</w:t>
                      </w:r>
                      <w:r>
                        <w:rPr>
                          <w:sz w:val="22"/>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320"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102" descr=""/>
                          <pic:cNvPicPr>
                            <a:picLocks noChangeAspect="1" noChangeArrowheads="1"/>
                          </pic:cNvPicPr>
                        </pic:nvPicPr>
                        <pic:blipFill>
                          <a:blip r:embed="rId114"/>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54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1100" w:after="283"/>
        <w:ind w:left="1140" w:right="0" w:hanging="0"/>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Relationship Between Pay and Performance Measures</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line graphs below compare CAP for our CEO and the average of CAP for our remaining NEOs, with (i) our cumulative TSR, (ii) cumulative peer group TSR, (iii) our net income, and (iv) our Adjusted EBITDA, in each case, for the fiscal years ended December 31, 2021, 2022, 2023, 2024, and 2025.</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TSR amounts reported in the graph assume an initial fixed investment of $100 made on the last trading day of 2020, and that all dividends, if any, were reinvested.</w:t>
      </w:r>
      <w:r>
        <w:rPr>
          <w:rFonts w:ascii="Arial;Helvetica;sans-serif" w:hAnsi="Arial;Helvetica;sans-serif"/>
          <w:b w:val="false"/>
          <w:i w:val="false"/>
          <w:caps w:val="false"/>
          <w:smallCaps w:val="false"/>
          <w:color w:val="000000"/>
          <w:spacing w:val="4"/>
          <w:sz w:val="22"/>
        </w:rPr>
        <w:t xml:space="preserve"> </w:t>
      </w:r>
    </w:p>
    <w:p>
      <w:pPr>
        <w:pStyle w:val="TextBody"/>
        <w:bidi w:val="0"/>
        <w:spacing w:before="126" w:after="283"/>
        <w:jc w:val="center"/>
        <w:rPr>
          <w:caps w:val="false"/>
          <w:smallCaps w:val="false"/>
          <w:color w:val="000000"/>
        </w:rPr>
      </w:pPr>
      <w:r>
        <w:rPr>
          <w:caps w:val="false"/>
          <w:smallCaps w:val="false"/>
          <w:color w:val="000000"/>
        </w:rPr>
        <w:drawing>
          <wp:inline distT="0" distB="0" distL="0" distR="0">
            <wp:extent cx="6067425" cy="3276600"/>
            <wp:effectExtent l="0" t="0" r="0" b="0"/>
            <wp:docPr id="321"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103" descr=""/>
                    <pic:cNvPicPr>
                      <a:picLocks noChangeAspect="1" noChangeArrowheads="1"/>
                    </pic:cNvPicPr>
                  </pic:nvPicPr>
                  <pic:blipFill>
                    <a:blip r:embed="rId115"/>
                    <a:stretch>
                      <a:fillRect/>
                    </a:stretch>
                  </pic:blipFill>
                  <pic:spPr bwMode="auto">
                    <a:xfrm>
                      <a:off x="0" y="0"/>
                      <a:ext cx="6067425" cy="3276600"/>
                    </a:xfrm>
                    <a:prstGeom prst="rect">
                      <a:avLst/>
                    </a:prstGeom>
                  </pic:spPr>
                </pic:pic>
              </a:graphicData>
            </a:graphic>
          </wp:inline>
        </w:drawing>
      </w:r>
      <w:r>
        <w:rPr>
          <w:caps w:val="false"/>
          <w:smallCaps w:val="false"/>
          <w:color w:val="000000"/>
        </w:rPr>
        <w:t xml:space="preserve"> </w:t>
      </w:r>
    </w:p>
    <w:p>
      <w:pPr>
        <w:pStyle w:val="TextBody"/>
        <w:bidi w:val="0"/>
        <w:spacing w:before="194" w:after="283"/>
        <w:jc w:val="center"/>
        <w:rPr>
          <w:caps w:val="false"/>
          <w:smallCaps w:val="false"/>
          <w:color w:val="000000"/>
        </w:rPr>
      </w:pPr>
      <w:r>
        <w:rPr>
          <w:caps w:val="false"/>
          <w:smallCaps w:val="false"/>
          <w:color w:val="000000"/>
        </w:rPr>
        <w:drawing>
          <wp:inline distT="0" distB="0" distL="0" distR="0">
            <wp:extent cx="6067425" cy="3276600"/>
            <wp:effectExtent l="0" t="0" r="0" b="0"/>
            <wp:docPr id="322"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104" descr=""/>
                    <pic:cNvPicPr>
                      <a:picLocks noChangeAspect="1" noChangeArrowheads="1"/>
                    </pic:cNvPicPr>
                  </pic:nvPicPr>
                  <pic:blipFill>
                    <a:blip r:embed="rId116"/>
                    <a:stretch>
                      <a:fillRect/>
                    </a:stretch>
                  </pic:blipFill>
                  <pic:spPr bwMode="auto">
                    <a:xfrm>
                      <a:off x="0" y="0"/>
                      <a:ext cx="6067425" cy="32766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323"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105" descr=""/>
                          <pic:cNvPicPr>
                            <a:picLocks noChangeAspect="1" noChangeArrowheads="1"/>
                          </pic:cNvPicPr>
                        </pic:nvPicPr>
                        <pic:blipFill>
                          <a:blip r:embed="rId117"/>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55</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20" w:after="283"/>
        <w:ind w:left="1140" w:right="0" w:hanging="0"/>
        <w:jc w:val="center"/>
        <w:rPr>
          <w:caps w:val="false"/>
          <w:smallCaps w:val="false"/>
          <w:color w:val="000000"/>
        </w:rPr>
      </w:pPr>
      <w:r>
        <w:rPr>
          <w:caps w:val="false"/>
          <w:smallCaps w:val="false"/>
          <w:color w:val="000000"/>
        </w:rPr>
        <w:drawing>
          <wp:inline distT="0" distB="0" distL="0" distR="0">
            <wp:extent cx="6067425" cy="3276600"/>
            <wp:effectExtent l="0" t="0" r="0" b="0"/>
            <wp:docPr id="324"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106" descr=""/>
                    <pic:cNvPicPr>
                      <a:picLocks noChangeAspect="1" noChangeArrowheads="1"/>
                    </pic:cNvPicPr>
                  </pic:nvPicPr>
                  <pic:blipFill>
                    <a:blip r:embed="rId118"/>
                    <a:stretch>
                      <a:fillRect/>
                    </a:stretch>
                  </pic:blipFill>
                  <pic:spPr bwMode="auto">
                    <a:xfrm>
                      <a:off x="0" y="0"/>
                      <a:ext cx="6067425" cy="3276600"/>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358" w:after="283"/>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Most Important Pay Versus Performance Financial Measures</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We believe the following represent the most important financial performance measures used by us to link CAP to our NEOs for the fiscal year ended December 31, 2025:</w:t>
      </w:r>
      <w:r>
        <w:rPr>
          <w:rFonts w:ascii="Arial;Helvetica;sans-serif" w:hAnsi="Arial;Helvetica;sans-serif"/>
          <w:b w:val="false"/>
          <w:i w:val="false"/>
          <w:caps w:val="false"/>
          <w:smallCaps w:val="false"/>
          <w:color w:val="000000"/>
          <w:spacing w:val="4"/>
          <w:sz w:val="22"/>
        </w:rPr>
        <w:t xml:space="preserve"> </w:t>
      </w:r>
    </w:p>
    <w:tbl>
      <w:tblPr>
        <w:tblW w:w="6098" w:type="dxa"/>
        <w:jc w:val="left"/>
        <w:tblInd w:w="1140" w:type="dxa"/>
        <w:tblLayout w:type="fixed"/>
        <w:tblCellMar>
          <w:top w:w="0" w:type="dxa"/>
          <w:left w:w="0" w:type="dxa"/>
          <w:bottom w:w="28" w:type="dxa"/>
          <w:right w:w="0" w:type="dxa"/>
        </w:tblCellMar>
      </w:tblPr>
      <w:tblGrid>
        <w:gridCol w:w="124"/>
        <w:gridCol w:w="5820"/>
        <w:gridCol w:w="154"/>
      </w:tblGrid>
      <w:tr>
        <w:trPr/>
        <w:tc>
          <w:tcPr>
            <w:tcW w:w="124" w:type="dxa"/>
            <w:tcBorders>
              <w:bottom w:val="single" w:sz="2" w:space="0" w:color="000000"/>
            </w:tcBorders>
            <w:vAlign w:val="center"/>
          </w:tcPr>
          <w:p>
            <w:pPr>
              <w:pStyle w:val="TableContents"/>
              <w:bidi w:val="0"/>
              <w:spacing w:before="0" w:after="283"/>
              <w:jc w:val="left"/>
              <w:rPr/>
            </w:pPr>
            <w:r>
              <w:rPr/>
              <w:t>​</w:t>
            </w:r>
          </w:p>
        </w:tc>
        <w:tc>
          <w:tcPr>
            <w:tcW w:w="5820" w:type="dxa"/>
            <w:tcBorders>
              <w:bottom w:val="single" w:sz="2" w:space="0" w:color="000000"/>
            </w:tcBorders>
            <w:tcMar>
              <w:bottom w:w="50" w:type="dxa"/>
            </w:tcMar>
            <w:vAlign w:val="center"/>
          </w:tcPr>
          <w:p>
            <w:pPr>
              <w:pStyle w:val="TableContents"/>
              <w:bidi w:val="0"/>
              <w:spacing w:before="0" w:after="283"/>
              <w:jc w:val="left"/>
              <w:rPr/>
            </w:pPr>
            <w:r>
              <w:rPr/>
              <w:t>​</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tcBorders/>
            <w:shd w:fill="B2B2B2" w:val="clear"/>
            <w:tcMar>
              <w:bottom w:w="0" w:type="dxa"/>
            </w:tcMar>
            <w:vAlign w:val="center"/>
          </w:tcPr>
          <w:p>
            <w:pPr>
              <w:pStyle w:val="TableContents"/>
              <w:bidi w:val="0"/>
              <w:spacing w:before="0" w:after="283"/>
              <w:jc w:val="left"/>
              <w:rPr/>
            </w:pPr>
            <w:r>
              <w:rPr/>
              <w:t>​</w:t>
            </w:r>
          </w:p>
        </w:tc>
        <w:tc>
          <w:tcPr>
            <w:tcW w:w="5820" w:type="dxa"/>
            <w:tcBorders/>
            <w:shd w:fill="B2B2B2" w:val="clear"/>
            <w:tcMar>
              <w:bottom w:w="0" w:type="dxa"/>
            </w:tcMar>
            <w:vAlign w:val="center"/>
          </w:tcPr>
          <w:p>
            <w:pPr>
              <w:pStyle w:val="TableContents"/>
              <w:bidi w:val="0"/>
              <w:spacing w:before="0" w:after="0"/>
              <w:jc w:val="center"/>
              <w:rPr>
                <w:spacing w:val="-2"/>
              </w:rPr>
            </w:pPr>
            <w:r>
              <w:rPr>
                <w:spacing w:val="-2"/>
              </w:rPr>
              <w:t xml:space="preserve">Adjusted EBITDA </w:t>
            </w:r>
          </w:p>
        </w:tc>
        <w:tc>
          <w:tcPr>
            <w:tcW w:w="154" w:type="dxa"/>
            <w:tcBorders/>
            <w:shd w:fill="B2B2B2"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820" w:type="dxa"/>
            <w:tcBorders/>
            <w:tcMar>
              <w:bottom w:w="0" w:type="dxa"/>
            </w:tcMar>
            <w:vAlign w:val="center"/>
          </w:tcPr>
          <w:p>
            <w:pPr>
              <w:pStyle w:val="TableContents"/>
              <w:bidi w:val="0"/>
              <w:spacing w:before="0" w:after="0"/>
              <w:jc w:val="center"/>
              <w:rPr>
                <w:spacing w:val="-2"/>
              </w:rPr>
            </w:pPr>
            <w:r>
              <w:rPr>
                <w:spacing w:val="-2"/>
              </w:rPr>
              <w:t xml:space="preserve">Primary Working Capital (“PWC”) as a Percent of Net Sales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B2B2B2" w:val="clear"/>
            <w:tcMar>
              <w:bottom w:w="0" w:type="dxa"/>
            </w:tcMar>
            <w:vAlign w:val="center"/>
          </w:tcPr>
          <w:p>
            <w:pPr>
              <w:pStyle w:val="TableContents"/>
              <w:bidi w:val="0"/>
              <w:spacing w:before="0" w:after="283"/>
              <w:jc w:val="left"/>
              <w:rPr/>
            </w:pPr>
            <w:r>
              <w:rPr/>
              <w:t>​</w:t>
            </w:r>
          </w:p>
        </w:tc>
        <w:tc>
          <w:tcPr>
            <w:tcW w:w="5820" w:type="dxa"/>
            <w:tcBorders/>
            <w:shd w:fill="B2B2B2" w:val="clear"/>
            <w:tcMar>
              <w:bottom w:w="0" w:type="dxa"/>
            </w:tcMar>
            <w:vAlign w:val="center"/>
          </w:tcPr>
          <w:p>
            <w:pPr>
              <w:pStyle w:val="TableContents"/>
              <w:bidi w:val="0"/>
              <w:spacing w:before="0" w:after="0"/>
              <w:jc w:val="center"/>
              <w:rPr>
                <w:spacing w:val="-2"/>
              </w:rPr>
            </w:pPr>
            <w:r>
              <w:rPr>
                <w:spacing w:val="-2"/>
              </w:rPr>
              <w:t xml:space="preserve">Annual Revenue Growth Rate (“CAGR”) </w:t>
            </w:r>
          </w:p>
        </w:tc>
        <w:tc>
          <w:tcPr>
            <w:tcW w:w="154" w:type="dxa"/>
            <w:tcBorders/>
            <w:shd w:fill="B2B2B2"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820" w:type="dxa"/>
            <w:tcBorders/>
            <w:tcMar>
              <w:bottom w:w="0" w:type="dxa"/>
            </w:tcMar>
            <w:vAlign w:val="center"/>
          </w:tcPr>
          <w:p>
            <w:pPr>
              <w:pStyle w:val="TableContents"/>
              <w:bidi w:val="0"/>
              <w:spacing w:before="0" w:after="0"/>
              <w:jc w:val="center"/>
              <w:rPr>
                <w:spacing w:val="-2"/>
              </w:rPr>
            </w:pPr>
            <w:r>
              <w:rPr>
                <w:spacing w:val="-2"/>
              </w:rPr>
              <w:t xml:space="preserve">Adjusted EBITDA Margin Percentage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B2B2B2" w:val="clear"/>
            <w:tcMar>
              <w:bottom w:w="0" w:type="dxa"/>
            </w:tcMar>
            <w:vAlign w:val="center"/>
          </w:tcPr>
          <w:p>
            <w:pPr>
              <w:pStyle w:val="TableContents"/>
              <w:bidi w:val="0"/>
              <w:spacing w:before="0" w:after="283"/>
              <w:jc w:val="left"/>
              <w:rPr/>
            </w:pPr>
            <w:r>
              <w:rPr/>
              <w:t>​</w:t>
            </w:r>
          </w:p>
        </w:tc>
        <w:tc>
          <w:tcPr>
            <w:tcW w:w="5820" w:type="dxa"/>
            <w:tcBorders/>
            <w:shd w:fill="B2B2B2" w:val="clear"/>
            <w:tcMar>
              <w:bottom w:w="0" w:type="dxa"/>
            </w:tcMar>
            <w:vAlign w:val="center"/>
          </w:tcPr>
          <w:p>
            <w:pPr>
              <w:pStyle w:val="TableContents"/>
              <w:bidi w:val="0"/>
              <w:spacing w:before="0" w:after="0"/>
              <w:jc w:val="center"/>
              <w:rPr/>
            </w:pPr>
            <w:r>
              <w:rPr>
                <w:spacing w:val="-2"/>
              </w:rPr>
              <w:t>Free Cash Flow (“FCF”)</w:t>
            </w:r>
            <w:r>
              <w:rPr/>
              <w:t xml:space="preserve"> </w:t>
            </w:r>
          </w:p>
        </w:tc>
        <w:tc>
          <w:tcPr>
            <w:tcW w:w="154" w:type="dxa"/>
            <w:tcBorders/>
            <w:shd w:fill="B2B2B2" w:val="clear"/>
            <w:tcMar>
              <w:bottom w:w="0" w:type="dxa"/>
            </w:tcMar>
            <w:vAlign w:val="center"/>
          </w:tcPr>
          <w:p>
            <w:pPr>
              <w:pStyle w:val="TableContents"/>
              <w:bidi w:val="0"/>
              <w:spacing w:before="0" w:after="283"/>
              <w:jc w:val="left"/>
              <w:rPr/>
            </w:pPr>
            <w:r>
              <w:rPr/>
              <w:t>​</w:t>
            </w:r>
          </w:p>
        </w:tc>
      </w:tr>
    </w:tbl>
    <w:p>
      <w:pPr>
        <w:pStyle w:val="TextBody"/>
        <w:bidi w:val="0"/>
        <w:spacing w:lineRule="atLeast" w:line="250" w:before="240" w:after="283"/>
        <w:ind w:left="1140" w:right="0" w:hanging="0"/>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The Compensation Discussion and Analysis provides a further description of how these metrics </w:t>
      </w:r>
    </w:p>
    <w:p>
      <w:pPr>
        <w:pStyle w:val="TextBody"/>
        <w:bidi w:val="0"/>
        <w:spacing w:lineRule="atLeast" w:line="220" w:before="38"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are defined and used in the Company’s executive compensation program.</w:t>
      </w:r>
      <w:r>
        <w:rPr>
          <w:rFonts w:ascii="Arial;Helvetica;sans-serif" w:hAnsi="Arial;Helvetica;sans-serif"/>
          <w:b w:val="false"/>
          <w:i w:val="false"/>
          <w:caps w:val="false"/>
          <w:smallCaps w:val="false"/>
          <w:color w:val="000000"/>
          <w:sz w:val="22"/>
        </w:rPr>
        <w:t xml:space="preserve"> </w:t>
      </w:r>
    </w:p>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325"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107" descr=""/>
                          <pic:cNvPicPr>
                            <a:picLocks noChangeAspect="1" noChangeArrowheads="1"/>
                          </pic:cNvPicPr>
                        </pic:nvPicPr>
                        <pic:blipFill>
                          <a:blip r:embed="rId119"/>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56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2DC"/>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rFonts w:ascii="Arial;Helvetica;sans-serif" w:hAnsi="Arial;Helvetica;sans-serif"/>
          <w:b w:val="false"/>
          <w:i w:val="false"/>
          <w:caps w:val="false"/>
          <w:smallCaps w:val="false"/>
          <w:color w:val="FF6A00"/>
          <w:sz w:val="22"/>
        </w:rPr>
      </w:pPr>
      <w:r>
        <w:rPr>
          <w:rFonts w:ascii="Arial;Helvetica;sans-serif" w:hAnsi="Arial;Helvetica;sans-serif"/>
          <w:b w:val="false"/>
          <w:i w:val="false"/>
          <w:caps w:val="false"/>
          <w:smallCaps w:val="false"/>
          <w:color w:val="FF6A00"/>
          <w:spacing w:val="-2"/>
          <w:sz w:val="22"/>
        </w:rPr>
        <w:t xml:space="preserve">2025 </w:t>
      </w:r>
      <w:r>
        <w:rPr>
          <w:rFonts w:ascii="Arial;Helvetica;sans-serif" w:hAnsi="Arial;Helvetica;sans-serif"/>
          <w:b w:val="false"/>
          <w:i w:val="false"/>
          <w:caps/>
          <w:color w:val="FF6A00"/>
          <w:spacing w:val="-2"/>
          <w:sz w:val="22"/>
        </w:rPr>
        <w:t>Director Compensation</w:t>
      </w:r>
      <w:r>
        <w:rPr>
          <w:rFonts w:ascii="Arial;Helvetica;sans-serif" w:hAnsi="Arial;Helvetica;sans-serif"/>
          <w:b w:val="false"/>
          <w:i w:val="false"/>
          <w:caps w:val="false"/>
          <w:smallCaps w:val="false"/>
          <w:color w:val="FF6A00"/>
          <w:sz w:val="22"/>
        </w:rPr>
        <w:t xml:space="preserve"> </w:t>
      </w:r>
    </w:p>
    <w:p>
      <w:pPr>
        <w:pStyle w:val="TextBody"/>
        <w:bidi w:val="0"/>
        <w:spacing w:lineRule="atLeast" w:line="520" w:before="480" w:after="283"/>
        <w:ind w:left="1140" w:right="0" w:hanging="0"/>
        <w:jc w:val="left"/>
        <w:rPr>
          <w:rFonts w:ascii="Arial;Helvetica;sans-serif" w:hAnsi="Arial;Helvetica;sans-serif"/>
          <w:b w:val="false"/>
          <w:i w:val="false"/>
          <w:caps w:val="false"/>
          <w:smallCaps w:val="false"/>
          <w:color w:val="000000"/>
          <w:sz w:val="48"/>
        </w:rPr>
      </w:pPr>
      <w:r>
        <w:rPr>
          <w:rFonts w:ascii="Arial;Helvetica;sans-serif" w:hAnsi="Arial;Helvetica;sans-serif"/>
          <w:b w:val="false"/>
          <w:i w:val="false"/>
          <w:caps w:val="false"/>
          <w:smallCaps w:val="false"/>
          <w:color w:val="000000"/>
          <w:spacing w:val="-5"/>
          <w:sz w:val="48"/>
        </w:rPr>
        <w:t>2025 Director Compensation</w:t>
      </w:r>
      <w:r>
        <w:rPr>
          <w:rFonts w:ascii="Arial;Helvetica;sans-serif" w:hAnsi="Arial;Helvetica;sans-serif"/>
          <w:b w:val="false"/>
          <w:i w:val="false"/>
          <w:caps w:val="false"/>
          <w:smallCaps w:val="false"/>
          <w:color w:val="000000"/>
          <w:spacing w:val="10"/>
          <w:sz w:val="48"/>
        </w:rPr>
        <w:t xml:space="preserve"> </w:t>
      </w:r>
    </w:p>
    <w:p>
      <w:pPr>
        <w:pStyle w:val="TextBody"/>
        <w:bidi w:val="0"/>
        <w:spacing w:lineRule="atLeast" w:line="24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Non-employee directors are paid in accordance with the Company’s Non-Employee Director Compensation Policy, as amended. The following table shows the 2025 compensation information for our Board of Directors.</w:t>
      </w:r>
      <w:r>
        <w:rPr>
          <w:rFonts w:ascii="Arial;Helvetica;sans-serif" w:hAnsi="Arial;Helvetica;sans-serif"/>
          <w:b w:val="false"/>
          <w:i w:val="false"/>
          <w:caps w:val="false"/>
          <w:smallCaps w:val="false"/>
          <w:color w:val="000000"/>
          <w:spacing w:val="4"/>
          <w:sz w:val="22"/>
        </w:rPr>
        <w:t xml:space="preserve"> </w:t>
      </w:r>
    </w:p>
    <w:tbl>
      <w:tblPr>
        <w:tblW w:w="6853" w:type="dxa"/>
        <w:jc w:val="left"/>
        <w:tblInd w:w="1140" w:type="dxa"/>
        <w:tblLayout w:type="fixed"/>
        <w:tblCellMar>
          <w:top w:w="0" w:type="dxa"/>
          <w:left w:w="0" w:type="dxa"/>
          <w:bottom w:w="0" w:type="dxa"/>
          <w:right w:w="0" w:type="dxa"/>
        </w:tblCellMar>
      </w:tblPr>
      <w:tblGrid>
        <w:gridCol w:w="124"/>
        <w:gridCol w:w="2015"/>
        <w:gridCol w:w="109"/>
        <w:gridCol w:w="109"/>
        <w:gridCol w:w="114"/>
        <w:gridCol w:w="114"/>
        <w:gridCol w:w="931"/>
        <w:gridCol w:w="114"/>
        <w:gridCol w:w="109"/>
        <w:gridCol w:w="109"/>
        <w:gridCol w:w="127"/>
        <w:gridCol w:w="127"/>
        <w:gridCol w:w="1039"/>
        <w:gridCol w:w="127"/>
        <w:gridCol w:w="109"/>
        <w:gridCol w:w="109"/>
        <w:gridCol w:w="109"/>
        <w:gridCol w:w="109"/>
        <w:gridCol w:w="886"/>
        <w:gridCol w:w="109"/>
        <w:gridCol w:w="154"/>
      </w:tblGrid>
      <w:tr>
        <w:trPr/>
        <w:tc>
          <w:tcPr>
            <w:tcW w:w="124" w:type="dxa"/>
            <w:tcBorders/>
            <w:shd w:fill="FF6A00" w:val="clear"/>
            <w:vAlign w:val="center"/>
          </w:tcPr>
          <w:p>
            <w:pPr>
              <w:pStyle w:val="TableContents"/>
              <w:bidi w:val="0"/>
              <w:spacing w:before="0" w:after="283"/>
              <w:jc w:val="left"/>
              <w:rPr/>
            </w:pPr>
            <w:r>
              <w:rPr/>
              <w:t>​</w:t>
            </w:r>
          </w:p>
        </w:tc>
        <w:tc>
          <w:tcPr>
            <w:tcW w:w="2015" w:type="dxa"/>
            <w:tcBorders/>
            <w:shd w:fill="FF6A00" w:val="clear"/>
            <w:vAlign w:val="center"/>
          </w:tcPr>
          <w:p>
            <w:pPr>
              <w:pStyle w:val="TableContents"/>
              <w:bidi w:val="0"/>
              <w:spacing w:before="0" w:after="0"/>
              <w:jc w:val="left"/>
              <w:rPr>
                <w:spacing w:val="-2"/>
              </w:rPr>
            </w:pPr>
            <w:r>
              <w:rPr>
                <w:spacing w:val="-2"/>
              </w:rPr>
              <w:t xml:space="preserve">Name </w:t>
            </w:r>
          </w:p>
        </w:tc>
        <w:tc>
          <w:tcPr>
            <w:tcW w:w="109"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273" w:type="dxa"/>
            <w:gridSpan w:val="4"/>
            <w:tcBorders/>
            <w:shd w:fill="FF6A00" w:val="clear"/>
            <w:vAlign w:val="center"/>
          </w:tcPr>
          <w:p>
            <w:pPr>
              <w:pStyle w:val="TableContents"/>
              <w:bidi w:val="0"/>
              <w:spacing w:before="0" w:after="0"/>
              <w:jc w:val="center"/>
              <w:rPr>
                <w:spacing w:val="-2"/>
              </w:rPr>
            </w:pPr>
            <w:r>
              <w:rPr>
                <w:spacing w:val="-2"/>
              </w:rPr>
              <w:t xml:space="preserve">Fees earned </w:t>
              <w:br/>
              <w:t xml:space="preserve">($) </w:t>
            </w:r>
          </w:p>
        </w:tc>
        <w:tc>
          <w:tcPr>
            <w:tcW w:w="109"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420" w:type="dxa"/>
            <w:gridSpan w:val="4"/>
            <w:tcBorders/>
            <w:shd w:fill="FF6A00" w:val="clear"/>
            <w:vAlign w:val="center"/>
          </w:tcPr>
          <w:p>
            <w:pPr>
              <w:pStyle w:val="TableContents"/>
              <w:bidi w:val="0"/>
              <w:spacing w:lineRule="atLeast" w:line="142" w:before="0" w:after="0"/>
              <w:jc w:val="center"/>
              <w:rPr/>
            </w:pPr>
            <w:r>
              <w:rPr>
                <w:spacing w:val="-2"/>
              </w:rPr>
              <w:t xml:space="preserve">Stock awards </w:t>
              <w:br/>
              <w:t>($)</w:t>
            </w:r>
            <w:r>
              <w:rPr>
                <w:spacing w:val="-2"/>
                <w:sz w:val="13"/>
              </w:rPr>
              <w:t>(1)(2)</w:t>
            </w:r>
            <w:r>
              <w:rPr/>
              <w:t xml:space="preserve"> </w:t>
            </w:r>
          </w:p>
        </w:tc>
        <w:tc>
          <w:tcPr>
            <w:tcW w:w="109"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213" w:type="dxa"/>
            <w:gridSpan w:val="4"/>
            <w:tcBorders/>
            <w:shd w:fill="FF6A00" w:val="clear"/>
            <w:vAlign w:val="center"/>
          </w:tcPr>
          <w:p>
            <w:pPr>
              <w:pStyle w:val="TableContents"/>
              <w:bidi w:val="0"/>
              <w:spacing w:before="0" w:after="0"/>
              <w:jc w:val="center"/>
              <w:rPr>
                <w:spacing w:val="-2"/>
              </w:rPr>
            </w:pPr>
            <w:r>
              <w:rPr>
                <w:spacing w:val="-2"/>
              </w:rPr>
              <w:t xml:space="preserve">Total </w:t>
              <w:br/>
              <w:t xml:space="preserve">($) </w:t>
            </w:r>
          </w:p>
        </w:tc>
        <w:tc>
          <w:tcPr>
            <w:tcW w:w="154" w:type="dxa"/>
            <w:tcBorders/>
            <w:shd w:fill="FF6A00"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015" w:type="dxa"/>
            <w:tcBorders/>
            <w:vAlign w:val="center"/>
          </w:tcPr>
          <w:p>
            <w:pPr>
              <w:pStyle w:val="TableContents"/>
              <w:bidi w:val="0"/>
              <w:spacing w:before="0" w:after="283"/>
              <w:jc w:val="left"/>
              <w:rPr>
                <w:spacing w:val="-2"/>
              </w:rPr>
            </w:pPr>
            <w:r>
              <w:rPr>
                <w:spacing w:val="-2"/>
              </w:rPr>
              <w:t xml:space="preserve">Marcia Avedon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 w:type="dxa"/>
            <w:tcBorders/>
            <w:vAlign w:val="center"/>
          </w:tcPr>
          <w:p>
            <w:pPr>
              <w:pStyle w:val="TableContents"/>
              <w:bidi w:val="0"/>
              <w:spacing w:before="0" w:after="283"/>
              <w:jc w:val="left"/>
              <w:rPr/>
            </w:pPr>
            <w:r>
              <w:rPr/>
              <w:t>​</w:t>
            </w:r>
          </w:p>
        </w:tc>
        <w:tc>
          <w:tcPr>
            <w:tcW w:w="114" w:type="dxa"/>
            <w:tcBorders/>
            <w:vAlign w:val="center"/>
          </w:tcPr>
          <w:p>
            <w:pPr>
              <w:pStyle w:val="TableContents"/>
              <w:bidi w:val="0"/>
              <w:spacing w:before="0" w:after="283"/>
              <w:jc w:val="right"/>
              <w:rPr/>
            </w:pPr>
            <w:r>
              <w:rPr/>
              <w:t>​</w:t>
            </w:r>
          </w:p>
        </w:tc>
        <w:tc>
          <w:tcPr>
            <w:tcW w:w="931" w:type="dxa"/>
            <w:tcBorders/>
            <w:vAlign w:val="center"/>
          </w:tcPr>
          <w:p>
            <w:pPr>
              <w:pStyle w:val="TableContents"/>
              <w:bidi w:val="0"/>
              <w:spacing w:before="0" w:after="283"/>
              <w:jc w:val="right"/>
              <w:rPr/>
            </w:pPr>
            <w:r>
              <w:rPr/>
              <w:t>110,000</w:t>
            </w:r>
          </w:p>
        </w:tc>
        <w:tc>
          <w:tcPr>
            <w:tcW w:w="11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 w:type="dxa"/>
            <w:tcBorders/>
            <w:vAlign w:val="center"/>
          </w:tcPr>
          <w:p>
            <w:pPr>
              <w:pStyle w:val="TableContents"/>
              <w:bidi w:val="0"/>
              <w:spacing w:before="0" w:after="283"/>
              <w:jc w:val="left"/>
              <w:rPr/>
            </w:pPr>
            <w:r>
              <w:rPr/>
              <w:t>​</w:t>
            </w:r>
          </w:p>
        </w:tc>
        <w:tc>
          <w:tcPr>
            <w:tcW w:w="127" w:type="dxa"/>
            <w:tcBorders/>
            <w:vAlign w:val="center"/>
          </w:tcPr>
          <w:p>
            <w:pPr>
              <w:pStyle w:val="TableContents"/>
              <w:bidi w:val="0"/>
              <w:spacing w:before="0" w:after="283"/>
              <w:jc w:val="right"/>
              <w:rPr/>
            </w:pPr>
            <w:r>
              <w:rPr/>
              <w:t>​</w:t>
            </w:r>
          </w:p>
        </w:tc>
        <w:tc>
          <w:tcPr>
            <w:tcW w:w="1039" w:type="dxa"/>
            <w:tcBorders/>
            <w:vAlign w:val="center"/>
          </w:tcPr>
          <w:p>
            <w:pPr>
              <w:pStyle w:val="TableContents"/>
              <w:bidi w:val="0"/>
              <w:spacing w:before="0" w:after="283"/>
              <w:jc w:val="right"/>
              <w:rPr/>
            </w:pPr>
            <w:r>
              <w:rPr/>
              <w:t>155,107</w:t>
            </w:r>
          </w:p>
        </w:tc>
        <w:tc>
          <w:tcPr>
            <w:tcW w:w="1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265,107</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B2B2B2" w:val="clear"/>
            <w:vAlign w:val="center"/>
          </w:tcPr>
          <w:p>
            <w:pPr>
              <w:pStyle w:val="TableContents"/>
              <w:bidi w:val="0"/>
              <w:spacing w:before="0" w:after="283"/>
              <w:jc w:val="left"/>
              <w:rPr/>
            </w:pPr>
            <w:r>
              <w:rPr/>
              <w:t>​</w:t>
            </w:r>
          </w:p>
        </w:tc>
        <w:tc>
          <w:tcPr>
            <w:tcW w:w="2015" w:type="dxa"/>
            <w:tcBorders/>
            <w:shd w:fill="B2B2B2" w:val="clear"/>
            <w:vAlign w:val="center"/>
          </w:tcPr>
          <w:p>
            <w:pPr>
              <w:pStyle w:val="TableContents"/>
              <w:bidi w:val="0"/>
              <w:spacing w:before="0" w:after="283"/>
              <w:jc w:val="left"/>
              <w:rPr>
                <w:spacing w:val="-2"/>
              </w:rPr>
            </w:pPr>
            <w:r>
              <w:rPr>
                <w:spacing w:val="-2"/>
              </w:rPr>
              <w:t xml:space="preserve">Kathryn Bohl </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14" w:type="dxa"/>
            <w:tcBorders/>
            <w:shd w:fill="B2B2B2" w:val="clear"/>
            <w:vAlign w:val="center"/>
          </w:tcPr>
          <w:p>
            <w:pPr>
              <w:pStyle w:val="TableContents"/>
              <w:bidi w:val="0"/>
              <w:spacing w:before="0" w:after="283"/>
              <w:jc w:val="left"/>
              <w:rPr/>
            </w:pPr>
            <w:r>
              <w:rPr/>
              <w:t>​</w:t>
            </w:r>
          </w:p>
        </w:tc>
        <w:tc>
          <w:tcPr>
            <w:tcW w:w="114" w:type="dxa"/>
            <w:tcBorders/>
            <w:shd w:fill="B2B2B2" w:val="clear"/>
            <w:vAlign w:val="center"/>
          </w:tcPr>
          <w:p>
            <w:pPr>
              <w:pStyle w:val="TableContents"/>
              <w:bidi w:val="0"/>
              <w:spacing w:before="0" w:after="283"/>
              <w:jc w:val="right"/>
              <w:rPr/>
            </w:pPr>
            <w:r>
              <w:rPr/>
              <w:t>​</w:t>
            </w:r>
          </w:p>
        </w:tc>
        <w:tc>
          <w:tcPr>
            <w:tcW w:w="931" w:type="dxa"/>
            <w:tcBorders/>
            <w:shd w:fill="B2B2B2" w:val="clear"/>
            <w:vAlign w:val="center"/>
          </w:tcPr>
          <w:p>
            <w:pPr>
              <w:pStyle w:val="TableContents"/>
              <w:bidi w:val="0"/>
              <w:spacing w:before="0" w:after="283"/>
              <w:jc w:val="right"/>
              <w:rPr/>
            </w:pPr>
            <w:r>
              <w:rPr/>
              <w:t>90,000</w:t>
            </w:r>
          </w:p>
        </w:tc>
        <w:tc>
          <w:tcPr>
            <w:tcW w:w="114"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27" w:type="dxa"/>
            <w:tcBorders/>
            <w:shd w:fill="B2B2B2" w:val="clear"/>
            <w:vAlign w:val="center"/>
          </w:tcPr>
          <w:p>
            <w:pPr>
              <w:pStyle w:val="TableContents"/>
              <w:bidi w:val="0"/>
              <w:spacing w:before="0" w:after="283"/>
              <w:jc w:val="left"/>
              <w:rPr/>
            </w:pPr>
            <w:r>
              <w:rPr/>
              <w:t>​</w:t>
            </w:r>
          </w:p>
        </w:tc>
        <w:tc>
          <w:tcPr>
            <w:tcW w:w="127" w:type="dxa"/>
            <w:tcBorders/>
            <w:shd w:fill="B2B2B2" w:val="clear"/>
            <w:vAlign w:val="center"/>
          </w:tcPr>
          <w:p>
            <w:pPr>
              <w:pStyle w:val="TableContents"/>
              <w:bidi w:val="0"/>
              <w:spacing w:before="0" w:after="283"/>
              <w:jc w:val="right"/>
              <w:rPr/>
            </w:pPr>
            <w:r>
              <w:rPr/>
              <w:t>​</w:t>
            </w:r>
          </w:p>
        </w:tc>
        <w:tc>
          <w:tcPr>
            <w:tcW w:w="1039" w:type="dxa"/>
            <w:tcBorders/>
            <w:shd w:fill="B2B2B2" w:val="clear"/>
            <w:vAlign w:val="center"/>
          </w:tcPr>
          <w:p>
            <w:pPr>
              <w:pStyle w:val="TableContents"/>
              <w:bidi w:val="0"/>
              <w:spacing w:before="0" w:after="283"/>
              <w:jc w:val="right"/>
              <w:rPr/>
            </w:pPr>
            <w:r>
              <w:rPr/>
              <w:t>155,107</w:t>
            </w:r>
          </w:p>
        </w:tc>
        <w:tc>
          <w:tcPr>
            <w:tcW w:w="127"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right"/>
              <w:rPr/>
            </w:pPr>
            <w:r>
              <w:rPr/>
              <w:t>​</w:t>
            </w:r>
          </w:p>
        </w:tc>
        <w:tc>
          <w:tcPr>
            <w:tcW w:w="886" w:type="dxa"/>
            <w:tcBorders/>
            <w:shd w:fill="B2B2B2" w:val="clear"/>
            <w:vAlign w:val="center"/>
          </w:tcPr>
          <w:p>
            <w:pPr>
              <w:pStyle w:val="TableContents"/>
              <w:bidi w:val="0"/>
              <w:spacing w:before="0" w:after="283"/>
              <w:jc w:val="right"/>
              <w:rPr/>
            </w:pPr>
            <w:r>
              <w:rPr/>
              <w:t>245,107</w:t>
            </w:r>
          </w:p>
        </w:tc>
        <w:tc>
          <w:tcPr>
            <w:tcW w:w="109" w:type="dxa"/>
            <w:tcBorders/>
            <w:shd w:fill="B2B2B2" w:val="clear"/>
            <w:vAlign w:val="center"/>
          </w:tcPr>
          <w:p>
            <w:pPr>
              <w:pStyle w:val="TableContents"/>
              <w:bidi w:val="0"/>
              <w:spacing w:before="0" w:after="283"/>
              <w:jc w:val="left"/>
              <w:rPr/>
            </w:pPr>
            <w:r>
              <w:rPr/>
              <w:t>​</w:t>
            </w:r>
          </w:p>
        </w:tc>
        <w:tc>
          <w:tcPr>
            <w:tcW w:w="154" w:type="dxa"/>
            <w:tcBorders/>
            <w:shd w:fill="B2B2B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015" w:type="dxa"/>
            <w:tcBorders/>
            <w:vAlign w:val="center"/>
          </w:tcPr>
          <w:p>
            <w:pPr>
              <w:pStyle w:val="TableContents"/>
              <w:bidi w:val="0"/>
              <w:spacing w:before="0" w:after="283"/>
              <w:jc w:val="left"/>
              <w:rPr/>
            </w:pPr>
            <w:r>
              <w:rPr>
                <w:spacing w:val="-2"/>
              </w:rPr>
              <w:t>John D. Bowlin</w:t>
            </w:r>
            <w:r>
              <w:rPr>
                <w:spacing w:val="-2"/>
                <w:sz w:val="13"/>
              </w:rPr>
              <w:t>(3)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 w:type="dxa"/>
            <w:tcBorders/>
            <w:vAlign w:val="center"/>
          </w:tcPr>
          <w:p>
            <w:pPr>
              <w:pStyle w:val="TableContents"/>
              <w:bidi w:val="0"/>
              <w:spacing w:before="0" w:after="283"/>
              <w:jc w:val="left"/>
              <w:rPr/>
            </w:pPr>
            <w:r>
              <w:rPr/>
              <w:t>​</w:t>
            </w:r>
          </w:p>
        </w:tc>
        <w:tc>
          <w:tcPr>
            <w:tcW w:w="114" w:type="dxa"/>
            <w:tcBorders/>
            <w:vAlign w:val="center"/>
          </w:tcPr>
          <w:p>
            <w:pPr>
              <w:pStyle w:val="TableContents"/>
              <w:bidi w:val="0"/>
              <w:spacing w:before="0" w:after="283"/>
              <w:jc w:val="right"/>
              <w:rPr/>
            </w:pPr>
            <w:r>
              <w:rPr/>
              <w:t>​</w:t>
            </w:r>
          </w:p>
        </w:tc>
        <w:tc>
          <w:tcPr>
            <w:tcW w:w="931" w:type="dxa"/>
            <w:tcBorders/>
            <w:vAlign w:val="center"/>
          </w:tcPr>
          <w:p>
            <w:pPr>
              <w:pStyle w:val="TableContents"/>
              <w:bidi w:val="0"/>
              <w:spacing w:before="0" w:after="283"/>
              <w:jc w:val="right"/>
              <w:rPr/>
            </w:pPr>
            <w:r>
              <w:rPr/>
              <w:t>—</w:t>
            </w:r>
          </w:p>
        </w:tc>
        <w:tc>
          <w:tcPr>
            <w:tcW w:w="11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 w:type="dxa"/>
            <w:tcBorders/>
            <w:vAlign w:val="center"/>
          </w:tcPr>
          <w:p>
            <w:pPr>
              <w:pStyle w:val="TableContents"/>
              <w:bidi w:val="0"/>
              <w:spacing w:before="0" w:after="283"/>
              <w:jc w:val="left"/>
              <w:rPr/>
            </w:pPr>
            <w:r>
              <w:rPr/>
              <w:t>​</w:t>
            </w:r>
          </w:p>
        </w:tc>
        <w:tc>
          <w:tcPr>
            <w:tcW w:w="127" w:type="dxa"/>
            <w:tcBorders/>
            <w:vAlign w:val="center"/>
          </w:tcPr>
          <w:p>
            <w:pPr>
              <w:pStyle w:val="TableContents"/>
              <w:bidi w:val="0"/>
              <w:spacing w:before="0" w:after="283"/>
              <w:jc w:val="right"/>
              <w:rPr/>
            </w:pPr>
            <w:r>
              <w:rPr/>
              <w:t>​</w:t>
            </w:r>
          </w:p>
        </w:tc>
        <w:tc>
          <w:tcPr>
            <w:tcW w:w="1039" w:type="dxa"/>
            <w:tcBorders/>
            <w:vAlign w:val="center"/>
          </w:tcPr>
          <w:p>
            <w:pPr>
              <w:pStyle w:val="TableContents"/>
              <w:bidi w:val="0"/>
              <w:spacing w:before="0" w:after="283"/>
              <w:jc w:val="right"/>
              <w:rPr/>
            </w:pPr>
            <w:r>
              <w:rPr/>
              <w:t>136,908</w:t>
            </w:r>
          </w:p>
        </w:tc>
        <w:tc>
          <w:tcPr>
            <w:tcW w:w="1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136,908</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B2B2B2" w:val="clear"/>
            <w:vAlign w:val="center"/>
          </w:tcPr>
          <w:p>
            <w:pPr>
              <w:pStyle w:val="TableContents"/>
              <w:bidi w:val="0"/>
              <w:spacing w:before="0" w:after="283"/>
              <w:jc w:val="left"/>
              <w:rPr/>
            </w:pPr>
            <w:r>
              <w:rPr/>
              <w:t>​</w:t>
            </w:r>
          </w:p>
        </w:tc>
        <w:tc>
          <w:tcPr>
            <w:tcW w:w="2015" w:type="dxa"/>
            <w:tcBorders/>
            <w:shd w:fill="B2B2B2" w:val="clear"/>
            <w:vAlign w:val="center"/>
          </w:tcPr>
          <w:p>
            <w:pPr>
              <w:pStyle w:val="TableContents"/>
              <w:bidi w:val="0"/>
              <w:spacing w:before="0" w:after="283"/>
              <w:jc w:val="left"/>
              <w:rPr>
                <w:spacing w:val="-2"/>
              </w:rPr>
            </w:pPr>
            <w:r>
              <w:rPr>
                <w:spacing w:val="-2"/>
              </w:rPr>
              <w:t xml:space="preserve">Robert Dixon </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14" w:type="dxa"/>
            <w:tcBorders/>
            <w:shd w:fill="B2B2B2" w:val="clear"/>
            <w:vAlign w:val="center"/>
          </w:tcPr>
          <w:p>
            <w:pPr>
              <w:pStyle w:val="TableContents"/>
              <w:bidi w:val="0"/>
              <w:spacing w:before="0" w:after="283"/>
              <w:jc w:val="left"/>
              <w:rPr/>
            </w:pPr>
            <w:r>
              <w:rPr/>
              <w:t>​</w:t>
            </w:r>
          </w:p>
        </w:tc>
        <w:tc>
          <w:tcPr>
            <w:tcW w:w="114" w:type="dxa"/>
            <w:tcBorders/>
            <w:shd w:fill="B2B2B2" w:val="clear"/>
            <w:vAlign w:val="center"/>
          </w:tcPr>
          <w:p>
            <w:pPr>
              <w:pStyle w:val="TableContents"/>
              <w:bidi w:val="0"/>
              <w:spacing w:before="0" w:after="283"/>
              <w:jc w:val="right"/>
              <w:rPr/>
            </w:pPr>
            <w:r>
              <w:rPr/>
              <w:t>​</w:t>
            </w:r>
          </w:p>
        </w:tc>
        <w:tc>
          <w:tcPr>
            <w:tcW w:w="931" w:type="dxa"/>
            <w:tcBorders/>
            <w:shd w:fill="B2B2B2" w:val="clear"/>
            <w:vAlign w:val="center"/>
          </w:tcPr>
          <w:p>
            <w:pPr>
              <w:pStyle w:val="TableContents"/>
              <w:bidi w:val="0"/>
              <w:spacing w:before="0" w:after="283"/>
              <w:jc w:val="right"/>
              <w:rPr/>
            </w:pPr>
            <w:r>
              <w:rPr/>
              <w:t>105,000</w:t>
            </w:r>
          </w:p>
        </w:tc>
        <w:tc>
          <w:tcPr>
            <w:tcW w:w="114"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27" w:type="dxa"/>
            <w:tcBorders/>
            <w:shd w:fill="B2B2B2" w:val="clear"/>
            <w:vAlign w:val="center"/>
          </w:tcPr>
          <w:p>
            <w:pPr>
              <w:pStyle w:val="TableContents"/>
              <w:bidi w:val="0"/>
              <w:spacing w:before="0" w:after="283"/>
              <w:jc w:val="left"/>
              <w:rPr/>
            </w:pPr>
            <w:r>
              <w:rPr/>
              <w:t>​</w:t>
            </w:r>
          </w:p>
        </w:tc>
        <w:tc>
          <w:tcPr>
            <w:tcW w:w="127" w:type="dxa"/>
            <w:tcBorders/>
            <w:shd w:fill="B2B2B2" w:val="clear"/>
            <w:vAlign w:val="center"/>
          </w:tcPr>
          <w:p>
            <w:pPr>
              <w:pStyle w:val="TableContents"/>
              <w:bidi w:val="0"/>
              <w:spacing w:before="0" w:after="283"/>
              <w:jc w:val="right"/>
              <w:rPr/>
            </w:pPr>
            <w:r>
              <w:rPr/>
              <w:t>​</w:t>
            </w:r>
          </w:p>
        </w:tc>
        <w:tc>
          <w:tcPr>
            <w:tcW w:w="1039" w:type="dxa"/>
            <w:tcBorders/>
            <w:shd w:fill="B2B2B2" w:val="clear"/>
            <w:vAlign w:val="center"/>
          </w:tcPr>
          <w:p>
            <w:pPr>
              <w:pStyle w:val="TableContents"/>
              <w:bidi w:val="0"/>
              <w:spacing w:before="0" w:after="283"/>
              <w:jc w:val="right"/>
              <w:rPr/>
            </w:pPr>
            <w:r>
              <w:rPr/>
              <w:t>155,107</w:t>
            </w:r>
          </w:p>
        </w:tc>
        <w:tc>
          <w:tcPr>
            <w:tcW w:w="127"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right"/>
              <w:rPr/>
            </w:pPr>
            <w:r>
              <w:rPr/>
              <w:t>​</w:t>
            </w:r>
          </w:p>
        </w:tc>
        <w:tc>
          <w:tcPr>
            <w:tcW w:w="886" w:type="dxa"/>
            <w:tcBorders/>
            <w:shd w:fill="B2B2B2" w:val="clear"/>
            <w:vAlign w:val="center"/>
          </w:tcPr>
          <w:p>
            <w:pPr>
              <w:pStyle w:val="TableContents"/>
              <w:bidi w:val="0"/>
              <w:spacing w:before="0" w:after="283"/>
              <w:jc w:val="right"/>
              <w:rPr/>
            </w:pPr>
            <w:r>
              <w:rPr/>
              <w:t>260,107</w:t>
            </w:r>
          </w:p>
        </w:tc>
        <w:tc>
          <w:tcPr>
            <w:tcW w:w="109" w:type="dxa"/>
            <w:tcBorders/>
            <w:shd w:fill="B2B2B2" w:val="clear"/>
            <w:vAlign w:val="center"/>
          </w:tcPr>
          <w:p>
            <w:pPr>
              <w:pStyle w:val="TableContents"/>
              <w:bidi w:val="0"/>
              <w:spacing w:before="0" w:after="283"/>
              <w:jc w:val="left"/>
              <w:rPr/>
            </w:pPr>
            <w:r>
              <w:rPr/>
              <w:t>​</w:t>
            </w:r>
          </w:p>
        </w:tc>
        <w:tc>
          <w:tcPr>
            <w:tcW w:w="154" w:type="dxa"/>
            <w:tcBorders/>
            <w:shd w:fill="B2B2B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015" w:type="dxa"/>
            <w:tcBorders/>
            <w:vAlign w:val="center"/>
          </w:tcPr>
          <w:p>
            <w:pPr>
              <w:pStyle w:val="TableContents"/>
              <w:bidi w:val="0"/>
              <w:spacing w:before="0" w:after="283"/>
              <w:jc w:val="left"/>
              <w:rPr/>
            </w:pPr>
            <w:r>
              <w:rPr>
                <w:spacing w:val="-2"/>
              </w:rPr>
              <w:t>William Jenkins</w:t>
            </w:r>
            <w:r>
              <w:rPr>
                <w:spacing w:val="-2"/>
                <w:sz w:val="13"/>
              </w:rPr>
              <w:t>(4)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 w:type="dxa"/>
            <w:tcBorders/>
            <w:vAlign w:val="center"/>
          </w:tcPr>
          <w:p>
            <w:pPr>
              <w:pStyle w:val="TableContents"/>
              <w:bidi w:val="0"/>
              <w:spacing w:before="0" w:after="283"/>
              <w:jc w:val="left"/>
              <w:rPr/>
            </w:pPr>
            <w:r>
              <w:rPr/>
              <w:t>​</w:t>
            </w:r>
          </w:p>
        </w:tc>
        <w:tc>
          <w:tcPr>
            <w:tcW w:w="114" w:type="dxa"/>
            <w:tcBorders/>
            <w:vAlign w:val="center"/>
          </w:tcPr>
          <w:p>
            <w:pPr>
              <w:pStyle w:val="TableContents"/>
              <w:bidi w:val="0"/>
              <w:spacing w:before="0" w:after="283"/>
              <w:jc w:val="right"/>
              <w:rPr/>
            </w:pPr>
            <w:r>
              <w:rPr/>
              <w:t>​</w:t>
            </w:r>
          </w:p>
        </w:tc>
        <w:tc>
          <w:tcPr>
            <w:tcW w:w="931" w:type="dxa"/>
            <w:tcBorders/>
            <w:vAlign w:val="center"/>
          </w:tcPr>
          <w:p>
            <w:pPr>
              <w:pStyle w:val="TableContents"/>
              <w:bidi w:val="0"/>
              <w:spacing w:before="0" w:after="283"/>
              <w:jc w:val="right"/>
              <w:rPr/>
            </w:pPr>
            <w:r>
              <w:rPr/>
              <w:t>155,000</w:t>
            </w:r>
          </w:p>
        </w:tc>
        <w:tc>
          <w:tcPr>
            <w:tcW w:w="11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 w:type="dxa"/>
            <w:tcBorders/>
            <w:vAlign w:val="center"/>
          </w:tcPr>
          <w:p>
            <w:pPr>
              <w:pStyle w:val="TableContents"/>
              <w:bidi w:val="0"/>
              <w:spacing w:before="0" w:after="283"/>
              <w:jc w:val="left"/>
              <w:rPr/>
            </w:pPr>
            <w:r>
              <w:rPr/>
              <w:t>​</w:t>
            </w:r>
          </w:p>
        </w:tc>
        <w:tc>
          <w:tcPr>
            <w:tcW w:w="127" w:type="dxa"/>
            <w:tcBorders/>
            <w:vAlign w:val="center"/>
          </w:tcPr>
          <w:p>
            <w:pPr>
              <w:pStyle w:val="TableContents"/>
              <w:bidi w:val="0"/>
              <w:spacing w:before="0" w:after="283"/>
              <w:jc w:val="right"/>
              <w:rPr/>
            </w:pPr>
            <w:r>
              <w:rPr/>
              <w:t>​</w:t>
            </w:r>
          </w:p>
        </w:tc>
        <w:tc>
          <w:tcPr>
            <w:tcW w:w="1039" w:type="dxa"/>
            <w:tcBorders/>
            <w:vAlign w:val="center"/>
          </w:tcPr>
          <w:p>
            <w:pPr>
              <w:pStyle w:val="TableContents"/>
              <w:bidi w:val="0"/>
              <w:spacing w:before="0" w:after="283"/>
              <w:jc w:val="right"/>
              <w:rPr/>
            </w:pPr>
            <w:r>
              <w:rPr/>
              <w:t>90,297</w:t>
            </w:r>
          </w:p>
        </w:tc>
        <w:tc>
          <w:tcPr>
            <w:tcW w:w="1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245,297</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B2B2B2" w:val="clear"/>
            <w:vAlign w:val="center"/>
          </w:tcPr>
          <w:p>
            <w:pPr>
              <w:pStyle w:val="TableContents"/>
              <w:bidi w:val="0"/>
              <w:spacing w:before="0" w:after="283"/>
              <w:jc w:val="left"/>
              <w:rPr/>
            </w:pPr>
            <w:r>
              <w:rPr/>
              <w:t>​</w:t>
            </w:r>
          </w:p>
        </w:tc>
        <w:tc>
          <w:tcPr>
            <w:tcW w:w="2015" w:type="dxa"/>
            <w:tcBorders/>
            <w:shd w:fill="B2B2B2" w:val="clear"/>
            <w:vAlign w:val="center"/>
          </w:tcPr>
          <w:p>
            <w:pPr>
              <w:pStyle w:val="TableContents"/>
              <w:bidi w:val="0"/>
              <w:spacing w:before="0" w:after="283"/>
              <w:jc w:val="left"/>
              <w:rPr>
                <w:spacing w:val="-2"/>
              </w:rPr>
            </w:pPr>
            <w:r>
              <w:rPr>
                <w:spacing w:val="-2"/>
              </w:rPr>
              <w:t xml:space="preserve">Andrew Lampereur </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14" w:type="dxa"/>
            <w:tcBorders/>
            <w:shd w:fill="B2B2B2" w:val="clear"/>
            <w:vAlign w:val="center"/>
          </w:tcPr>
          <w:p>
            <w:pPr>
              <w:pStyle w:val="TableContents"/>
              <w:bidi w:val="0"/>
              <w:spacing w:before="0" w:after="283"/>
              <w:jc w:val="left"/>
              <w:rPr/>
            </w:pPr>
            <w:r>
              <w:rPr/>
              <w:t>​</w:t>
            </w:r>
          </w:p>
        </w:tc>
        <w:tc>
          <w:tcPr>
            <w:tcW w:w="114" w:type="dxa"/>
            <w:tcBorders/>
            <w:shd w:fill="B2B2B2" w:val="clear"/>
            <w:vAlign w:val="center"/>
          </w:tcPr>
          <w:p>
            <w:pPr>
              <w:pStyle w:val="TableContents"/>
              <w:bidi w:val="0"/>
              <w:spacing w:before="0" w:after="283"/>
              <w:jc w:val="right"/>
              <w:rPr/>
            </w:pPr>
            <w:r>
              <w:rPr/>
              <w:t>​</w:t>
            </w:r>
          </w:p>
        </w:tc>
        <w:tc>
          <w:tcPr>
            <w:tcW w:w="931" w:type="dxa"/>
            <w:tcBorders/>
            <w:shd w:fill="B2B2B2" w:val="clear"/>
            <w:vAlign w:val="center"/>
          </w:tcPr>
          <w:p>
            <w:pPr>
              <w:pStyle w:val="TableContents"/>
              <w:bidi w:val="0"/>
              <w:spacing w:before="0" w:after="283"/>
              <w:jc w:val="right"/>
              <w:rPr/>
            </w:pPr>
            <w:r>
              <w:rPr/>
              <w:t>—</w:t>
            </w:r>
          </w:p>
        </w:tc>
        <w:tc>
          <w:tcPr>
            <w:tcW w:w="114"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27" w:type="dxa"/>
            <w:tcBorders/>
            <w:shd w:fill="B2B2B2" w:val="clear"/>
            <w:vAlign w:val="center"/>
          </w:tcPr>
          <w:p>
            <w:pPr>
              <w:pStyle w:val="TableContents"/>
              <w:bidi w:val="0"/>
              <w:spacing w:before="0" w:after="283"/>
              <w:jc w:val="left"/>
              <w:rPr/>
            </w:pPr>
            <w:r>
              <w:rPr/>
              <w:t>​</w:t>
            </w:r>
          </w:p>
        </w:tc>
        <w:tc>
          <w:tcPr>
            <w:tcW w:w="127" w:type="dxa"/>
            <w:tcBorders/>
            <w:shd w:fill="B2B2B2" w:val="clear"/>
            <w:vAlign w:val="center"/>
          </w:tcPr>
          <w:p>
            <w:pPr>
              <w:pStyle w:val="TableContents"/>
              <w:bidi w:val="0"/>
              <w:spacing w:before="0" w:after="283"/>
              <w:jc w:val="right"/>
              <w:rPr/>
            </w:pPr>
            <w:r>
              <w:rPr/>
              <w:t>​</w:t>
            </w:r>
          </w:p>
        </w:tc>
        <w:tc>
          <w:tcPr>
            <w:tcW w:w="1039" w:type="dxa"/>
            <w:tcBorders/>
            <w:shd w:fill="B2B2B2" w:val="clear"/>
            <w:vAlign w:val="center"/>
          </w:tcPr>
          <w:p>
            <w:pPr>
              <w:pStyle w:val="TableContents"/>
              <w:bidi w:val="0"/>
              <w:spacing w:before="0" w:after="283"/>
              <w:jc w:val="right"/>
              <w:rPr/>
            </w:pPr>
            <w:r>
              <w:rPr/>
              <w:t>270,442</w:t>
            </w:r>
          </w:p>
        </w:tc>
        <w:tc>
          <w:tcPr>
            <w:tcW w:w="127"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right"/>
              <w:rPr/>
            </w:pPr>
            <w:r>
              <w:rPr/>
              <w:t>​</w:t>
            </w:r>
          </w:p>
        </w:tc>
        <w:tc>
          <w:tcPr>
            <w:tcW w:w="886" w:type="dxa"/>
            <w:tcBorders/>
            <w:shd w:fill="B2B2B2" w:val="clear"/>
            <w:vAlign w:val="center"/>
          </w:tcPr>
          <w:p>
            <w:pPr>
              <w:pStyle w:val="TableContents"/>
              <w:bidi w:val="0"/>
              <w:spacing w:before="0" w:after="283"/>
              <w:jc w:val="right"/>
              <w:rPr/>
            </w:pPr>
            <w:r>
              <w:rPr/>
              <w:t>270,442</w:t>
            </w:r>
          </w:p>
        </w:tc>
        <w:tc>
          <w:tcPr>
            <w:tcW w:w="109" w:type="dxa"/>
            <w:tcBorders/>
            <w:shd w:fill="B2B2B2" w:val="clear"/>
            <w:vAlign w:val="center"/>
          </w:tcPr>
          <w:p>
            <w:pPr>
              <w:pStyle w:val="TableContents"/>
              <w:bidi w:val="0"/>
              <w:spacing w:before="0" w:after="283"/>
              <w:jc w:val="left"/>
              <w:rPr/>
            </w:pPr>
            <w:r>
              <w:rPr/>
              <w:t>​</w:t>
            </w:r>
          </w:p>
        </w:tc>
        <w:tc>
          <w:tcPr>
            <w:tcW w:w="154" w:type="dxa"/>
            <w:tcBorders/>
            <w:shd w:fill="B2B2B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015" w:type="dxa"/>
            <w:tcBorders/>
            <w:vAlign w:val="center"/>
          </w:tcPr>
          <w:p>
            <w:pPr>
              <w:pStyle w:val="TableContents"/>
              <w:bidi w:val="0"/>
              <w:spacing w:before="0" w:after="283"/>
              <w:jc w:val="left"/>
              <w:rPr>
                <w:spacing w:val="-2"/>
              </w:rPr>
            </w:pPr>
            <w:r>
              <w:rPr>
                <w:spacing w:val="-2"/>
              </w:rPr>
              <w:t xml:space="preserve">Bennett Morgan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 w:type="dxa"/>
            <w:tcBorders/>
            <w:vAlign w:val="center"/>
          </w:tcPr>
          <w:p>
            <w:pPr>
              <w:pStyle w:val="TableContents"/>
              <w:bidi w:val="0"/>
              <w:spacing w:before="0" w:after="283"/>
              <w:jc w:val="left"/>
              <w:rPr/>
            </w:pPr>
            <w:r>
              <w:rPr/>
              <w:t>​</w:t>
            </w:r>
          </w:p>
        </w:tc>
        <w:tc>
          <w:tcPr>
            <w:tcW w:w="114" w:type="dxa"/>
            <w:tcBorders/>
            <w:vAlign w:val="center"/>
          </w:tcPr>
          <w:p>
            <w:pPr>
              <w:pStyle w:val="TableContents"/>
              <w:bidi w:val="0"/>
              <w:spacing w:before="0" w:after="283"/>
              <w:jc w:val="right"/>
              <w:rPr/>
            </w:pPr>
            <w:r>
              <w:rPr/>
              <w:t>​</w:t>
            </w:r>
          </w:p>
        </w:tc>
        <w:tc>
          <w:tcPr>
            <w:tcW w:w="931" w:type="dxa"/>
            <w:tcBorders/>
            <w:vAlign w:val="center"/>
          </w:tcPr>
          <w:p>
            <w:pPr>
              <w:pStyle w:val="TableContents"/>
              <w:bidi w:val="0"/>
              <w:spacing w:before="0" w:after="283"/>
              <w:jc w:val="right"/>
              <w:rPr/>
            </w:pPr>
            <w:r>
              <w:rPr/>
              <w:t>—</w:t>
            </w:r>
          </w:p>
        </w:tc>
        <w:tc>
          <w:tcPr>
            <w:tcW w:w="11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 w:type="dxa"/>
            <w:tcBorders/>
            <w:vAlign w:val="center"/>
          </w:tcPr>
          <w:p>
            <w:pPr>
              <w:pStyle w:val="TableContents"/>
              <w:bidi w:val="0"/>
              <w:spacing w:before="0" w:after="283"/>
              <w:jc w:val="left"/>
              <w:rPr/>
            </w:pPr>
            <w:r>
              <w:rPr/>
              <w:t>​</w:t>
            </w:r>
          </w:p>
        </w:tc>
        <w:tc>
          <w:tcPr>
            <w:tcW w:w="127" w:type="dxa"/>
            <w:tcBorders/>
            <w:vAlign w:val="center"/>
          </w:tcPr>
          <w:p>
            <w:pPr>
              <w:pStyle w:val="TableContents"/>
              <w:bidi w:val="0"/>
              <w:spacing w:before="0" w:after="283"/>
              <w:jc w:val="right"/>
              <w:rPr/>
            </w:pPr>
            <w:r>
              <w:rPr/>
              <w:t>​</w:t>
            </w:r>
          </w:p>
        </w:tc>
        <w:tc>
          <w:tcPr>
            <w:tcW w:w="1039" w:type="dxa"/>
            <w:tcBorders/>
            <w:vAlign w:val="center"/>
          </w:tcPr>
          <w:p>
            <w:pPr>
              <w:pStyle w:val="TableContents"/>
              <w:bidi w:val="0"/>
              <w:spacing w:before="0" w:after="283"/>
              <w:jc w:val="right"/>
              <w:rPr/>
            </w:pPr>
            <w:r>
              <w:rPr/>
              <w:t>275,279</w:t>
            </w:r>
          </w:p>
        </w:tc>
        <w:tc>
          <w:tcPr>
            <w:tcW w:w="1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275,279</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B2B2B2" w:val="clear"/>
            <w:vAlign w:val="center"/>
          </w:tcPr>
          <w:p>
            <w:pPr>
              <w:pStyle w:val="TableContents"/>
              <w:bidi w:val="0"/>
              <w:spacing w:before="0" w:after="283"/>
              <w:jc w:val="left"/>
              <w:rPr/>
            </w:pPr>
            <w:r>
              <w:rPr/>
              <w:t>​</w:t>
            </w:r>
          </w:p>
        </w:tc>
        <w:tc>
          <w:tcPr>
            <w:tcW w:w="2015" w:type="dxa"/>
            <w:tcBorders/>
            <w:shd w:fill="B2B2B2" w:val="clear"/>
            <w:vAlign w:val="center"/>
          </w:tcPr>
          <w:p>
            <w:pPr>
              <w:pStyle w:val="TableContents"/>
              <w:bidi w:val="0"/>
              <w:spacing w:before="0" w:after="283"/>
              <w:jc w:val="left"/>
              <w:rPr>
                <w:spacing w:val="-2"/>
              </w:rPr>
            </w:pPr>
            <w:r>
              <w:rPr>
                <w:spacing w:val="-2"/>
              </w:rPr>
              <w:t xml:space="preserve">Nam Nguyen </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14" w:type="dxa"/>
            <w:tcBorders/>
            <w:shd w:fill="B2B2B2" w:val="clear"/>
            <w:vAlign w:val="center"/>
          </w:tcPr>
          <w:p>
            <w:pPr>
              <w:pStyle w:val="TableContents"/>
              <w:bidi w:val="0"/>
              <w:spacing w:before="0" w:after="283"/>
              <w:jc w:val="left"/>
              <w:rPr/>
            </w:pPr>
            <w:r>
              <w:rPr/>
              <w:t>​</w:t>
            </w:r>
          </w:p>
        </w:tc>
        <w:tc>
          <w:tcPr>
            <w:tcW w:w="114" w:type="dxa"/>
            <w:tcBorders/>
            <w:shd w:fill="B2B2B2" w:val="clear"/>
            <w:vAlign w:val="center"/>
          </w:tcPr>
          <w:p>
            <w:pPr>
              <w:pStyle w:val="TableContents"/>
              <w:bidi w:val="0"/>
              <w:spacing w:before="0" w:after="283"/>
              <w:jc w:val="right"/>
              <w:rPr/>
            </w:pPr>
            <w:r>
              <w:rPr/>
              <w:t>​</w:t>
            </w:r>
          </w:p>
        </w:tc>
        <w:tc>
          <w:tcPr>
            <w:tcW w:w="931" w:type="dxa"/>
            <w:tcBorders/>
            <w:shd w:fill="B2B2B2" w:val="clear"/>
            <w:vAlign w:val="center"/>
          </w:tcPr>
          <w:p>
            <w:pPr>
              <w:pStyle w:val="TableContents"/>
              <w:bidi w:val="0"/>
              <w:spacing w:before="0" w:after="283"/>
              <w:jc w:val="right"/>
              <w:rPr/>
            </w:pPr>
            <w:r>
              <w:rPr/>
              <w:t>90,000</w:t>
            </w:r>
          </w:p>
        </w:tc>
        <w:tc>
          <w:tcPr>
            <w:tcW w:w="114"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27" w:type="dxa"/>
            <w:tcBorders/>
            <w:shd w:fill="B2B2B2" w:val="clear"/>
            <w:vAlign w:val="center"/>
          </w:tcPr>
          <w:p>
            <w:pPr>
              <w:pStyle w:val="TableContents"/>
              <w:bidi w:val="0"/>
              <w:spacing w:before="0" w:after="283"/>
              <w:jc w:val="left"/>
              <w:rPr/>
            </w:pPr>
            <w:r>
              <w:rPr/>
              <w:t>​</w:t>
            </w:r>
          </w:p>
        </w:tc>
        <w:tc>
          <w:tcPr>
            <w:tcW w:w="127" w:type="dxa"/>
            <w:tcBorders/>
            <w:shd w:fill="B2B2B2" w:val="clear"/>
            <w:vAlign w:val="center"/>
          </w:tcPr>
          <w:p>
            <w:pPr>
              <w:pStyle w:val="TableContents"/>
              <w:bidi w:val="0"/>
              <w:spacing w:before="0" w:after="283"/>
              <w:jc w:val="right"/>
              <w:rPr/>
            </w:pPr>
            <w:r>
              <w:rPr/>
              <w:t>​</w:t>
            </w:r>
          </w:p>
        </w:tc>
        <w:tc>
          <w:tcPr>
            <w:tcW w:w="1039" w:type="dxa"/>
            <w:tcBorders/>
            <w:shd w:fill="B2B2B2" w:val="clear"/>
            <w:vAlign w:val="center"/>
          </w:tcPr>
          <w:p>
            <w:pPr>
              <w:pStyle w:val="TableContents"/>
              <w:bidi w:val="0"/>
              <w:spacing w:before="0" w:after="283"/>
              <w:jc w:val="right"/>
              <w:rPr/>
            </w:pPr>
            <w:r>
              <w:rPr/>
              <w:t>155,107</w:t>
            </w:r>
          </w:p>
        </w:tc>
        <w:tc>
          <w:tcPr>
            <w:tcW w:w="127"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right"/>
              <w:rPr/>
            </w:pPr>
            <w:r>
              <w:rPr/>
              <w:t>​</w:t>
            </w:r>
          </w:p>
        </w:tc>
        <w:tc>
          <w:tcPr>
            <w:tcW w:w="886" w:type="dxa"/>
            <w:tcBorders/>
            <w:shd w:fill="B2B2B2" w:val="clear"/>
            <w:vAlign w:val="center"/>
          </w:tcPr>
          <w:p>
            <w:pPr>
              <w:pStyle w:val="TableContents"/>
              <w:bidi w:val="0"/>
              <w:spacing w:before="0" w:after="283"/>
              <w:jc w:val="right"/>
              <w:rPr/>
            </w:pPr>
            <w:r>
              <w:rPr/>
              <w:t>245,107</w:t>
            </w:r>
          </w:p>
        </w:tc>
        <w:tc>
          <w:tcPr>
            <w:tcW w:w="109" w:type="dxa"/>
            <w:tcBorders/>
            <w:shd w:fill="B2B2B2" w:val="clear"/>
            <w:vAlign w:val="center"/>
          </w:tcPr>
          <w:p>
            <w:pPr>
              <w:pStyle w:val="TableContents"/>
              <w:bidi w:val="0"/>
              <w:spacing w:before="0" w:after="283"/>
              <w:jc w:val="left"/>
              <w:rPr/>
            </w:pPr>
            <w:r>
              <w:rPr/>
              <w:t>​</w:t>
            </w:r>
          </w:p>
        </w:tc>
        <w:tc>
          <w:tcPr>
            <w:tcW w:w="154" w:type="dxa"/>
            <w:tcBorders/>
            <w:shd w:fill="B2B2B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015" w:type="dxa"/>
            <w:tcBorders/>
            <w:vAlign w:val="center"/>
          </w:tcPr>
          <w:p>
            <w:pPr>
              <w:pStyle w:val="TableContents"/>
              <w:bidi w:val="0"/>
              <w:spacing w:before="0" w:after="283"/>
              <w:jc w:val="left"/>
              <w:rPr>
                <w:spacing w:val="-2"/>
              </w:rPr>
            </w:pPr>
            <w:r>
              <w:rPr>
                <w:spacing w:val="-2"/>
              </w:rPr>
              <w:t xml:space="preserve">David A. Ramon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 w:type="dxa"/>
            <w:tcBorders/>
            <w:vAlign w:val="center"/>
          </w:tcPr>
          <w:p>
            <w:pPr>
              <w:pStyle w:val="TableContents"/>
              <w:bidi w:val="0"/>
              <w:spacing w:before="0" w:after="283"/>
              <w:jc w:val="left"/>
              <w:rPr/>
            </w:pPr>
            <w:r>
              <w:rPr/>
              <w:t>​</w:t>
            </w:r>
          </w:p>
        </w:tc>
        <w:tc>
          <w:tcPr>
            <w:tcW w:w="114" w:type="dxa"/>
            <w:tcBorders/>
            <w:vAlign w:val="center"/>
          </w:tcPr>
          <w:p>
            <w:pPr>
              <w:pStyle w:val="TableContents"/>
              <w:bidi w:val="0"/>
              <w:spacing w:before="0" w:after="283"/>
              <w:jc w:val="right"/>
              <w:rPr/>
            </w:pPr>
            <w:r>
              <w:rPr/>
              <w:t>​</w:t>
            </w:r>
          </w:p>
        </w:tc>
        <w:tc>
          <w:tcPr>
            <w:tcW w:w="931" w:type="dxa"/>
            <w:tcBorders/>
            <w:vAlign w:val="center"/>
          </w:tcPr>
          <w:p>
            <w:pPr>
              <w:pStyle w:val="TableContents"/>
              <w:bidi w:val="0"/>
              <w:spacing w:before="0" w:after="283"/>
              <w:jc w:val="right"/>
              <w:rPr/>
            </w:pPr>
            <w:r>
              <w:rPr/>
              <w:t>90,000</w:t>
            </w:r>
          </w:p>
        </w:tc>
        <w:tc>
          <w:tcPr>
            <w:tcW w:w="11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 w:type="dxa"/>
            <w:tcBorders/>
            <w:vAlign w:val="center"/>
          </w:tcPr>
          <w:p>
            <w:pPr>
              <w:pStyle w:val="TableContents"/>
              <w:bidi w:val="0"/>
              <w:spacing w:before="0" w:after="283"/>
              <w:jc w:val="left"/>
              <w:rPr/>
            </w:pPr>
            <w:r>
              <w:rPr/>
              <w:t>​</w:t>
            </w:r>
          </w:p>
        </w:tc>
        <w:tc>
          <w:tcPr>
            <w:tcW w:w="127" w:type="dxa"/>
            <w:tcBorders/>
            <w:vAlign w:val="center"/>
          </w:tcPr>
          <w:p>
            <w:pPr>
              <w:pStyle w:val="TableContents"/>
              <w:bidi w:val="0"/>
              <w:spacing w:before="0" w:after="283"/>
              <w:jc w:val="right"/>
              <w:rPr/>
            </w:pPr>
            <w:r>
              <w:rPr/>
              <w:t>​</w:t>
            </w:r>
          </w:p>
        </w:tc>
        <w:tc>
          <w:tcPr>
            <w:tcW w:w="1039" w:type="dxa"/>
            <w:tcBorders/>
            <w:vAlign w:val="center"/>
          </w:tcPr>
          <w:p>
            <w:pPr>
              <w:pStyle w:val="TableContents"/>
              <w:bidi w:val="0"/>
              <w:spacing w:before="0" w:after="283"/>
              <w:jc w:val="right"/>
              <w:rPr/>
            </w:pPr>
            <w:r>
              <w:rPr/>
              <w:t>155,107</w:t>
            </w:r>
          </w:p>
        </w:tc>
        <w:tc>
          <w:tcPr>
            <w:tcW w:w="1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245,107</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2015" w:type="dxa"/>
            <w:tcBorders>
              <w:bottom w:val="single" w:sz="2" w:space="0" w:color="000000"/>
            </w:tcBorders>
            <w:shd w:fill="B2B2B2" w:val="clear"/>
            <w:tcMar>
              <w:bottom w:w="50" w:type="dxa"/>
            </w:tcMar>
            <w:vAlign w:val="center"/>
          </w:tcPr>
          <w:p>
            <w:pPr>
              <w:pStyle w:val="TableContents"/>
              <w:bidi w:val="0"/>
              <w:spacing w:before="0" w:after="283"/>
              <w:jc w:val="left"/>
              <w:rPr>
                <w:spacing w:val="-2"/>
              </w:rPr>
            </w:pPr>
            <w:r>
              <w:rPr>
                <w:spacing w:val="-2"/>
              </w:rPr>
              <w:t xml:space="preserve">Dominick Zarcone </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shd w:fill="B2B2B2" w:val="clear"/>
            <w:tcMar>
              <w:bottom w:w="50" w:type="dxa"/>
            </w:tcMar>
            <w:vAlign w:val="center"/>
          </w:tcPr>
          <w:p>
            <w:pPr>
              <w:pStyle w:val="TableContents"/>
              <w:bidi w:val="0"/>
              <w:spacing w:before="0" w:after="283"/>
              <w:jc w:val="right"/>
              <w:rPr/>
            </w:pPr>
            <w:r>
              <w:rPr/>
              <w:t>​</w:t>
            </w:r>
          </w:p>
        </w:tc>
        <w:tc>
          <w:tcPr>
            <w:tcW w:w="931" w:type="dxa"/>
            <w:tcBorders>
              <w:bottom w:val="single" w:sz="2" w:space="0" w:color="000000"/>
            </w:tcBorders>
            <w:shd w:fill="B2B2B2" w:val="clear"/>
            <w:tcMar>
              <w:bottom w:w="50" w:type="dxa"/>
            </w:tcMar>
            <w:vAlign w:val="center"/>
          </w:tcPr>
          <w:p>
            <w:pPr>
              <w:pStyle w:val="TableContents"/>
              <w:bidi w:val="0"/>
              <w:spacing w:before="0" w:after="283"/>
              <w:jc w:val="right"/>
              <w:rPr/>
            </w:pPr>
            <w:r>
              <w:rPr/>
              <w:t>45,000</w:t>
            </w:r>
          </w:p>
        </w:tc>
        <w:tc>
          <w:tcPr>
            <w:tcW w:w="114"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27"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27" w:type="dxa"/>
            <w:tcBorders>
              <w:bottom w:val="single" w:sz="2" w:space="0" w:color="000000"/>
            </w:tcBorders>
            <w:shd w:fill="B2B2B2" w:val="clear"/>
            <w:tcMar>
              <w:bottom w:w="50" w:type="dxa"/>
            </w:tcMar>
            <w:vAlign w:val="center"/>
          </w:tcPr>
          <w:p>
            <w:pPr>
              <w:pStyle w:val="TableContents"/>
              <w:bidi w:val="0"/>
              <w:spacing w:before="0" w:after="283"/>
              <w:jc w:val="right"/>
              <w:rPr/>
            </w:pPr>
            <w:r>
              <w:rPr/>
              <w:t>​</w:t>
            </w:r>
          </w:p>
        </w:tc>
        <w:tc>
          <w:tcPr>
            <w:tcW w:w="1039" w:type="dxa"/>
            <w:tcBorders>
              <w:bottom w:val="single" w:sz="2" w:space="0" w:color="000000"/>
            </w:tcBorders>
            <w:shd w:fill="B2B2B2" w:val="clear"/>
            <w:tcMar>
              <w:bottom w:w="50" w:type="dxa"/>
            </w:tcMar>
            <w:vAlign w:val="center"/>
          </w:tcPr>
          <w:p>
            <w:pPr>
              <w:pStyle w:val="TableContents"/>
              <w:bidi w:val="0"/>
              <w:spacing w:before="0" w:after="283"/>
              <w:jc w:val="right"/>
              <w:rPr/>
            </w:pPr>
            <w:r>
              <w:rPr/>
              <w:t>200,173</w:t>
            </w:r>
          </w:p>
        </w:tc>
        <w:tc>
          <w:tcPr>
            <w:tcW w:w="127"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B2B2B2" w:val="clear"/>
            <w:tcMar>
              <w:bottom w:w="50" w:type="dxa"/>
            </w:tcMar>
            <w:vAlign w:val="center"/>
          </w:tcPr>
          <w:p>
            <w:pPr>
              <w:pStyle w:val="TableContents"/>
              <w:bidi w:val="0"/>
              <w:spacing w:before="0" w:after="283"/>
              <w:jc w:val="right"/>
              <w:rPr/>
            </w:pPr>
            <w:r>
              <w:rPr/>
              <w:t>245,173</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54"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r>
    </w:tbl>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20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Represents shares received in connection with annual equity grants and, if elected in lieu of cash by the non-employee director, quarterly retainer fees. The amounts indicated represent the aggregate grant date fair value for awards of stock (including Deferred Stock Units), computed in accordance with Financial Accounting Standards Board Accounting Standards Codification Subtopic 718. See Note 17 to the Consolidated Financial Statements included in our Annual Report on Form 10-K for the year ended December 31, 2025 for a discussion of the relevant assumptions used in calculating these amounts.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27000" distB="0" distL="0" distR="0" simplePos="0" locked="0" layoutInCell="1" allowOverlap="1" relativeHeight="339">
                <wp:simplePos x="0" y="0"/>
                <wp:positionH relativeFrom="column">
                  <wp:align>left</wp:align>
                </wp:positionH>
                <wp:positionV relativeFrom="line">
                  <wp:align>top</wp:align>
                </wp:positionV>
                <wp:extent cx="254000" cy="330200"/>
                <wp:effectExtent l="0" t="0" r="0" b="0"/>
                <wp:wrapSquare wrapText="right"/>
                <wp:docPr id="326" name="Frame208"/>
                <a:graphic xmlns:a="http://schemas.openxmlformats.org/drawingml/2006/main">
                  <a:graphicData uri="http://schemas.microsoft.com/office/word/2010/wordprocessingShape">
                    <wps:wsp>
                      <wps:cNvSpPr txBox="1"/>
                      <wps:spPr>
                        <a:xfrm>
                          <a:off x="0" y="0"/>
                          <a:ext cx="254000" cy="330200"/>
                        </a:xfrm>
                        <a:prstGeom prst="rect"/>
                        <a:solidFill>
                          <a:srgbClr val="FFFFFF"/>
                        </a:solidFill>
                      </wps:spPr>
                      <wps:txbx>
                        <w:txbxContent>
                          <w:p>
                            <w:pPr>
                              <w:pStyle w:val="TextBody"/>
                              <w:bidi w:val="0"/>
                              <w:spacing w:lineRule="atLeast" w:line="260" w:before="0" w:after="283"/>
                              <w:jc w:val="left"/>
                              <w:rPr>
                                <w:sz w:val="22"/>
                              </w:rPr>
                            </w:pPr>
                            <w:r>
                              <w:rPr>
                                <w:spacing w:val="-2"/>
                                <w:sz w:val="22"/>
                              </w:rPr>
                              <w:t>(1)</w:t>
                            </w:r>
                            <w:r>
                              <w:rPr>
                                <w:sz w:val="22"/>
                              </w:rPr>
                              <w:t xml:space="preserve"> </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lineRule="atLeast" w:line="260" w:before="0" w:after="283"/>
                        <w:jc w:val="left"/>
                        <w:rPr>
                          <w:sz w:val="22"/>
                        </w:rPr>
                      </w:pPr>
                      <w:r>
                        <w:rPr>
                          <w:spacing w:val="-2"/>
                          <w:sz w:val="22"/>
                        </w:rPr>
                        <w:t>(1)</w:t>
                      </w:r>
                      <w:r>
                        <w:rPr>
                          <w:sz w:val="22"/>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7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As of December 31, 2025, each individual who served as a non-employee director during 2025 had outstanding the following number of stock awards, all of which consist of Deferred Stock Units issued pursuant to the Company’s Deferred Stock Unit Plan for Non-Employee Directors: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44450" distB="0" distL="0" distR="0" simplePos="0" locked="0" layoutInCell="1" allowOverlap="1" relativeHeight="340">
                <wp:simplePos x="0" y="0"/>
                <wp:positionH relativeFrom="column">
                  <wp:align>left</wp:align>
                </wp:positionH>
                <wp:positionV relativeFrom="line">
                  <wp:align>top</wp:align>
                </wp:positionV>
                <wp:extent cx="254000" cy="330200"/>
                <wp:effectExtent l="0" t="0" r="0" b="0"/>
                <wp:wrapSquare wrapText="right"/>
                <wp:docPr id="327" name="Frame209"/>
                <a:graphic xmlns:a="http://schemas.openxmlformats.org/drawingml/2006/main">
                  <a:graphicData uri="http://schemas.microsoft.com/office/word/2010/wordprocessingShape">
                    <wps:wsp>
                      <wps:cNvSpPr txBox="1"/>
                      <wps:spPr>
                        <a:xfrm>
                          <a:off x="0" y="0"/>
                          <a:ext cx="254000" cy="330200"/>
                        </a:xfrm>
                        <a:prstGeom prst="rect"/>
                        <a:solidFill>
                          <a:srgbClr val="FFFFFF"/>
                        </a:solidFill>
                      </wps:spPr>
                      <wps:txbx>
                        <w:txbxContent>
                          <w:p>
                            <w:pPr>
                              <w:pStyle w:val="TextBody"/>
                              <w:bidi w:val="0"/>
                              <w:spacing w:lineRule="atLeast" w:line="260" w:before="0" w:after="283"/>
                              <w:jc w:val="left"/>
                              <w:rPr>
                                <w:sz w:val="22"/>
                              </w:rPr>
                            </w:pPr>
                            <w:r>
                              <w:rPr>
                                <w:spacing w:val="-2"/>
                                <w:sz w:val="22"/>
                              </w:rPr>
                              <w:t>(2)</w:t>
                            </w:r>
                            <w:r>
                              <w:rPr>
                                <w:sz w:val="22"/>
                              </w:rPr>
                              <w:t xml:space="preserve"> </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60" w:before="0" w:after="283"/>
                        <w:jc w:val="left"/>
                        <w:rPr>
                          <w:sz w:val="22"/>
                        </w:rPr>
                      </w:pPr>
                      <w:r>
                        <w:rPr>
                          <w:spacing w:val="-2"/>
                          <w:sz w:val="22"/>
                        </w:rPr>
                        <w:t>(2)</w:t>
                      </w:r>
                      <w:r>
                        <w:rPr>
                          <w:sz w:val="22"/>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tbl>
      <w:tblPr>
        <w:tblW w:w="3931" w:type="dxa"/>
        <w:jc w:val="left"/>
        <w:tblInd w:w="1140" w:type="dxa"/>
        <w:tblLayout w:type="fixed"/>
        <w:tblCellMar>
          <w:top w:w="0" w:type="dxa"/>
          <w:left w:w="0" w:type="dxa"/>
          <w:bottom w:w="0" w:type="dxa"/>
          <w:right w:w="0" w:type="dxa"/>
        </w:tblCellMar>
      </w:tblPr>
      <w:tblGrid>
        <w:gridCol w:w="124"/>
        <w:gridCol w:w="2015"/>
        <w:gridCol w:w="109"/>
        <w:gridCol w:w="109"/>
        <w:gridCol w:w="141"/>
        <w:gridCol w:w="141"/>
        <w:gridCol w:w="997"/>
        <w:gridCol w:w="141"/>
        <w:gridCol w:w="154"/>
      </w:tblGrid>
      <w:tr>
        <w:trPr/>
        <w:tc>
          <w:tcPr>
            <w:tcW w:w="124" w:type="dxa"/>
            <w:tcBorders/>
            <w:shd w:fill="FF6A00" w:val="clear"/>
            <w:vAlign w:val="center"/>
          </w:tcPr>
          <w:p>
            <w:pPr>
              <w:pStyle w:val="TableContents"/>
              <w:bidi w:val="0"/>
              <w:spacing w:before="0" w:after="283"/>
              <w:jc w:val="left"/>
              <w:rPr/>
            </w:pPr>
            <w:r>
              <w:rPr/>
              <w:t>​</w:t>
            </w:r>
          </w:p>
        </w:tc>
        <w:tc>
          <w:tcPr>
            <w:tcW w:w="2015" w:type="dxa"/>
            <w:tcBorders/>
            <w:shd w:fill="FF6A00" w:val="clear"/>
            <w:vAlign w:val="center"/>
          </w:tcPr>
          <w:p>
            <w:pPr>
              <w:pStyle w:val="TableContents"/>
              <w:bidi w:val="0"/>
              <w:spacing w:before="0" w:after="0"/>
              <w:jc w:val="left"/>
              <w:rPr>
                <w:spacing w:val="-2"/>
              </w:rPr>
            </w:pPr>
            <w:r>
              <w:rPr>
                <w:spacing w:val="-2"/>
              </w:rPr>
              <w:t xml:space="preserve">Name </w:t>
            </w:r>
          </w:p>
        </w:tc>
        <w:tc>
          <w:tcPr>
            <w:tcW w:w="109"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420" w:type="dxa"/>
            <w:gridSpan w:val="4"/>
            <w:tcBorders/>
            <w:shd w:fill="FF6A00" w:val="clear"/>
            <w:vAlign w:val="center"/>
          </w:tcPr>
          <w:p>
            <w:pPr>
              <w:pStyle w:val="TableContents"/>
              <w:bidi w:val="0"/>
              <w:spacing w:before="0" w:after="0"/>
              <w:jc w:val="center"/>
              <w:rPr>
                <w:spacing w:val="-2"/>
              </w:rPr>
            </w:pPr>
            <w:r>
              <w:rPr>
                <w:spacing w:val="-2"/>
              </w:rPr>
              <w:t xml:space="preserve">Stock awards </w:t>
              <w:br/>
              <w:t xml:space="preserve">(#) </w:t>
            </w:r>
          </w:p>
        </w:tc>
        <w:tc>
          <w:tcPr>
            <w:tcW w:w="154" w:type="dxa"/>
            <w:tcBorders/>
            <w:shd w:fill="FF6A00"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015" w:type="dxa"/>
            <w:tcBorders/>
            <w:vAlign w:val="center"/>
          </w:tcPr>
          <w:p>
            <w:pPr>
              <w:pStyle w:val="TableContents"/>
              <w:bidi w:val="0"/>
              <w:spacing w:before="0" w:after="283"/>
              <w:jc w:val="left"/>
              <w:rPr>
                <w:spacing w:val="-2"/>
              </w:rPr>
            </w:pPr>
            <w:r>
              <w:rPr>
                <w:spacing w:val="-2"/>
              </w:rPr>
              <w:t xml:space="preserve">Marcia Avedon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1" w:type="dxa"/>
            <w:tcBorders/>
            <w:vAlign w:val="center"/>
          </w:tcPr>
          <w:p>
            <w:pPr>
              <w:pStyle w:val="TableContents"/>
              <w:bidi w:val="0"/>
              <w:spacing w:before="0" w:after="283"/>
              <w:jc w:val="left"/>
              <w:rPr/>
            </w:pPr>
            <w:r>
              <w:rPr/>
              <w:t>​</w:t>
            </w:r>
          </w:p>
        </w:tc>
        <w:tc>
          <w:tcPr>
            <w:tcW w:w="141" w:type="dxa"/>
            <w:tcBorders/>
            <w:vAlign w:val="center"/>
          </w:tcPr>
          <w:p>
            <w:pPr>
              <w:pStyle w:val="TableContents"/>
              <w:bidi w:val="0"/>
              <w:spacing w:before="0" w:after="283"/>
              <w:jc w:val="right"/>
              <w:rPr/>
            </w:pPr>
            <w:r>
              <w:rPr/>
              <w:t>​</w:t>
            </w:r>
          </w:p>
        </w:tc>
        <w:tc>
          <w:tcPr>
            <w:tcW w:w="997" w:type="dxa"/>
            <w:tcBorders/>
            <w:vAlign w:val="center"/>
          </w:tcPr>
          <w:p>
            <w:pPr>
              <w:pStyle w:val="TableContents"/>
              <w:bidi w:val="0"/>
              <w:spacing w:before="0" w:after="283"/>
              <w:jc w:val="right"/>
              <w:rPr/>
            </w:pPr>
            <w:r>
              <w:rPr/>
              <w:t>2,520</w:t>
            </w:r>
          </w:p>
        </w:tc>
        <w:tc>
          <w:tcPr>
            <w:tcW w:w="141"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B2B2B2" w:val="clear"/>
            <w:vAlign w:val="center"/>
          </w:tcPr>
          <w:p>
            <w:pPr>
              <w:pStyle w:val="TableContents"/>
              <w:bidi w:val="0"/>
              <w:spacing w:before="0" w:after="283"/>
              <w:jc w:val="left"/>
              <w:rPr/>
            </w:pPr>
            <w:r>
              <w:rPr/>
              <w:t>​</w:t>
            </w:r>
          </w:p>
        </w:tc>
        <w:tc>
          <w:tcPr>
            <w:tcW w:w="2015" w:type="dxa"/>
            <w:tcBorders/>
            <w:shd w:fill="B2B2B2" w:val="clear"/>
            <w:vAlign w:val="center"/>
          </w:tcPr>
          <w:p>
            <w:pPr>
              <w:pStyle w:val="TableContents"/>
              <w:bidi w:val="0"/>
              <w:spacing w:before="0" w:after="283"/>
              <w:jc w:val="left"/>
              <w:rPr>
                <w:spacing w:val="-2"/>
              </w:rPr>
            </w:pPr>
            <w:r>
              <w:rPr>
                <w:spacing w:val="-2"/>
              </w:rPr>
              <w:t xml:space="preserve">Kathryn Bohl </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41" w:type="dxa"/>
            <w:tcBorders/>
            <w:shd w:fill="B2B2B2" w:val="clear"/>
            <w:vAlign w:val="center"/>
          </w:tcPr>
          <w:p>
            <w:pPr>
              <w:pStyle w:val="TableContents"/>
              <w:bidi w:val="0"/>
              <w:spacing w:before="0" w:after="283"/>
              <w:jc w:val="left"/>
              <w:rPr/>
            </w:pPr>
            <w:r>
              <w:rPr/>
              <w:t>​</w:t>
            </w:r>
          </w:p>
        </w:tc>
        <w:tc>
          <w:tcPr>
            <w:tcW w:w="141" w:type="dxa"/>
            <w:tcBorders/>
            <w:shd w:fill="B2B2B2" w:val="clear"/>
            <w:vAlign w:val="center"/>
          </w:tcPr>
          <w:p>
            <w:pPr>
              <w:pStyle w:val="TableContents"/>
              <w:bidi w:val="0"/>
              <w:spacing w:before="0" w:after="283"/>
              <w:jc w:val="right"/>
              <w:rPr/>
            </w:pPr>
            <w:r>
              <w:rPr/>
              <w:t>​</w:t>
            </w:r>
          </w:p>
        </w:tc>
        <w:tc>
          <w:tcPr>
            <w:tcW w:w="997" w:type="dxa"/>
            <w:tcBorders/>
            <w:shd w:fill="B2B2B2" w:val="clear"/>
            <w:vAlign w:val="center"/>
          </w:tcPr>
          <w:p>
            <w:pPr>
              <w:pStyle w:val="TableContents"/>
              <w:bidi w:val="0"/>
              <w:spacing w:before="0" w:after="283"/>
              <w:jc w:val="right"/>
              <w:rPr/>
            </w:pPr>
            <w:r>
              <w:rPr/>
              <w:t>13,319</w:t>
            </w:r>
          </w:p>
        </w:tc>
        <w:tc>
          <w:tcPr>
            <w:tcW w:w="141" w:type="dxa"/>
            <w:tcBorders/>
            <w:shd w:fill="B2B2B2" w:val="clear"/>
            <w:vAlign w:val="center"/>
          </w:tcPr>
          <w:p>
            <w:pPr>
              <w:pStyle w:val="TableContents"/>
              <w:bidi w:val="0"/>
              <w:spacing w:before="0" w:after="283"/>
              <w:jc w:val="left"/>
              <w:rPr/>
            </w:pPr>
            <w:r>
              <w:rPr/>
              <w:t>​</w:t>
            </w:r>
          </w:p>
        </w:tc>
        <w:tc>
          <w:tcPr>
            <w:tcW w:w="154" w:type="dxa"/>
            <w:tcBorders/>
            <w:shd w:fill="B2B2B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015" w:type="dxa"/>
            <w:tcBorders/>
            <w:vAlign w:val="center"/>
          </w:tcPr>
          <w:p>
            <w:pPr>
              <w:pStyle w:val="TableContents"/>
              <w:bidi w:val="0"/>
              <w:spacing w:before="0" w:after="283"/>
              <w:jc w:val="left"/>
              <w:rPr>
                <w:spacing w:val="-2"/>
              </w:rPr>
            </w:pPr>
            <w:r>
              <w:rPr>
                <w:spacing w:val="-2"/>
              </w:rPr>
              <w:t xml:space="preserve">John D. Bowlin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1" w:type="dxa"/>
            <w:tcBorders/>
            <w:vAlign w:val="center"/>
          </w:tcPr>
          <w:p>
            <w:pPr>
              <w:pStyle w:val="TableContents"/>
              <w:bidi w:val="0"/>
              <w:spacing w:before="0" w:after="283"/>
              <w:jc w:val="left"/>
              <w:rPr/>
            </w:pPr>
            <w:r>
              <w:rPr/>
              <w:t>​</w:t>
            </w:r>
          </w:p>
        </w:tc>
        <w:tc>
          <w:tcPr>
            <w:tcW w:w="141" w:type="dxa"/>
            <w:tcBorders/>
            <w:vAlign w:val="center"/>
          </w:tcPr>
          <w:p>
            <w:pPr>
              <w:pStyle w:val="TableContents"/>
              <w:bidi w:val="0"/>
              <w:spacing w:before="0" w:after="283"/>
              <w:jc w:val="right"/>
              <w:rPr/>
            </w:pPr>
            <w:r>
              <w:rPr/>
              <w:t>​</w:t>
            </w:r>
          </w:p>
        </w:tc>
        <w:tc>
          <w:tcPr>
            <w:tcW w:w="997" w:type="dxa"/>
            <w:tcBorders/>
            <w:vAlign w:val="center"/>
          </w:tcPr>
          <w:p>
            <w:pPr>
              <w:pStyle w:val="TableContents"/>
              <w:bidi w:val="0"/>
              <w:spacing w:before="0" w:after="283"/>
              <w:jc w:val="right"/>
              <w:rPr/>
            </w:pPr>
            <w:r>
              <w:rPr/>
              <w:t>—</w:t>
            </w:r>
          </w:p>
        </w:tc>
        <w:tc>
          <w:tcPr>
            <w:tcW w:w="141"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B2B2B2" w:val="clear"/>
            <w:vAlign w:val="center"/>
          </w:tcPr>
          <w:p>
            <w:pPr>
              <w:pStyle w:val="TableContents"/>
              <w:bidi w:val="0"/>
              <w:spacing w:before="0" w:after="283"/>
              <w:jc w:val="left"/>
              <w:rPr/>
            </w:pPr>
            <w:r>
              <w:rPr/>
              <w:t>​</w:t>
            </w:r>
          </w:p>
        </w:tc>
        <w:tc>
          <w:tcPr>
            <w:tcW w:w="2015" w:type="dxa"/>
            <w:tcBorders/>
            <w:shd w:fill="B2B2B2" w:val="clear"/>
            <w:vAlign w:val="center"/>
          </w:tcPr>
          <w:p>
            <w:pPr>
              <w:pStyle w:val="TableContents"/>
              <w:bidi w:val="0"/>
              <w:spacing w:before="0" w:after="283"/>
              <w:jc w:val="left"/>
              <w:rPr>
                <w:spacing w:val="-2"/>
              </w:rPr>
            </w:pPr>
            <w:r>
              <w:rPr>
                <w:spacing w:val="-2"/>
              </w:rPr>
              <w:t xml:space="preserve">Robert Dixon </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41" w:type="dxa"/>
            <w:tcBorders/>
            <w:shd w:fill="B2B2B2" w:val="clear"/>
            <w:vAlign w:val="center"/>
          </w:tcPr>
          <w:p>
            <w:pPr>
              <w:pStyle w:val="TableContents"/>
              <w:bidi w:val="0"/>
              <w:spacing w:before="0" w:after="283"/>
              <w:jc w:val="left"/>
              <w:rPr/>
            </w:pPr>
            <w:r>
              <w:rPr/>
              <w:t>​</w:t>
            </w:r>
          </w:p>
        </w:tc>
        <w:tc>
          <w:tcPr>
            <w:tcW w:w="141" w:type="dxa"/>
            <w:tcBorders/>
            <w:shd w:fill="B2B2B2" w:val="clear"/>
            <w:vAlign w:val="center"/>
          </w:tcPr>
          <w:p>
            <w:pPr>
              <w:pStyle w:val="TableContents"/>
              <w:bidi w:val="0"/>
              <w:spacing w:before="0" w:after="283"/>
              <w:jc w:val="right"/>
              <w:rPr/>
            </w:pPr>
            <w:r>
              <w:rPr/>
              <w:t>​</w:t>
            </w:r>
          </w:p>
        </w:tc>
        <w:tc>
          <w:tcPr>
            <w:tcW w:w="997" w:type="dxa"/>
            <w:tcBorders/>
            <w:shd w:fill="B2B2B2" w:val="clear"/>
            <w:vAlign w:val="center"/>
          </w:tcPr>
          <w:p>
            <w:pPr>
              <w:pStyle w:val="TableContents"/>
              <w:bidi w:val="0"/>
              <w:spacing w:before="0" w:after="283"/>
              <w:jc w:val="right"/>
              <w:rPr/>
            </w:pPr>
            <w:r>
              <w:rPr/>
              <w:t>11,903</w:t>
            </w:r>
          </w:p>
        </w:tc>
        <w:tc>
          <w:tcPr>
            <w:tcW w:w="141" w:type="dxa"/>
            <w:tcBorders/>
            <w:shd w:fill="B2B2B2" w:val="clear"/>
            <w:vAlign w:val="center"/>
          </w:tcPr>
          <w:p>
            <w:pPr>
              <w:pStyle w:val="TableContents"/>
              <w:bidi w:val="0"/>
              <w:spacing w:before="0" w:after="283"/>
              <w:jc w:val="left"/>
              <w:rPr/>
            </w:pPr>
            <w:r>
              <w:rPr/>
              <w:t>​</w:t>
            </w:r>
          </w:p>
        </w:tc>
        <w:tc>
          <w:tcPr>
            <w:tcW w:w="154" w:type="dxa"/>
            <w:tcBorders/>
            <w:shd w:fill="B2B2B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015" w:type="dxa"/>
            <w:tcBorders/>
            <w:vAlign w:val="center"/>
          </w:tcPr>
          <w:p>
            <w:pPr>
              <w:pStyle w:val="TableContents"/>
              <w:bidi w:val="0"/>
              <w:spacing w:before="0" w:after="283"/>
              <w:jc w:val="left"/>
              <w:rPr>
                <w:spacing w:val="-2"/>
              </w:rPr>
            </w:pPr>
            <w:r>
              <w:rPr>
                <w:spacing w:val="-2"/>
              </w:rPr>
              <w:t xml:space="preserve">William Jenkins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1" w:type="dxa"/>
            <w:tcBorders/>
            <w:vAlign w:val="center"/>
          </w:tcPr>
          <w:p>
            <w:pPr>
              <w:pStyle w:val="TableContents"/>
              <w:bidi w:val="0"/>
              <w:spacing w:before="0" w:after="283"/>
              <w:jc w:val="left"/>
              <w:rPr/>
            </w:pPr>
            <w:r>
              <w:rPr/>
              <w:t>​</w:t>
            </w:r>
          </w:p>
        </w:tc>
        <w:tc>
          <w:tcPr>
            <w:tcW w:w="141" w:type="dxa"/>
            <w:tcBorders/>
            <w:vAlign w:val="center"/>
          </w:tcPr>
          <w:p>
            <w:pPr>
              <w:pStyle w:val="TableContents"/>
              <w:bidi w:val="0"/>
              <w:spacing w:before="0" w:after="283"/>
              <w:jc w:val="right"/>
              <w:rPr/>
            </w:pPr>
            <w:r>
              <w:rPr/>
              <w:t>​</w:t>
            </w:r>
          </w:p>
        </w:tc>
        <w:tc>
          <w:tcPr>
            <w:tcW w:w="997" w:type="dxa"/>
            <w:tcBorders/>
            <w:vAlign w:val="center"/>
          </w:tcPr>
          <w:p>
            <w:pPr>
              <w:pStyle w:val="TableContents"/>
              <w:bidi w:val="0"/>
              <w:spacing w:before="0" w:after="283"/>
              <w:jc w:val="right"/>
              <w:rPr/>
            </w:pPr>
            <w:r>
              <w:rPr/>
              <w:t>1,417</w:t>
            </w:r>
          </w:p>
        </w:tc>
        <w:tc>
          <w:tcPr>
            <w:tcW w:w="141"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B2B2B2" w:val="clear"/>
            <w:vAlign w:val="center"/>
          </w:tcPr>
          <w:p>
            <w:pPr>
              <w:pStyle w:val="TableContents"/>
              <w:bidi w:val="0"/>
              <w:spacing w:before="0" w:after="283"/>
              <w:jc w:val="left"/>
              <w:rPr/>
            </w:pPr>
            <w:r>
              <w:rPr/>
              <w:t>​</w:t>
            </w:r>
          </w:p>
        </w:tc>
        <w:tc>
          <w:tcPr>
            <w:tcW w:w="2015" w:type="dxa"/>
            <w:tcBorders/>
            <w:shd w:fill="B2B2B2" w:val="clear"/>
            <w:vAlign w:val="center"/>
          </w:tcPr>
          <w:p>
            <w:pPr>
              <w:pStyle w:val="TableContents"/>
              <w:bidi w:val="0"/>
              <w:spacing w:before="0" w:after="283"/>
              <w:jc w:val="left"/>
              <w:rPr>
                <w:spacing w:val="-2"/>
              </w:rPr>
            </w:pPr>
            <w:r>
              <w:rPr>
                <w:spacing w:val="-2"/>
              </w:rPr>
              <w:t xml:space="preserve">Andrew Lampereur </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41" w:type="dxa"/>
            <w:tcBorders/>
            <w:shd w:fill="B2B2B2" w:val="clear"/>
            <w:vAlign w:val="center"/>
          </w:tcPr>
          <w:p>
            <w:pPr>
              <w:pStyle w:val="TableContents"/>
              <w:bidi w:val="0"/>
              <w:spacing w:before="0" w:after="283"/>
              <w:jc w:val="left"/>
              <w:rPr/>
            </w:pPr>
            <w:r>
              <w:rPr/>
              <w:t>​</w:t>
            </w:r>
          </w:p>
        </w:tc>
        <w:tc>
          <w:tcPr>
            <w:tcW w:w="141" w:type="dxa"/>
            <w:tcBorders/>
            <w:shd w:fill="B2B2B2" w:val="clear"/>
            <w:vAlign w:val="center"/>
          </w:tcPr>
          <w:p>
            <w:pPr>
              <w:pStyle w:val="TableContents"/>
              <w:bidi w:val="0"/>
              <w:spacing w:before="0" w:after="283"/>
              <w:jc w:val="right"/>
              <w:rPr/>
            </w:pPr>
            <w:r>
              <w:rPr/>
              <w:t>​</w:t>
            </w:r>
          </w:p>
        </w:tc>
        <w:tc>
          <w:tcPr>
            <w:tcW w:w="997" w:type="dxa"/>
            <w:tcBorders/>
            <w:shd w:fill="B2B2B2" w:val="clear"/>
            <w:vAlign w:val="center"/>
          </w:tcPr>
          <w:p>
            <w:pPr>
              <w:pStyle w:val="TableContents"/>
              <w:bidi w:val="0"/>
              <w:spacing w:before="0" w:after="283"/>
              <w:jc w:val="right"/>
              <w:rPr/>
            </w:pPr>
            <w:r>
              <w:rPr/>
              <w:t>21,164</w:t>
            </w:r>
          </w:p>
        </w:tc>
        <w:tc>
          <w:tcPr>
            <w:tcW w:w="141" w:type="dxa"/>
            <w:tcBorders/>
            <w:shd w:fill="B2B2B2" w:val="clear"/>
            <w:vAlign w:val="center"/>
          </w:tcPr>
          <w:p>
            <w:pPr>
              <w:pStyle w:val="TableContents"/>
              <w:bidi w:val="0"/>
              <w:spacing w:before="0" w:after="283"/>
              <w:jc w:val="left"/>
              <w:rPr/>
            </w:pPr>
            <w:r>
              <w:rPr/>
              <w:t>​</w:t>
            </w:r>
          </w:p>
        </w:tc>
        <w:tc>
          <w:tcPr>
            <w:tcW w:w="154" w:type="dxa"/>
            <w:tcBorders/>
            <w:shd w:fill="B2B2B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015" w:type="dxa"/>
            <w:tcBorders/>
            <w:vAlign w:val="center"/>
          </w:tcPr>
          <w:p>
            <w:pPr>
              <w:pStyle w:val="TableContents"/>
              <w:bidi w:val="0"/>
              <w:spacing w:before="0" w:after="283"/>
              <w:jc w:val="left"/>
              <w:rPr>
                <w:spacing w:val="-2"/>
              </w:rPr>
            </w:pPr>
            <w:r>
              <w:rPr>
                <w:spacing w:val="-2"/>
              </w:rPr>
              <w:t xml:space="preserve">Bennett Morgan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1" w:type="dxa"/>
            <w:tcBorders/>
            <w:vAlign w:val="center"/>
          </w:tcPr>
          <w:p>
            <w:pPr>
              <w:pStyle w:val="TableContents"/>
              <w:bidi w:val="0"/>
              <w:spacing w:before="0" w:after="283"/>
              <w:jc w:val="left"/>
              <w:rPr/>
            </w:pPr>
            <w:r>
              <w:rPr/>
              <w:t>​</w:t>
            </w:r>
          </w:p>
        </w:tc>
        <w:tc>
          <w:tcPr>
            <w:tcW w:w="141" w:type="dxa"/>
            <w:tcBorders/>
            <w:vAlign w:val="center"/>
          </w:tcPr>
          <w:p>
            <w:pPr>
              <w:pStyle w:val="TableContents"/>
              <w:bidi w:val="0"/>
              <w:spacing w:before="0" w:after="283"/>
              <w:jc w:val="right"/>
              <w:rPr/>
            </w:pPr>
            <w:r>
              <w:rPr/>
              <w:t>​</w:t>
            </w:r>
          </w:p>
        </w:tc>
        <w:tc>
          <w:tcPr>
            <w:tcW w:w="997" w:type="dxa"/>
            <w:tcBorders/>
            <w:vAlign w:val="center"/>
          </w:tcPr>
          <w:p>
            <w:pPr>
              <w:pStyle w:val="TableContents"/>
              <w:bidi w:val="0"/>
              <w:spacing w:before="0" w:after="283"/>
              <w:jc w:val="right"/>
              <w:rPr/>
            </w:pPr>
            <w:r>
              <w:rPr/>
              <w:t>14,458</w:t>
            </w:r>
          </w:p>
        </w:tc>
        <w:tc>
          <w:tcPr>
            <w:tcW w:w="141"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B2B2B2" w:val="clear"/>
            <w:vAlign w:val="center"/>
          </w:tcPr>
          <w:p>
            <w:pPr>
              <w:pStyle w:val="TableContents"/>
              <w:bidi w:val="0"/>
              <w:spacing w:before="0" w:after="283"/>
              <w:jc w:val="left"/>
              <w:rPr/>
            </w:pPr>
            <w:r>
              <w:rPr/>
              <w:t>​</w:t>
            </w:r>
          </w:p>
        </w:tc>
        <w:tc>
          <w:tcPr>
            <w:tcW w:w="2015" w:type="dxa"/>
            <w:tcBorders/>
            <w:shd w:fill="B2B2B2" w:val="clear"/>
            <w:vAlign w:val="center"/>
          </w:tcPr>
          <w:p>
            <w:pPr>
              <w:pStyle w:val="TableContents"/>
              <w:bidi w:val="0"/>
              <w:spacing w:before="0" w:after="283"/>
              <w:jc w:val="left"/>
              <w:rPr>
                <w:spacing w:val="-2"/>
              </w:rPr>
            </w:pPr>
            <w:r>
              <w:rPr>
                <w:spacing w:val="-2"/>
              </w:rPr>
              <w:t xml:space="preserve">Nam Nguyen </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41" w:type="dxa"/>
            <w:tcBorders/>
            <w:shd w:fill="B2B2B2" w:val="clear"/>
            <w:vAlign w:val="center"/>
          </w:tcPr>
          <w:p>
            <w:pPr>
              <w:pStyle w:val="TableContents"/>
              <w:bidi w:val="0"/>
              <w:spacing w:before="0" w:after="283"/>
              <w:jc w:val="left"/>
              <w:rPr/>
            </w:pPr>
            <w:r>
              <w:rPr/>
              <w:t>​</w:t>
            </w:r>
          </w:p>
        </w:tc>
        <w:tc>
          <w:tcPr>
            <w:tcW w:w="141" w:type="dxa"/>
            <w:tcBorders/>
            <w:shd w:fill="B2B2B2" w:val="clear"/>
            <w:vAlign w:val="center"/>
          </w:tcPr>
          <w:p>
            <w:pPr>
              <w:pStyle w:val="TableContents"/>
              <w:bidi w:val="0"/>
              <w:spacing w:before="0" w:after="283"/>
              <w:jc w:val="right"/>
              <w:rPr/>
            </w:pPr>
            <w:r>
              <w:rPr/>
              <w:t>​</w:t>
            </w:r>
          </w:p>
        </w:tc>
        <w:tc>
          <w:tcPr>
            <w:tcW w:w="997" w:type="dxa"/>
            <w:tcBorders/>
            <w:shd w:fill="B2B2B2" w:val="clear"/>
            <w:vAlign w:val="center"/>
          </w:tcPr>
          <w:p>
            <w:pPr>
              <w:pStyle w:val="TableContents"/>
              <w:bidi w:val="0"/>
              <w:spacing w:before="0" w:after="283"/>
              <w:jc w:val="right"/>
              <w:rPr/>
            </w:pPr>
            <w:r>
              <w:rPr/>
              <w:t>—</w:t>
            </w:r>
          </w:p>
        </w:tc>
        <w:tc>
          <w:tcPr>
            <w:tcW w:w="141" w:type="dxa"/>
            <w:tcBorders/>
            <w:shd w:fill="B2B2B2" w:val="clear"/>
            <w:vAlign w:val="center"/>
          </w:tcPr>
          <w:p>
            <w:pPr>
              <w:pStyle w:val="TableContents"/>
              <w:bidi w:val="0"/>
              <w:spacing w:before="0" w:after="283"/>
              <w:jc w:val="left"/>
              <w:rPr/>
            </w:pPr>
            <w:r>
              <w:rPr/>
              <w:t>​</w:t>
            </w:r>
          </w:p>
        </w:tc>
        <w:tc>
          <w:tcPr>
            <w:tcW w:w="154" w:type="dxa"/>
            <w:tcBorders/>
            <w:shd w:fill="B2B2B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015" w:type="dxa"/>
            <w:tcBorders/>
            <w:vAlign w:val="center"/>
          </w:tcPr>
          <w:p>
            <w:pPr>
              <w:pStyle w:val="TableContents"/>
              <w:bidi w:val="0"/>
              <w:spacing w:before="0" w:after="283"/>
              <w:jc w:val="left"/>
              <w:rPr>
                <w:spacing w:val="-2"/>
              </w:rPr>
            </w:pPr>
            <w:r>
              <w:rPr>
                <w:spacing w:val="-2"/>
              </w:rPr>
              <w:t xml:space="preserve">David A. Ramon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1" w:type="dxa"/>
            <w:tcBorders/>
            <w:vAlign w:val="center"/>
          </w:tcPr>
          <w:p>
            <w:pPr>
              <w:pStyle w:val="TableContents"/>
              <w:bidi w:val="0"/>
              <w:spacing w:before="0" w:after="283"/>
              <w:jc w:val="left"/>
              <w:rPr/>
            </w:pPr>
            <w:r>
              <w:rPr/>
              <w:t>​</w:t>
            </w:r>
          </w:p>
        </w:tc>
        <w:tc>
          <w:tcPr>
            <w:tcW w:w="141" w:type="dxa"/>
            <w:tcBorders/>
            <w:vAlign w:val="center"/>
          </w:tcPr>
          <w:p>
            <w:pPr>
              <w:pStyle w:val="TableContents"/>
              <w:bidi w:val="0"/>
              <w:spacing w:before="0" w:after="283"/>
              <w:jc w:val="right"/>
              <w:rPr/>
            </w:pPr>
            <w:r>
              <w:rPr/>
              <w:t>​</w:t>
            </w:r>
          </w:p>
        </w:tc>
        <w:tc>
          <w:tcPr>
            <w:tcW w:w="997" w:type="dxa"/>
            <w:tcBorders/>
            <w:vAlign w:val="center"/>
          </w:tcPr>
          <w:p>
            <w:pPr>
              <w:pStyle w:val="TableContents"/>
              <w:bidi w:val="0"/>
              <w:spacing w:before="0" w:after="283"/>
              <w:jc w:val="right"/>
              <w:rPr/>
            </w:pPr>
            <w:r>
              <w:rPr/>
              <w:t>7,946</w:t>
            </w:r>
          </w:p>
        </w:tc>
        <w:tc>
          <w:tcPr>
            <w:tcW w:w="141"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2015" w:type="dxa"/>
            <w:tcBorders>
              <w:bottom w:val="single" w:sz="2" w:space="0" w:color="000000"/>
            </w:tcBorders>
            <w:shd w:fill="B2B2B2" w:val="clear"/>
            <w:tcMar>
              <w:bottom w:w="50" w:type="dxa"/>
            </w:tcMar>
            <w:vAlign w:val="center"/>
          </w:tcPr>
          <w:p>
            <w:pPr>
              <w:pStyle w:val="TableContents"/>
              <w:bidi w:val="0"/>
              <w:spacing w:before="0" w:after="283"/>
              <w:jc w:val="left"/>
              <w:rPr>
                <w:spacing w:val="-2"/>
              </w:rPr>
            </w:pPr>
            <w:r>
              <w:rPr>
                <w:spacing w:val="-2"/>
              </w:rPr>
              <w:t xml:space="preserve">Dominick Zarcone </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41"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41" w:type="dxa"/>
            <w:tcBorders>
              <w:bottom w:val="single" w:sz="2" w:space="0" w:color="000000"/>
            </w:tcBorders>
            <w:shd w:fill="B2B2B2" w:val="clear"/>
            <w:tcMar>
              <w:bottom w:w="50" w:type="dxa"/>
            </w:tcMar>
            <w:vAlign w:val="center"/>
          </w:tcPr>
          <w:p>
            <w:pPr>
              <w:pStyle w:val="TableContents"/>
              <w:bidi w:val="0"/>
              <w:spacing w:before="0" w:after="283"/>
              <w:jc w:val="right"/>
              <w:rPr/>
            </w:pPr>
            <w:r>
              <w:rPr/>
              <w:t>​</w:t>
            </w:r>
          </w:p>
        </w:tc>
        <w:tc>
          <w:tcPr>
            <w:tcW w:w="997" w:type="dxa"/>
            <w:tcBorders>
              <w:bottom w:val="single" w:sz="2" w:space="0" w:color="000000"/>
            </w:tcBorders>
            <w:shd w:fill="B2B2B2" w:val="clear"/>
            <w:tcMar>
              <w:bottom w:w="50" w:type="dxa"/>
            </w:tcMar>
            <w:vAlign w:val="center"/>
          </w:tcPr>
          <w:p>
            <w:pPr>
              <w:pStyle w:val="TableContents"/>
              <w:bidi w:val="0"/>
              <w:spacing w:before="0" w:after="283"/>
              <w:jc w:val="right"/>
              <w:rPr/>
            </w:pPr>
            <w:r>
              <w:rPr/>
              <w:t>15,845</w:t>
            </w:r>
          </w:p>
        </w:tc>
        <w:tc>
          <w:tcPr>
            <w:tcW w:w="141"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54"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r>
    </w:tbl>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232"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Mr. Bowlin retired from the Board at the end of his term at the 2025 annual meeting.</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47320" distB="0" distL="0" distR="0" simplePos="0" locked="0" layoutInCell="1" allowOverlap="1" relativeHeight="341">
                <wp:simplePos x="0" y="0"/>
                <wp:positionH relativeFrom="column">
                  <wp:align>left</wp:align>
                </wp:positionH>
                <wp:positionV relativeFrom="line">
                  <wp:align>top</wp:align>
                </wp:positionV>
                <wp:extent cx="254000" cy="330200"/>
                <wp:effectExtent l="0" t="0" r="0" b="0"/>
                <wp:wrapSquare wrapText="right"/>
                <wp:docPr id="328" name="Frame210"/>
                <a:graphic xmlns:a="http://schemas.openxmlformats.org/drawingml/2006/main">
                  <a:graphicData uri="http://schemas.microsoft.com/office/word/2010/wordprocessingShape">
                    <wps:wsp>
                      <wps:cNvSpPr txBox="1"/>
                      <wps:spPr>
                        <a:xfrm>
                          <a:off x="0" y="0"/>
                          <a:ext cx="254000" cy="330200"/>
                        </a:xfrm>
                        <a:prstGeom prst="rect"/>
                        <a:solidFill>
                          <a:srgbClr val="FFFFFF"/>
                        </a:solidFill>
                      </wps:spPr>
                      <wps:txbx>
                        <w:txbxContent>
                          <w:p>
                            <w:pPr>
                              <w:pStyle w:val="TextBody"/>
                              <w:bidi w:val="0"/>
                              <w:spacing w:lineRule="atLeast" w:line="260" w:before="0" w:after="283"/>
                              <w:jc w:val="left"/>
                              <w:rPr>
                                <w:sz w:val="22"/>
                              </w:rPr>
                            </w:pPr>
                            <w:r>
                              <w:rPr>
                                <w:spacing w:val="-2"/>
                                <w:sz w:val="22"/>
                              </w:rPr>
                              <w:t>(3)</w:t>
                            </w:r>
                            <w:r>
                              <w:rPr>
                                <w:sz w:val="22"/>
                              </w:rPr>
                              <w:t xml:space="preserve"> </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11.6pt;mso-wrap-distance-bottom:0pt;margin-top:11.6pt;mso-position-vertical:top;mso-position-vertical-relative:text;margin-left:0pt;mso-position-horizontal:left;mso-position-horizontal-relative:text">
                <v:textbox>
                  <w:txbxContent>
                    <w:p>
                      <w:pPr>
                        <w:pStyle w:val="TextBody"/>
                        <w:bidi w:val="0"/>
                        <w:spacing w:lineRule="atLeast" w:line="260" w:before="0" w:after="283"/>
                        <w:jc w:val="left"/>
                        <w:rPr>
                          <w:sz w:val="22"/>
                        </w:rPr>
                      </w:pPr>
                      <w:r>
                        <w:rPr>
                          <w:spacing w:val="-2"/>
                          <w:sz w:val="22"/>
                        </w:rPr>
                        <w:t>(3)</w:t>
                      </w:r>
                      <w:r>
                        <w:rPr>
                          <w:sz w:val="22"/>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72"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Mr. Jenkins has met the minimum stock ownership requirements and elected to receive his annual equity retainer in the form of cash.</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45720" distB="0" distL="0" distR="0" simplePos="0" locked="0" layoutInCell="1" allowOverlap="1" relativeHeight="342">
                <wp:simplePos x="0" y="0"/>
                <wp:positionH relativeFrom="column">
                  <wp:align>left</wp:align>
                </wp:positionH>
                <wp:positionV relativeFrom="line">
                  <wp:align>top</wp:align>
                </wp:positionV>
                <wp:extent cx="254000" cy="330200"/>
                <wp:effectExtent l="0" t="0" r="0" b="0"/>
                <wp:wrapSquare wrapText="right"/>
                <wp:docPr id="329" name="Frame211"/>
                <a:graphic xmlns:a="http://schemas.openxmlformats.org/drawingml/2006/main">
                  <a:graphicData uri="http://schemas.microsoft.com/office/word/2010/wordprocessingShape">
                    <wps:wsp>
                      <wps:cNvSpPr txBox="1"/>
                      <wps:spPr>
                        <a:xfrm>
                          <a:off x="0" y="0"/>
                          <a:ext cx="254000" cy="330200"/>
                        </a:xfrm>
                        <a:prstGeom prst="rect"/>
                        <a:solidFill>
                          <a:srgbClr val="FFFFFF"/>
                        </a:solidFill>
                      </wps:spPr>
                      <wps:txbx>
                        <w:txbxContent>
                          <w:p>
                            <w:pPr>
                              <w:pStyle w:val="TextBody"/>
                              <w:bidi w:val="0"/>
                              <w:spacing w:lineRule="atLeast" w:line="260" w:before="0" w:after="283"/>
                              <w:jc w:val="left"/>
                              <w:rPr>
                                <w:sz w:val="22"/>
                              </w:rPr>
                            </w:pPr>
                            <w:r>
                              <w:rPr>
                                <w:spacing w:val="-2"/>
                                <w:sz w:val="22"/>
                              </w:rPr>
                              <w:t>(4)</w:t>
                            </w:r>
                            <w:r>
                              <w:rPr>
                                <w:sz w:val="22"/>
                              </w:rPr>
                              <w:t xml:space="preserve"> </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3.6pt;mso-wrap-distance-bottom:0pt;margin-top:3.6pt;mso-position-vertical:top;mso-position-vertical-relative:text;margin-left:0pt;mso-position-horizontal:left;mso-position-horizontal-relative:text">
                <v:textbox>
                  <w:txbxContent>
                    <w:p>
                      <w:pPr>
                        <w:pStyle w:val="TextBody"/>
                        <w:bidi w:val="0"/>
                        <w:spacing w:lineRule="atLeast" w:line="260" w:before="0" w:after="283"/>
                        <w:jc w:val="left"/>
                        <w:rPr>
                          <w:sz w:val="22"/>
                        </w:rPr>
                      </w:pPr>
                      <w:r>
                        <w:rPr>
                          <w:spacing w:val="-2"/>
                          <w:sz w:val="22"/>
                        </w:rPr>
                        <w:t>(4)</w:t>
                      </w:r>
                      <w:r>
                        <w:rPr>
                          <w:sz w:val="22"/>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330"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108" descr=""/>
                          <pic:cNvPicPr>
                            <a:picLocks noChangeAspect="1" noChangeArrowheads="1"/>
                          </pic:cNvPicPr>
                        </pic:nvPicPr>
                        <pic:blipFill>
                          <a:blip r:embed="rId120"/>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57</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rFonts w:ascii="Arial;Helvetica;sans-serif" w:hAnsi="Arial;Helvetica;sans-serif"/>
          <w:b w:val="false"/>
          <w:i w:val="false"/>
          <w:caps w:val="false"/>
          <w:smallCaps w:val="false"/>
          <w:color w:val="FF6A00"/>
          <w:sz w:val="22"/>
        </w:rPr>
      </w:pPr>
      <w:r>
        <w:rPr>
          <w:rFonts w:ascii="Arial;Helvetica;sans-serif" w:hAnsi="Arial;Helvetica;sans-serif"/>
          <w:b w:val="false"/>
          <w:i w:val="false"/>
          <w:caps w:val="false"/>
          <w:smallCaps w:val="false"/>
          <w:color w:val="FF6A00"/>
          <w:spacing w:val="-2"/>
          <w:sz w:val="22"/>
        </w:rPr>
        <w:t xml:space="preserve">2025 </w:t>
      </w:r>
      <w:r>
        <w:rPr>
          <w:rFonts w:ascii="Arial;Helvetica;sans-serif" w:hAnsi="Arial;Helvetica;sans-serif"/>
          <w:b w:val="false"/>
          <w:i w:val="false"/>
          <w:caps/>
          <w:color w:val="FF6A00"/>
          <w:spacing w:val="-2"/>
          <w:sz w:val="22"/>
        </w:rPr>
        <w:t>Director Compensation</w:t>
      </w:r>
      <w:r>
        <w:rPr>
          <w:rFonts w:ascii="Arial;Helvetica;sans-serif" w:hAnsi="Arial;Helvetica;sans-serif"/>
          <w:b w:val="false"/>
          <w:i w:val="false"/>
          <w:caps w:val="false"/>
          <w:smallCaps w:val="false"/>
          <w:color w:val="FF6A00"/>
          <w:sz w:val="22"/>
        </w:rPr>
        <w:t xml:space="preserve"> </w:t>
      </w:r>
    </w:p>
    <w:p>
      <w:pPr>
        <w:pStyle w:val="TextBody"/>
        <w:bidi w:val="0"/>
        <w:spacing w:lineRule="atLeast" w:line="250" w:before="480" w:after="283"/>
        <w:ind w:left="11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Non-employee directors are subject to our stock ownership policy described under “Stock Ownership and Retention Guidelines.” Non-employee directors have five years to meet their minimum ownership requirement. All non-employee directors are compliant with the applicable stock ownership guidelines.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60" w:before="240" w:after="283"/>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2"/>
          <w:sz w:val="22"/>
        </w:rPr>
        <w:t>Non-Employee Director Pay</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Non-employee directors receive an annual cash retainer of $90,000, paid on a quarterly basis, and an annual equity grant valued at $155,000. The additional annual retainer paid to the Chair of the Audit Committee is $25,000, the additional annual retainer paid to the Chair of the Human Capital and Compensation Committee is $20,000, the additional annual retainer paid to the Chair of the Nominating and Corporate Governance Committee is $15,000, and the additional annual retainer paid to the Lead Director is $30,000. The annual equity grant is made in the form of fully vested shares of our common stock; however, any director who has met the minimum stock ownership requirement may elect to receive the value of the annual equity grant in cash. Our non-employee directors are reimbursed for out-of-pocket expenses incurred in connection with rendering board services.</w:t>
      </w:r>
      <w:r>
        <w:rPr>
          <w:rFonts w:ascii="Arial;Helvetica;sans-serif" w:hAnsi="Arial;Helvetica;sans-serif"/>
          <w:b w:val="false"/>
          <w:i w:val="false"/>
          <w:caps w:val="false"/>
          <w:smallCaps w:val="false"/>
          <w:color w:val="000000"/>
          <w:spacing w:val="4"/>
          <w:sz w:val="22"/>
        </w:rPr>
        <w:t xml:space="preserve"> </w:t>
      </w:r>
    </w:p>
    <w:tbl>
      <w:tblPr>
        <w:tblW w:w="7406" w:type="dxa"/>
        <w:jc w:val="left"/>
        <w:tblInd w:w="1140" w:type="dxa"/>
        <w:tblLayout w:type="fixed"/>
        <w:tblCellMar>
          <w:top w:w="0" w:type="dxa"/>
          <w:left w:w="0" w:type="dxa"/>
          <w:bottom w:w="0" w:type="dxa"/>
          <w:right w:w="0" w:type="dxa"/>
        </w:tblCellMar>
      </w:tblPr>
      <w:tblGrid>
        <w:gridCol w:w="124"/>
        <w:gridCol w:w="5516"/>
        <w:gridCol w:w="109"/>
        <w:gridCol w:w="109"/>
        <w:gridCol w:w="114"/>
        <w:gridCol w:w="237"/>
        <w:gridCol w:w="929"/>
        <w:gridCol w:w="114"/>
        <w:gridCol w:w="154"/>
      </w:tblGrid>
      <w:tr>
        <w:trPr/>
        <w:tc>
          <w:tcPr>
            <w:tcW w:w="124" w:type="dxa"/>
            <w:tcBorders/>
            <w:shd w:fill="FF6A00" w:val="clear"/>
            <w:vAlign w:val="center"/>
          </w:tcPr>
          <w:p>
            <w:pPr>
              <w:pStyle w:val="TableContents"/>
              <w:bidi w:val="0"/>
              <w:spacing w:before="0" w:after="283"/>
              <w:jc w:val="left"/>
              <w:rPr/>
            </w:pPr>
            <w:r>
              <w:rPr/>
              <w:t>​</w:t>
            </w:r>
          </w:p>
        </w:tc>
        <w:tc>
          <w:tcPr>
            <w:tcW w:w="5516"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394" w:type="dxa"/>
            <w:gridSpan w:val="4"/>
            <w:tcBorders/>
            <w:shd w:fill="FF6A00" w:val="clear"/>
            <w:vAlign w:val="center"/>
          </w:tcPr>
          <w:p>
            <w:pPr>
              <w:pStyle w:val="TableContents"/>
              <w:bidi w:val="0"/>
              <w:spacing w:before="0" w:after="0"/>
              <w:jc w:val="center"/>
              <w:rPr>
                <w:spacing w:val="-2"/>
              </w:rPr>
            </w:pPr>
            <w:r>
              <w:rPr>
                <w:spacing w:val="-2"/>
              </w:rPr>
              <w:t xml:space="preserve">2025 Annual </w:t>
              <w:br/>
              <w:t xml:space="preserve">Retainers </w:t>
            </w:r>
          </w:p>
        </w:tc>
        <w:tc>
          <w:tcPr>
            <w:tcW w:w="154" w:type="dxa"/>
            <w:tcBorders/>
            <w:shd w:fill="FF6A00"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516" w:type="dxa"/>
            <w:tcBorders/>
            <w:vAlign w:val="center"/>
          </w:tcPr>
          <w:p>
            <w:pPr>
              <w:pStyle w:val="TableContents"/>
              <w:bidi w:val="0"/>
              <w:spacing w:before="0" w:after="283"/>
              <w:jc w:val="left"/>
              <w:rPr/>
            </w:pPr>
            <w:r>
              <w:rPr>
                <w:spacing w:val="-2"/>
              </w:rPr>
              <w:t>Board 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 w:type="dxa"/>
            <w:tcBorders/>
            <w:vAlign w:val="center"/>
          </w:tcPr>
          <w:p>
            <w:pPr>
              <w:pStyle w:val="TableContents"/>
              <w:bidi w:val="0"/>
              <w:spacing w:before="0" w:after="283"/>
              <w:jc w:val="left"/>
              <w:rPr/>
            </w:pPr>
            <w:r>
              <w:rPr/>
              <w:t>​</w:t>
            </w:r>
          </w:p>
        </w:tc>
        <w:tc>
          <w:tcPr>
            <w:tcW w:w="237" w:type="dxa"/>
            <w:tcBorders/>
            <w:vAlign w:val="center"/>
          </w:tcPr>
          <w:p>
            <w:pPr>
              <w:pStyle w:val="TableContents"/>
              <w:bidi w:val="0"/>
              <w:spacing w:before="0" w:after="283"/>
              <w:jc w:val="right"/>
              <w:rPr/>
            </w:pPr>
            <w:r>
              <w:rPr/>
              <w:t>​</w:t>
            </w:r>
          </w:p>
        </w:tc>
        <w:tc>
          <w:tcPr>
            <w:tcW w:w="929" w:type="dxa"/>
            <w:tcBorders/>
            <w:vAlign w:val="center"/>
          </w:tcPr>
          <w:p>
            <w:pPr>
              <w:pStyle w:val="TableContents"/>
              <w:bidi w:val="0"/>
              <w:spacing w:before="0" w:after="283"/>
              <w:jc w:val="right"/>
              <w:rPr/>
            </w:pPr>
            <w:r>
              <w:rPr/>
              <w:t>​</w:t>
            </w:r>
          </w:p>
        </w:tc>
        <w:tc>
          <w:tcPr>
            <w:tcW w:w="114"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B2B2B2" w:val="clear"/>
            <w:vAlign w:val="center"/>
          </w:tcPr>
          <w:p>
            <w:pPr>
              <w:pStyle w:val="TableContents"/>
              <w:bidi w:val="0"/>
              <w:spacing w:before="0" w:after="283"/>
              <w:jc w:val="left"/>
              <w:rPr/>
            </w:pPr>
            <w:r>
              <w:rPr/>
              <w:t>​</w:t>
            </w:r>
          </w:p>
        </w:tc>
        <w:tc>
          <w:tcPr>
            <w:tcW w:w="5516" w:type="dxa"/>
            <w:tcBorders/>
            <w:shd w:fill="B2B2B2" w:val="clear"/>
            <w:vAlign w:val="center"/>
          </w:tcPr>
          <w:p>
            <w:pPr>
              <w:pStyle w:val="TableContents"/>
              <w:bidi w:val="0"/>
              <w:spacing w:before="0" w:after="0"/>
              <w:ind w:left="200" w:right="0" w:hanging="0"/>
              <w:jc w:val="left"/>
              <w:rPr>
                <w:spacing w:val="-2"/>
              </w:rPr>
            </w:pPr>
            <w:r>
              <w:rPr>
                <w:spacing w:val="-2"/>
              </w:rPr>
              <w:t xml:space="preserve">Annual Cash Retainer </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14" w:type="dxa"/>
            <w:tcBorders/>
            <w:shd w:fill="B2B2B2" w:val="clear"/>
            <w:vAlign w:val="center"/>
          </w:tcPr>
          <w:p>
            <w:pPr>
              <w:pStyle w:val="TableContents"/>
              <w:bidi w:val="0"/>
              <w:spacing w:before="0" w:after="283"/>
              <w:jc w:val="left"/>
              <w:rPr/>
            </w:pPr>
            <w:r>
              <w:rPr/>
              <w:t>​</w:t>
            </w:r>
          </w:p>
        </w:tc>
        <w:tc>
          <w:tcPr>
            <w:tcW w:w="237" w:type="dxa"/>
            <w:tcBorders/>
            <w:shd w:fill="B2B2B2" w:val="clear"/>
            <w:vAlign w:val="center"/>
          </w:tcPr>
          <w:p>
            <w:pPr>
              <w:pStyle w:val="TableContents"/>
              <w:bidi w:val="0"/>
              <w:spacing w:before="0" w:after="283"/>
              <w:jc w:val="right"/>
              <w:rPr/>
            </w:pPr>
            <w:r>
              <w:rPr/>
              <w:t>$</w:t>
            </w:r>
          </w:p>
        </w:tc>
        <w:tc>
          <w:tcPr>
            <w:tcW w:w="929" w:type="dxa"/>
            <w:tcBorders/>
            <w:shd w:fill="B2B2B2" w:val="clear"/>
            <w:vAlign w:val="center"/>
          </w:tcPr>
          <w:p>
            <w:pPr>
              <w:pStyle w:val="TableContents"/>
              <w:bidi w:val="0"/>
              <w:spacing w:before="0" w:after="283"/>
              <w:jc w:val="right"/>
              <w:rPr/>
            </w:pPr>
            <w:r>
              <w:rPr/>
              <w:t>90,000</w:t>
            </w:r>
          </w:p>
        </w:tc>
        <w:tc>
          <w:tcPr>
            <w:tcW w:w="114" w:type="dxa"/>
            <w:tcBorders/>
            <w:shd w:fill="B2B2B2" w:val="clear"/>
            <w:vAlign w:val="center"/>
          </w:tcPr>
          <w:p>
            <w:pPr>
              <w:pStyle w:val="TableContents"/>
              <w:bidi w:val="0"/>
              <w:spacing w:before="0" w:after="283"/>
              <w:jc w:val="left"/>
              <w:rPr/>
            </w:pPr>
            <w:r>
              <w:rPr/>
              <w:t>​</w:t>
            </w:r>
          </w:p>
        </w:tc>
        <w:tc>
          <w:tcPr>
            <w:tcW w:w="154" w:type="dxa"/>
            <w:tcBorders/>
            <w:shd w:fill="B2B2B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516" w:type="dxa"/>
            <w:tcBorders/>
            <w:vAlign w:val="center"/>
          </w:tcPr>
          <w:p>
            <w:pPr>
              <w:pStyle w:val="TableContents"/>
              <w:bidi w:val="0"/>
              <w:spacing w:before="0" w:after="0"/>
              <w:ind w:left="200" w:right="0" w:hanging="0"/>
              <w:jc w:val="left"/>
              <w:rPr>
                <w:spacing w:val="-2"/>
              </w:rPr>
            </w:pPr>
            <w:r>
              <w:rPr>
                <w:spacing w:val="-2"/>
              </w:rPr>
              <w:t xml:space="preserve">Annual Equity Retainer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 w:type="dxa"/>
            <w:tcBorders/>
            <w:vAlign w:val="center"/>
          </w:tcPr>
          <w:p>
            <w:pPr>
              <w:pStyle w:val="TableContents"/>
              <w:bidi w:val="0"/>
              <w:spacing w:before="0" w:after="283"/>
              <w:jc w:val="left"/>
              <w:rPr/>
            </w:pPr>
            <w:r>
              <w:rPr/>
              <w:t>​</w:t>
            </w:r>
          </w:p>
        </w:tc>
        <w:tc>
          <w:tcPr>
            <w:tcW w:w="237" w:type="dxa"/>
            <w:tcBorders/>
            <w:vAlign w:val="center"/>
          </w:tcPr>
          <w:p>
            <w:pPr>
              <w:pStyle w:val="TableContents"/>
              <w:bidi w:val="0"/>
              <w:spacing w:before="0" w:after="283"/>
              <w:jc w:val="right"/>
              <w:rPr/>
            </w:pPr>
            <w:r>
              <w:rPr/>
              <w:t>$</w:t>
            </w:r>
          </w:p>
        </w:tc>
        <w:tc>
          <w:tcPr>
            <w:tcW w:w="929" w:type="dxa"/>
            <w:tcBorders/>
            <w:vAlign w:val="center"/>
          </w:tcPr>
          <w:p>
            <w:pPr>
              <w:pStyle w:val="TableContents"/>
              <w:bidi w:val="0"/>
              <w:spacing w:before="0" w:after="283"/>
              <w:jc w:val="right"/>
              <w:rPr/>
            </w:pPr>
            <w:r>
              <w:rPr/>
              <w:t>155,000</w:t>
            </w:r>
          </w:p>
        </w:tc>
        <w:tc>
          <w:tcPr>
            <w:tcW w:w="114"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B2B2B2" w:val="clear"/>
            <w:vAlign w:val="center"/>
          </w:tcPr>
          <w:p>
            <w:pPr>
              <w:pStyle w:val="TableContents"/>
              <w:bidi w:val="0"/>
              <w:spacing w:before="0" w:after="283"/>
              <w:jc w:val="left"/>
              <w:rPr/>
            </w:pPr>
            <w:r>
              <w:rPr/>
              <w:t>​</w:t>
            </w:r>
          </w:p>
        </w:tc>
        <w:tc>
          <w:tcPr>
            <w:tcW w:w="5516" w:type="dxa"/>
            <w:tcBorders/>
            <w:shd w:fill="B2B2B2" w:val="clear"/>
            <w:vAlign w:val="center"/>
          </w:tcPr>
          <w:p>
            <w:pPr>
              <w:pStyle w:val="TableContents"/>
              <w:bidi w:val="0"/>
              <w:spacing w:before="0" w:after="283"/>
              <w:jc w:val="left"/>
              <w:rPr/>
            </w:pPr>
            <w:r>
              <w:rPr>
                <w:spacing w:val="-2"/>
              </w:rPr>
              <w:t>Additional Board Leadership Retainers</w:t>
            </w:r>
            <w:r>
              <w:rPr/>
              <w:t xml:space="preserve"> </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14" w:type="dxa"/>
            <w:tcBorders/>
            <w:shd w:fill="B2B2B2" w:val="clear"/>
            <w:vAlign w:val="center"/>
          </w:tcPr>
          <w:p>
            <w:pPr>
              <w:pStyle w:val="TableContents"/>
              <w:bidi w:val="0"/>
              <w:spacing w:before="0" w:after="283"/>
              <w:jc w:val="left"/>
              <w:rPr/>
            </w:pPr>
            <w:r>
              <w:rPr/>
              <w:t>​</w:t>
            </w:r>
          </w:p>
        </w:tc>
        <w:tc>
          <w:tcPr>
            <w:tcW w:w="237" w:type="dxa"/>
            <w:tcBorders/>
            <w:shd w:fill="B2B2B2" w:val="clear"/>
            <w:vAlign w:val="center"/>
          </w:tcPr>
          <w:p>
            <w:pPr>
              <w:pStyle w:val="TableContents"/>
              <w:bidi w:val="0"/>
              <w:spacing w:before="0" w:after="283"/>
              <w:jc w:val="right"/>
              <w:rPr/>
            </w:pPr>
            <w:r>
              <w:rPr/>
              <w:t>​</w:t>
            </w:r>
          </w:p>
        </w:tc>
        <w:tc>
          <w:tcPr>
            <w:tcW w:w="929" w:type="dxa"/>
            <w:tcBorders/>
            <w:shd w:fill="B2B2B2" w:val="clear"/>
            <w:vAlign w:val="center"/>
          </w:tcPr>
          <w:p>
            <w:pPr>
              <w:pStyle w:val="TableContents"/>
              <w:bidi w:val="0"/>
              <w:spacing w:before="0" w:after="283"/>
              <w:jc w:val="right"/>
              <w:rPr/>
            </w:pPr>
            <w:r>
              <w:rPr/>
              <w:t>​</w:t>
            </w:r>
          </w:p>
        </w:tc>
        <w:tc>
          <w:tcPr>
            <w:tcW w:w="114" w:type="dxa"/>
            <w:tcBorders/>
            <w:shd w:fill="B2B2B2" w:val="clear"/>
            <w:vAlign w:val="center"/>
          </w:tcPr>
          <w:p>
            <w:pPr>
              <w:pStyle w:val="TableContents"/>
              <w:bidi w:val="0"/>
              <w:spacing w:before="0" w:after="283"/>
              <w:jc w:val="left"/>
              <w:rPr/>
            </w:pPr>
            <w:r>
              <w:rPr/>
              <w:t>​</w:t>
            </w:r>
          </w:p>
        </w:tc>
        <w:tc>
          <w:tcPr>
            <w:tcW w:w="154" w:type="dxa"/>
            <w:tcBorders/>
            <w:shd w:fill="B2B2B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516" w:type="dxa"/>
            <w:tcBorders/>
            <w:vAlign w:val="center"/>
          </w:tcPr>
          <w:p>
            <w:pPr>
              <w:pStyle w:val="TableContents"/>
              <w:bidi w:val="0"/>
              <w:spacing w:before="0" w:after="0"/>
              <w:ind w:left="200" w:right="0" w:hanging="0"/>
              <w:jc w:val="left"/>
              <w:rPr>
                <w:spacing w:val="-2"/>
              </w:rPr>
            </w:pPr>
            <w:r>
              <w:rPr>
                <w:spacing w:val="-2"/>
              </w:rPr>
              <w:t xml:space="preserve">Lead Director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 w:type="dxa"/>
            <w:tcBorders/>
            <w:vAlign w:val="center"/>
          </w:tcPr>
          <w:p>
            <w:pPr>
              <w:pStyle w:val="TableContents"/>
              <w:bidi w:val="0"/>
              <w:spacing w:before="0" w:after="283"/>
              <w:jc w:val="left"/>
              <w:rPr/>
            </w:pPr>
            <w:r>
              <w:rPr/>
              <w:t>​</w:t>
            </w:r>
          </w:p>
        </w:tc>
        <w:tc>
          <w:tcPr>
            <w:tcW w:w="237" w:type="dxa"/>
            <w:tcBorders/>
            <w:vAlign w:val="center"/>
          </w:tcPr>
          <w:p>
            <w:pPr>
              <w:pStyle w:val="TableContents"/>
              <w:bidi w:val="0"/>
              <w:spacing w:before="0" w:after="283"/>
              <w:jc w:val="right"/>
              <w:rPr/>
            </w:pPr>
            <w:r>
              <w:rPr/>
              <w:t>$</w:t>
            </w:r>
          </w:p>
        </w:tc>
        <w:tc>
          <w:tcPr>
            <w:tcW w:w="929" w:type="dxa"/>
            <w:tcBorders/>
            <w:vAlign w:val="center"/>
          </w:tcPr>
          <w:p>
            <w:pPr>
              <w:pStyle w:val="TableContents"/>
              <w:bidi w:val="0"/>
              <w:spacing w:before="0" w:after="283"/>
              <w:jc w:val="right"/>
              <w:rPr/>
            </w:pPr>
            <w:r>
              <w:rPr/>
              <w:t>30,000</w:t>
            </w:r>
          </w:p>
        </w:tc>
        <w:tc>
          <w:tcPr>
            <w:tcW w:w="114"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B2B2B2" w:val="clear"/>
            <w:vAlign w:val="center"/>
          </w:tcPr>
          <w:p>
            <w:pPr>
              <w:pStyle w:val="TableContents"/>
              <w:bidi w:val="0"/>
              <w:spacing w:before="0" w:after="283"/>
              <w:jc w:val="left"/>
              <w:rPr/>
            </w:pPr>
            <w:r>
              <w:rPr/>
              <w:t>​</w:t>
            </w:r>
          </w:p>
        </w:tc>
        <w:tc>
          <w:tcPr>
            <w:tcW w:w="5516" w:type="dxa"/>
            <w:tcBorders/>
            <w:shd w:fill="B2B2B2" w:val="clear"/>
            <w:vAlign w:val="center"/>
          </w:tcPr>
          <w:p>
            <w:pPr>
              <w:pStyle w:val="TableContents"/>
              <w:bidi w:val="0"/>
              <w:spacing w:before="0" w:after="0"/>
              <w:ind w:left="200" w:right="0" w:hanging="0"/>
              <w:jc w:val="left"/>
              <w:rPr>
                <w:spacing w:val="-2"/>
              </w:rPr>
            </w:pPr>
            <w:r>
              <w:rPr>
                <w:spacing w:val="-2"/>
              </w:rPr>
              <w:t xml:space="preserve">Audit Committee Chair </w:t>
            </w:r>
          </w:p>
        </w:tc>
        <w:tc>
          <w:tcPr>
            <w:tcW w:w="109" w:type="dxa"/>
            <w:tcBorders/>
            <w:shd w:fill="B2B2B2" w:val="clear"/>
            <w:vAlign w:val="center"/>
          </w:tcPr>
          <w:p>
            <w:pPr>
              <w:pStyle w:val="TableContents"/>
              <w:bidi w:val="0"/>
              <w:spacing w:before="0" w:after="283"/>
              <w:jc w:val="left"/>
              <w:rPr/>
            </w:pPr>
            <w:r>
              <w:rPr/>
              <w:t>​</w:t>
            </w:r>
          </w:p>
        </w:tc>
        <w:tc>
          <w:tcPr>
            <w:tcW w:w="109" w:type="dxa"/>
            <w:tcBorders/>
            <w:shd w:fill="B2B2B2" w:val="clear"/>
            <w:vAlign w:val="center"/>
          </w:tcPr>
          <w:p>
            <w:pPr>
              <w:pStyle w:val="TableContents"/>
              <w:bidi w:val="0"/>
              <w:spacing w:before="0" w:after="283"/>
              <w:jc w:val="left"/>
              <w:rPr/>
            </w:pPr>
            <w:r>
              <w:rPr/>
              <w:t>​</w:t>
            </w:r>
          </w:p>
        </w:tc>
        <w:tc>
          <w:tcPr>
            <w:tcW w:w="114" w:type="dxa"/>
            <w:tcBorders/>
            <w:shd w:fill="B2B2B2" w:val="clear"/>
            <w:vAlign w:val="center"/>
          </w:tcPr>
          <w:p>
            <w:pPr>
              <w:pStyle w:val="TableContents"/>
              <w:bidi w:val="0"/>
              <w:spacing w:before="0" w:after="283"/>
              <w:jc w:val="left"/>
              <w:rPr/>
            </w:pPr>
            <w:r>
              <w:rPr/>
              <w:t>​</w:t>
            </w:r>
          </w:p>
        </w:tc>
        <w:tc>
          <w:tcPr>
            <w:tcW w:w="237" w:type="dxa"/>
            <w:tcBorders/>
            <w:shd w:fill="B2B2B2" w:val="clear"/>
            <w:vAlign w:val="center"/>
          </w:tcPr>
          <w:p>
            <w:pPr>
              <w:pStyle w:val="TableContents"/>
              <w:bidi w:val="0"/>
              <w:spacing w:before="0" w:after="283"/>
              <w:jc w:val="right"/>
              <w:rPr/>
            </w:pPr>
            <w:r>
              <w:rPr/>
              <w:t>$</w:t>
            </w:r>
          </w:p>
        </w:tc>
        <w:tc>
          <w:tcPr>
            <w:tcW w:w="929" w:type="dxa"/>
            <w:tcBorders/>
            <w:shd w:fill="B2B2B2" w:val="clear"/>
            <w:vAlign w:val="center"/>
          </w:tcPr>
          <w:p>
            <w:pPr>
              <w:pStyle w:val="TableContents"/>
              <w:bidi w:val="0"/>
              <w:spacing w:before="0" w:after="283"/>
              <w:jc w:val="right"/>
              <w:rPr/>
            </w:pPr>
            <w:r>
              <w:rPr/>
              <w:t>25,000</w:t>
            </w:r>
          </w:p>
        </w:tc>
        <w:tc>
          <w:tcPr>
            <w:tcW w:w="114" w:type="dxa"/>
            <w:tcBorders/>
            <w:shd w:fill="B2B2B2" w:val="clear"/>
            <w:vAlign w:val="center"/>
          </w:tcPr>
          <w:p>
            <w:pPr>
              <w:pStyle w:val="TableContents"/>
              <w:bidi w:val="0"/>
              <w:spacing w:before="0" w:after="283"/>
              <w:jc w:val="left"/>
              <w:rPr/>
            </w:pPr>
            <w:r>
              <w:rPr/>
              <w:t>​</w:t>
            </w:r>
          </w:p>
        </w:tc>
        <w:tc>
          <w:tcPr>
            <w:tcW w:w="154" w:type="dxa"/>
            <w:tcBorders/>
            <w:shd w:fill="B2B2B2"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516" w:type="dxa"/>
            <w:tcBorders/>
            <w:vAlign w:val="center"/>
          </w:tcPr>
          <w:p>
            <w:pPr>
              <w:pStyle w:val="TableContents"/>
              <w:bidi w:val="0"/>
              <w:spacing w:before="0" w:after="0"/>
              <w:ind w:left="200" w:right="0" w:hanging="0"/>
              <w:jc w:val="left"/>
              <w:rPr>
                <w:spacing w:val="-2"/>
              </w:rPr>
            </w:pPr>
            <w:r>
              <w:rPr>
                <w:spacing w:val="-2"/>
              </w:rPr>
              <w:t xml:space="preserve">Human Capital and Compensation Committee Chair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 w:type="dxa"/>
            <w:tcBorders/>
            <w:vAlign w:val="center"/>
          </w:tcPr>
          <w:p>
            <w:pPr>
              <w:pStyle w:val="TableContents"/>
              <w:bidi w:val="0"/>
              <w:spacing w:before="0" w:after="283"/>
              <w:jc w:val="left"/>
              <w:rPr/>
            </w:pPr>
            <w:r>
              <w:rPr/>
              <w:t>​</w:t>
            </w:r>
          </w:p>
        </w:tc>
        <w:tc>
          <w:tcPr>
            <w:tcW w:w="237" w:type="dxa"/>
            <w:tcBorders/>
            <w:vAlign w:val="center"/>
          </w:tcPr>
          <w:p>
            <w:pPr>
              <w:pStyle w:val="TableContents"/>
              <w:bidi w:val="0"/>
              <w:spacing w:before="0" w:after="283"/>
              <w:jc w:val="right"/>
              <w:rPr/>
            </w:pPr>
            <w:r>
              <w:rPr/>
              <w:t>$</w:t>
            </w:r>
          </w:p>
        </w:tc>
        <w:tc>
          <w:tcPr>
            <w:tcW w:w="929" w:type="dxa"/>
            <w:tcBorders/>
            <w:vAlign w:val="center"/>
          </w:tcPr>
          <w:p>
            <w:pPr>
              <w:pStyle w:val="TableContents"/>
              <w:bidi w:val="0"/>
              <w:spacing w:before="0" w:after="283"/>
              <w:jc w:val="right"/>
              <w:rPr/>
            </w:pPr>
            <w:r>
              <w:rPr/>
              <w:t>20,000</w:t>
            </w:r>
          </w:p>
        </w:tc>
        <w:tc>
          <w:tcPr>
            <w:tcW w:w="114"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5516" w:type="dxa"/>
            <w:tcBorders>
              <w:bottom w:val="single" w:sz="2" w:space="0" w:color="000000"/>
            </w:tcBorders>
            <w:shd w:fill="B2B2B2" w:val="clear"/>
            <w:tcMar>
              <w:bottom w:w="50" w:type="dxa"/>
            </w:tcMar>
            <w:vAlign w:val="center"/>
          </w:tcPr>
          <w:p>
            <w:pPr>
              <w:pStyle w:val="TableContents"/>
              <w:bidi w:val="0"/>
              <w:spacing w:before="0" w:after="0"/>
              <w:ind w:left="200" w:right="0" w:hanging="0"/>
              <w:jc w:val="left"/>
              <w:rPr>
                <w:spacing w:val="-2"/>
              </w:rPr>
            </w:pPr>
            <w:r>
              <w:rPr>
                <w:spacing w:val="-2"/>
              </w:rPr>
              <w:t xml:space="preserve">Nominating and Corporate Governance Committee Chair </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237" w:type="dxa"/>
            <w:tcBorders>
              <w:bottom w:val="single" w:sz="2" w:space="0" w:color="000000"/>
            </w:tcBorders>
            <w:shd w:fill="B2B2B2" w:val="clear"/>
            <w:tcMar>
              <w:bottom w:w="50" w:type="dxa"/>
            </w:tcMar>
            <w:vAlign w:val="center"/>
          </w:tcPr>
          <w:p>
            <w:pPr>
              <w:pStyle w:val="TableContents"/>
              <w:bidi w:val="0"/>
              <w:spacing w:before="0" w:after="283"/>
              <w:jc w:val="right"/>
              <w:rPr/>
            </w:pPr>
            <w:r>
              <w:rPr/>
              <w:t>$</w:t>
            </w:r>
          </w:p>
        </w:tc>
        <w:tc>
          <w:tcPr>
            <w:tcW w:w="929" w:type="dxa"/>
            <w:tcBorders>
              <w:bottom w:val="single" w:sz="2" w:space="0" w:color="000000"/>
            </w:tcBorders>
            <w:shd w:fill="B2B2B2" w:val="clear"/>
            <w:tcMar>
              <w:bottom w:w="50" w:type="dxa"/>
            </w:tcMar>
            <w:vAlign w:val="center"/>
          </w:tcPr>
          <w:p>
            <w:pPr>
              <w:pStyle w:val="TableContents"/>
              <w:bidi w:val="0"/>
              <w:spacing w:before="0" w:after="283"/>
              <w:jc w:val="right"/>
              <w:rPr/>
            </w:pPr>
            <w:r>
              <w:rPr/>
              <w:t>15,000</w:t>
            </w:r>
          </w:p>
        </w:tc>
        <w:tc>
          <w:tcPr>
            <w:tcW w:w="114"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54"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r>
    </w:tbl>
    <w:p>
      <w:pPr>
        <w:pStyle w:val="TextBody"/>
        <w:bidi w:val="0"/>
        <w:spacing w:lineRule="atLeast" w:line="400" w:before="360" w:after="283"/>
        <w:ind w:left="1140" w:right="0" w:hanging="0"/>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2025 Equity Compensation Plan Information at Fiscal Year-End</w:t>
      </w:r>
      <w:r>
        <w:rPr>
          <w:rFonts w:ascii="Arial;Helvetica;sans-serif" w:hAnsi="Arial;Helvetica;sans-serif"/>
          <w:b/>
          <w:i w:val="false"/>
          <w:caps w:val="false"/>
          <w:smallCaps w:val="false"/>
          <w:color w:val="000000"/>
          <w:spacing w:val="7"/>
          <w:sz w:val="36"/>
        </w:rPr>
        <w:t xml:space="preserve"> </w:t>
      </w:r>
    </w:p>
    <w:tbl>
      <w:tblPr>
        <w:tblW w:w="9065" w:type="dxa"/>
        <w:jc w:val="left"/>
        <w:tblInd w:w="1140" w:type="dxa"/>
        <w:tblLayout w:type="fixed"/>
        <w:tblCellMar>
          <w:top w:w="0" w:type="dxa"/>
          <w:left w:w="0" w:type="dxa"/>
          <w:bottom w:w="0" w:type="dxa"/>
          <w:right w:w="0" w:type="dxa"/>
        </w:tblCellMar>
      </w:tblPr>
      <w:tblGrid>
        <w:gridCol w:w="124"/>
        <w:gridCol w:w="3356"/>
        <w:gridCol w:w="109"/>
        <w:gridCol w:w="109"/>
        <w:gridCol w:w="126"/>
        <w:gridCol w:w="126"/>
        <w:gridCol w:w="1243"/>
        <w:gridCol w:w="126"/>
        <w:gridCol w:w="109"/>
        <w:gridCol w:w="109"/>
        <w:gridCol w:w="149"/>
        <w:gridCol w:w="310"/>
        <w:gridCol w:w="889"/>
        <w:gridCol w:w="152"/>
        <w:gridCol w:w="109"/>
        <w:gridCol w:w="109"/>
        <w:gridCol w:w="129"/>
        <w:gridCol w:w="129"/>
        <w:gridCol w:w="1262"/>
        <w:gridCol w:w="129"/>
        <w:gridCol w:w="161"/>
      </w:tblGrid>
      <w:tr>
        <w:trPr/>
        <w:tc>
          <w:tcPr>
            <w:tcW w:w="124" w:type="dxa"/>
            <w:tcBorders/>
            <w:shd w:fill="FF6A00" w:val="clear"/>
            <w:vAlign w:val="center"/>
          </w:tcPr>
          <w:p>
            <w:pPr>
              <w:pStyle w:val="TableContents"/>
              <w:bidi w:val="0"/>
              <w:spacing w:before="0" w:after="283"/>
              <w:jc w:val="left"/>
              <w:rPr/>
            </w:pPr>
            <w:r>
              <w:rPr/>
              <w:t>​</w:t>
            </w:r>
          </w:p>
        </w:tc>
        <w:tc>
          <w:tcPr>
            <w:tcW w:w="3356" w:type="dxa"/>
            <w:tcBorders/>
            <w:shd w:fill="FF6A00" w:val="clear"/>
            <w:vAlign w:val="center"/>
          </w:tcPr>
          <w:p>
            <w:pPr>
              <w:pStyle w:val="TableContents"/>
              <w:bidi w:val="0"/>
              <w:spacing w:before="0" w:after="0"/>
              <w:jc w:val="left"/>
              <w:rPr>
                <w:spacing w:val="-2"/>
              </w:rPr>
            </w:pPr>
            <w:r>
              <w:rPr>
                <w:spacing w:val="-2"/>
              </w:rPr>
              <w:t xml:space="preserve">Plan Category </w:t>
            </w:r>
          </w:p>
        </w:tc>
        <w:tc>
          <w:tcPr>
            <w:tcW w:w="109"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621" w:type="dxa"/>
            <w:gridSpan w:val="4"/>
            <w:tcBorders/>
            <w:shd w:fill="FF6A00" w:val="clear"/>
            <w:vAlign w:val="center"/>
          </w:tcPr>
          <w:p>
            <w:pPr>
              <w:pStyle w:val="TableContents"/>
              <w:bidi w:val="0"/>
              <w:spacing w:before="0" w:after="0"/>
              <w:jc w:val="center"/>
              <w:rPr>
                <w:spacing w:val="-2"/>
              </w:rPr>
            </w:pPr>
            <w:r>
              <w:rPr>
                <w:spacing w:val="-2"/>
              </w:rPr>
              <w:t xml:space="preserve">Number of </w:t>
              <w:br/>
              <w:t xml:space="preserve">securities to be </w:t>
              <w:br/>
              <w:t xml:space="preserve">issued upon </w:t>
              <w:br/>
              <w:t xml:space="preserve">exercise of </w:t>
              <w:br/>
              <w:t xml:space="preserve">outstanding </w:t>
              <w:br/>
              <w:t xml:space="preserve">options, </w:t>
              <w:br/>
              <w:t xml:space="preserve">warrants and rights </w:t>
              <w:br/>
              <w:t xml:space="preserve">(a) </w:t>
            </w:r>
          </w:p>
        </w:tc>
        <w:tc>
          <w:tcPr>
            <w:tcW w:w="109"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500" w:type="dxa"/>
            <w:gridSpan w:val="4"/>
            <w:tcBorders/>
            <w:shd w:fill="FF6A00" w:val="clear"/>
            <w:vAlign w:val="center"/>
          </w:tcPr>
          <w:p>
            <w:pPr>
              <w:pStyle w:val="TableContents"/>
              <w:bidi w:val="0"/>
              <w:spacing w:before="0" w:after="0"/>
              <w:jc w:val="center"/>
              <w:rPr>
                <w:spacing w:val="-2"/>
              </w:rPr>
            </w:pPr>
            <w:r>
              <w:rPr>
                <w:spacing w:val="-2"/>
              </w:rPr>
              <w:t xml:space="preserve">Weighted average </w:t>
              <w:br/>
              <w:t xml:space="preserve">exercise price of </w:t>
              <w:br/>
              <w:t xml:space="preserve">outstanding </w:t>
              <w:br/>
              <w:t xml:space="preserve">options, </w:t>
              <w:br/>
              <w:t xml:space="preserve">warrants and rights </w:t>
              <w:br/>
              <w:t xml:space="preserve">(b) </w:t>
            </w:r>
          </w:p>
        </w:tc>
        <w:tc>
          <w:tcPr>
            <w:tcW w:w="109" w:type="dxa"/>
            <w:tcBorders/>
            <w:shd w:fill="FF6A00" w:val="clear"/>
            <w:vAlign w:val="center"/>
          </w:tcPr>
          <w:p>
            <w:pPr>
              <w:pStyle w:val="TableContents"/>
              <w:bidi w:val="0"/>
              <w:spacing w:before="0" w:after="283"/>
              <w:jc w:val="left"/>
              <w:rPr/>
            </w:pPr>
            <w:r>
              <w:rPr/>
              <w:t>​</w:t>
            </w:r>
          </w:p>
        </w:tc>
        <w:tc>
          <w:tcPr>
            <w:tcW w:w="109" w:type="dxa"/>
            <w:tcBorders/>
            <w:shd w:fill="FF6A00" w:val="clear"/>
            <w:vAlign w:val="center"/>
          </w:tcPr>
          <w:p>
            <w:pPr>
              <w:pStyle w:val="TableContents"/>
              <w:bidi w:val="0"/>
              <w:spacing w:before="0" w:after="283"/>
              <w:jc w:val="left"/>
              <w:rPr/>
            </w:pPr>
            <w:r>
              <w:rPr/>
              <w:t>​</w:t>
            </w:r>
          </w:p>
        </w:tc>
        <w:tc>
          <w:tcPr>
            <w:tcW w:w="1649" w:type="dxa"/>
            <w:gridSpan w:val="4"/>
            <w:tcBorders/>
            <w:shd w:fill="FF6A00" w:val="clear"/>
            <w:vAlign w:val="center"/>
          </w:tcPr>
          <w:p>
            <w:pPr>
              <w:pStyle w:val="TableContents"/>
              <w:bidi w:val="0"/>
              <w:spacing w:before="0" w:after="0"/>
              <w:jc w:val="center"/>
              <w:rPr>
                <w:spacing w:val="-2"/>
              </w:rPr>
            </w:pPr>
            <w:r>
              <w:rPr>
                <w:spacing w:val="-2"/>
              </w:rPr>
              <w:t xml:space="preserve">Number of </w:t>
              <w:br/>
              <w:t xml:space="preserve">securities </w:t>
              <w:br/>
              <w:t xml:space="preserve">remaining available </w:t>
              <w:br/>
              <w:t xml:space="preserve">for future issuance </w:t>
              <w:br/>
              <w:t xml:space="preserve">under equity </w:t>
              <w:br/>
              <w:t xml:space="preserve">compensation plans </w:t>
              <w:br/>
              <w:t xml:space="preserve">(excluding </w:t>
              <w:br/>
              <w:t xml:space="preserve">securities reflected </w:t>
              <w:br/>
              <w:t xml:space="preserve">in column (a)) </w:t>
              <w:br/>
              <w:t xml:space="preserve">(c) </w:t>
            </w:r>
          </w:p>
        </w:tc>
        <w:tc>
          <w:tcPr>
            <w:tcW w:w="161" w:type="dxa"/>
            <w:tcBorders/>
            <w:shd w:fill="FF6A00" w:val="clear"/>
            <w:vAlign w:val="center"/>
          </w:tcPr>
          <w:p>
            <w:pPr>
              <w:pStyle w:val="TableContents"/>
              <w:bidi w:val="0"/>
              <w:spacing w:before="0" w:after="283"/>
              <w:jc w:val="left"/>
              <w:rPr/>
            </w:pPr>
            <w:r>
              <w:rPr/>
              <w:t>​</w:t>
            </w:r>
          </w:p>
        </w:tc>
      </w:tr>
      <w:tr>
        <w:trPr/>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3356" w:type="dxa"/>
            <w:tcBorders>
              <w:bottom w:val="single" w:sz="2" w:space="0" w:color="000000"/>
            </w:tcBorders>
            <w:tcMar>
              <w:bottom w:w="37" w:type="dxa"/>
            </w:tcMar>
            <w:vAlign w:val="center"/>
          </w:tcPr>
          <w:p>
            <w:pPr>
              <w:pStyle w:val="TableContents"/>
              <w:bidi w:val="0"/>
              <w:spacing w:before="0" w:after="0"/>
              <w:ind w:left="200" w:right="0" w:hanging="200"/>
              <w:jc w:val="left"/>
              <w:rPr>
                <w:spacing w:val="-2"/>
              </w:rPr>
            </w:pPr>
            <w:r>
              <w:rPr>
                <w:spacing w:val="-2"/>
              </w:rPr>
              <w:t xml:space="preserve">Equity compensation plans approved by security holders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6" w:type="dxa"/>
            <w:tcBorders>
              <w:bottom w:val="single" w:sz="2" w:space="0" w:color="000000"/>
            </w:tcBorders>
            <w:tcMar>
              <w:bottom w:w="28" w:type="dxa"/>
            </w:tcMar>
            <w:vAlign w:val="center"/>
          </w:tcPr>
          <w:p>
            <w:pPr>
              <w:pStyle w:val="TableContents"/>
              <w:bidi w:val="0"/>
              <w:spacing w:before="0" w:after="283"/>
              <w:jc w:val="left"/>
              <w:rPr/>
            </w:pPr>
            <w:r>
              <w:rPr/>
              <w:t>​</w:t>
            </w:r>
          </w:p>
        </w:tc>
        <w:tc>
          <w:tcPr>
            <w:tcW w:w="126" w:type="dxa"/>
            <w:tcBorders>
              <w:bottom w:val="single" w:sz="2" w:space="0" w:color="000000"/>
            </w:tcBorders>
            <w:tcMar>
              <w:bottom w:w="37" w:type="dxa"/>
            </w:tcMar>
            <w:vAlign w:val="center"/>
          </w:tcPr>
          <w:p>
            <w:pPr>
              <w:pStyle w:val="TableContents"/>
              <w:bidi w:val="0"/>
              <w:spacing w:before="0" w:after="283"/>
              <w:jc w:val="right"/>
              <w:rPr/>
            </w:pPr>
            <w:r>
              <w:rPr/>
              <w:t>​</w:t>
            </w:r>
          </w:p>
        </w:tc>
        <w:tc>
          <w:tcPr>
            <w:tcW w:w="1243" w:type="dxa"/>
            <w:tcBorders>
              <w:bottom w:val="single" w:sz="2" w:space="0" w:color="000000"/>
            </w:tcBorders>
            <w:tcMar>
              <w:bottom w:w="37" w:type="dxa"/>
            </w:tcMar>
            <w:vAlign w:val="center"/>
          </w:tcPr>
          <w:p>
            <w:pPr>
              <w:pStyle w:val="TableContents"/>
              <w:bidi w:val="0"/>
              <w:spacing w:before="0" w:after="283"/>
              <w:jc w:val="right"/>
              <w:rPr/>
            </w:pPr>
            <w:r>
              <w:rPr/>
              <w:t>1,392,432</w:t>
            </w:r>
          </w:p>
        </w:tc>
        <w:tc>
          <w:tcPr>
            <w:tcW w:w="126"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9" w:type="dxa"/>
            <w:tcBorders>
              <w:bottom w:val="single" w:sz="2" w:space="0" w:color="000000"/>
            </w:tcBorders>
            <w:tcMar>
              <w:bottom w:w="28" w:type="dxa"/>
            </w:tcMar>
            <w:vAlign w:val="center"/>
          </w:tcPr>
          <w:p>
            <w:pPr>
              <w:pStyle w:val="TableContents"/>
              <w:bidi w:val="0"/>
              <w:spacing w:before="0" w:after="283"/>
              <w:jc w:val="left"/>
              <w:rPr/>
            </w:pPr>
            <w:r>
              <w:rPr/>
              <w:t>​</w:t>
            </w:r>
          </w:p>
        </w:tc>
        <w:tc>
          <w:tcPr>
            <w:tcW w:w="310" w:type="dxa"/>
            <w:tcBorders>
              <w:bottom w:val="single" w:sz="2" w:space="0" w:color="000000"/>
            </w:tcBorders>
            <w:tcMar>
              <w:bottom w:w="37" w:type="dxa"/>
            </w:tcMar>
            <w:vAlign w:val="center"/>
          </w:tcPr>
          <w:p>
            <w:pPr>
              <w:pStyle w:val="TableContents"/>
              <w:bidi w:val="0"/>
              <w:spacing w:before="0" w:after="283"/>
              <w:jc w:val="right"/>
              <w:rPr/>
            </w:pPr>
            <w:r>
              <w:rPr/>
              <w:t>$</w:t>
            </w:r>
          </w:p>
        </w:tc>
        <w:tc>
          <w:tcPr>
            <w:tcW w:w="889" w:type="dxa"/>
            <w:tcBorders>
              <w:bottom w:val="single" w:sz="2" w:space="0" w:color="000000"/>
            </w:tcBorders>
            <w:tcMar>
              <w:bottom w:w="37" w:type="dxa"/>
            </w:tcMar>
            <w:vAlign w:val="center"/>
          </w:tcPr>
          <w:p>
            <w:pPr>
              <w:pStyle w:val="TableContents"/>
              <w:bidi w:val="0"/>
              <w:spacing w:before="0" w:after="283"/>
              <w:jc w:val="right"/>
              <w:rPr/>
            </w:pPr>
            <w:r>
              <w:rPr/>
              <w:t>95.28</w:t>
            </w:r>
          </w:p>
        </w:tc>
        <w:tc>
          <w:tcPr>
            <w:tcW w:w="152"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tcMar>
              <w:bottom w:w="37" w:type="dxa"/>
            </w:tcMar>
            <w:vAlign w:val="center"/>
          </w:tcPr>
          <w:p>
            <w:pPr>
              <w:pStyle w:val="TableContents"/>
              <w:bidi w:val="0"/>
              <w:spacing w:before="0" w:after="283"/>
              <w:jc w:val="right"/>
              <w:rPr/>
            </w:pPr>
            <w:r>
              <w:rPr/>
              <w:t>​</w:t>
            </w:r>
          </w:p>
        </w:tc>
        <w:tc>
          <w:tcPr>
            <w:tcW w:w="1262" w:type="dxa"/>
            <w:tcBorders>
              <w:bottom w:val="single" w:sz="2" w:space="0" w:color="000000"/>
            </w:tcBorders>
            <w:tcMar>
              <w:bottom w:w="37" w:type="dxa"/>
            </w:tcMar>
            <w:vAlign w:val="center"/>
          </w:tcPr>
          <w:p>
            <w:pPr>
              <w:pStyle w:val="TableContents"/>
              <w:bidi w:val="0"/>
              <w:spacing w:before="0" w:after="283"/>
              <w:jc w:val="right"/>
              <w:rPr/>
            </w:pPr>
            <w:r>
              <w:rPr/>
              <w:t>3,886,748</w:t>
            </w:r>
          </w:p>
        </w:tc>
        <w:tc>
          <w:tcPr>
            <w:tcW w:w="129" w:type="dxa"/>
            <w:tcBorders>
              <w:bottom w:val="single" w:sz="2" w:space="0" w:color="000000"/>
            </w:tcBorders>
            <w:tcMar>
              <w:bottom w:w="28" w:type="dxa"/>
            </w:tcMar>
            <w:vAlign w:val="center"/>
          </w:tcPr>
          <w:p>
            <w:pPr>
              <w:pStyle w:val="TableContents"/>
              <w:bidi w:val="0"/>
              <w:spacing w:before="0" w:after="283"/>
              <w:jc w:val="left"/>
              <w:rPr/>
            </w:pPr>
            <w:r>
              <w:rPr/>
              <w:t>​</w:t>
            </w:r>
          </w:p>
        </w:tc>
        <w:tc>
          <w:tcPr>
            <w:tcW w:w="161"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3356" w:type="dxa"/>
            <w:tcBorders>
              <w:bottom w:val="single" w:sz="2" w:space="0" w:color="000000"/>
            </w:tcBorders>
            <w:shd w:fill="B2B2B2" w:val="clear"/>
            <w:tcMar>
              <w:bottom w:w="37" w:type="dxa"/>
            </w:tcMar>
            <w:vAlign w:val="center"/>
          </w:tcPr>
          <w:p>
            <w:pPr>
              <w:pStyle w:val="TableContents"/>
              <w:bidi w:val="0"/>
              <w:spacing w:before="0" w:after="0"/>
              <w:ind w:left="200" w:right="0" w:hanging="200"/>
              <w:jc w:val="left"/>
              <w:rPr/>
            </w:pPr>
            <w:r>
              <w:rPr>
                <w:spacing w:val="-2"/>
              </w:rPr>
              <w:t>Equity compensation plans not approved by security holders</w:t>
            </w:r>
            <w:r>
              <w:rPr>
                <w:spacing w:val="-2"/>
              </w:rPr>
              <w:t>﻿</w:t>
            </w:r>
            <w:r>
              <w:rPr>
                <w:spacing w:val="-2"/>
                <w:szCs w:val="13"/>
              </w:rPr>
              <w:t>﻿</w:t>
            </w:r>
            <w:r>
              <w:rPr>
                <w:spacing w:val="-2"/>
                <w:sz w:val="13"/>
              </w:rPr>
              <w:t>(1)</w:t>
            </w:r>
            <w:r>
              <w:rPr/>
              <w:t xml:space="preserve"> </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26"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26" w:type="dxa"/>
            <w:tcBorders>
              <w:bottom w:val="single" w:sz="2" w:space="0" w:color="000000"/>
            </w:tcBorders>
            <w:shd w:fill="B2B2B2" w:val="clear"/>
            <w:tcMar>
              <w:bottom w:w="37" w:type="dxa"/>
            </w:tcMar>
            <w:vAlign w:val="center"/>
          </w:tcPr>
          <w:p>
            <w:pPr>
              <w:pStyle w:val="TableContents"/>
              <w:bidi w:val="0"/>
              <w:spacing w:before="0" w:after="283"/>
              <w:jc w:val="right"/>
              <w:rPr/>
            </w:pPr>
            <w:r>
              <w:rPr/>
              <w:t>​</w:t>
            </w:r>
          </w:p>
        </w:tc>
        <w:tc>
          <w:tcPr>
            <w:tcW w:w="1243" w:type="dxa"/>
            <w:tcBorders>
              <w:bottom w:val="single" w:sz="2" w:space="0" w:color="000000"/>
            </w:tcBorders>
            <w:shd w:fill="B2B2B2" w:val="clear"/>
            <w:tcMar>
              <w:bottom w:w="37" w:type="dxa"/>
            </w:tcMar>
            <w:vAlign w:val="center"/>
          </w:tcPr>
          <w:p>
            <w:pPr>
              <w:pStyle w:val="TableContents"/>
              <w:bidi w:val="0"/>
              <w:spacing w:before="0" w:after="283"/>
              <w:jc w:val="right"/>
              <w:rPr/>
            </w:pPr>
            <w:r>
              <w:rPr/>
              <w:t>—</w:t>
            </w:r>
          </w:p>
        </w:tc>
        <w:tc>
          <w:tcPr>
            <w:tcW w:w="126"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4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310" w:type="dxa"/>
            <w:tcBorders>
              <w:bottom w:val="single" w:sz="2" w:space="0" w:color="000000"/>
            </w:tcBorders>
            <w:shd w:fill="B2B2B2" w:val="clear"/>
            <w:tcMar>
              <w:bottom w:w="37" w:type="dxa"/>
            </w:tcMar>
            <w:vAlign w:val="center"/>
          </w:tcPr>
          <w:p>
            <w:pPr>
              <w:pStyle w:val="TableContents"/>
              <w:bidi w:val="0"/>
              <w:spacing w:before="0" w:after="283"/>
              <w:jc w:val="right"/>
              <w:rPr/>
            </w:pPr>
            <w:r>
              <w:rPr/>
              <w:t>​</w:t>
            </w:r>
          </w:p>
        </w:tc>
        <w:tc>
          <w:tcPr>
            <w:tcW w:w="889" w:type="dxa"/>
            <w:tcBorders>
              <w:bottom w:val="single" w:sz="2" w:space="0" w:color="000000"/>
            </w:tcBorders>
            <w:shd w:fill="B2B2B2" w:val="clear"/>
            <w:tcMar>
              <w:bottom w:w="37" w:type="dxa"/>
            </w:tcMar>
            <w:vAlign w:val="center"/>
          </w:tcPr>
          <w:p>
            <w:pPr>
              <w:pStyle w:val="TableContents"/>
              <w:bidi w:val="0"/>
              <w:spacing w:before="0" w:after="283"/>
              <w:jc w:val="right"/>
              <w:rPr/>
            </w:pPr>
            <w:r>
              <w:rPr/>
              <w:t>—</w:t>
            </w:r>
          </w:p>
        </w:tc>
        <w:tc>
          <w:tcPr>
            <w:tcW w:w="152"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shd w:fill="B2B2B2" w:val="clear"/>
            <w:tcMar>
              <w:bottom w:w="37" w:type="dxa"/>
            </w:tcMar>
            <w:vAlign w:val="center"/>
          </w:tcPr>
          <w:p>
            <w:pPr>
              <w:pStyle w:val="TableContents"/>
              <w:bidi w:val="0"/>
              <w:spacing w:before="0" w:after="283"/>
              <w:jc w:val="right"/>
              <w:rPr/>
            </w:pPr>
            <w:r>
              <w:rPr/>
              <w:t>​</w:t>
            </w:r>
          </w:p>
        </w:tc>
        <w:tc>
          <w:tcPr>
            <w:tcW w:w="1262" w:type="dxa"/>
            <w:tcBorders>
              <w:bottom w:val="single" w:sz="2" w:space="0" w:color="000000"/>
            </w:tcBorders>
            <w:shd w:fill="B2B2B2" w:val="clear"/>
            <w:tcMar>
              <w:bottom w:w="37" w:type="dxa"/>
            </w:tcMar>
            <w:vAlign w:val="center"/>
          </w:tcPr>
          <w:p>
            <w:pPr>
              <w:pStyle w:val="TableContents"/>
              <w:bidi w:val="0"/>
              <w:spacing w:before="0" w:after="283"/>
              <w:jc w:val="right"/>
              <w:rPr/>
            </w:pPr>
            <w:r>
              <w:rPr/>
              <w:t>—</w:t>
            </w:r>
          </w:p>
        </w:tc>
        <w:tc>
          <w:tcPr>
            <w:tcW w:w="129"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c>
          <w:tcPr>
            <w:tcW w:w="161" w:type="dxa"/>
            <w:tcBorders>
              <w:bottom w:val="single" w:sz="2" w:space="0" w:color="000000"/>
            </w:tcBorders>
            <w:shd w:fill="B2B2B2" w:val="clear"/>
            <w:tcMar>
              <w:bottom w:w="28" w:type="dxa"/>
            </w:tcMar>
            <w:vAlign w:val="center"/>
          </w:tcPr>
          <w:p>
            <w:pPr>
              <w:pStyle w:val="TableContents"/>
              <w:bidi w:val="0"/>
              <w:spacing w:before="0" w:after="283"/>
              <w:jc w:val="left"/>
              <w:rPr/>
            </w:pPr>
            <w:r>
              <w:rPr/>
              <w:t>​</w:t>
            </w:r>
          </w:p>
        </w:tc>
      </w:tr>
    </w:tbl>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200" w:after="0"/>
        <w:ind w:left="1540" w:right="0" w:hanging="0"/>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Not applicable. There were no equity compensation plans not approved by the security holders. </w:t>
      </w:r>
      <w:r>
        <mc:AlternateContent>
          <mc:Choice Requires="wps">
            <w:drawing>
              <wp:anchor behindDoc="0" distT="127000" distB="0" distL="0" distR="0" simplePos="0" locked="0" layoutInCell="1" allowOverlap="1" relativeHeight="343">
                <wp:simplePos x="0" y="0"/>
                <wp:positionH relativeFrom="column">
                  <wp:align>left</wp:align>
                </wp:positionH>
                <wp:positionV relativeFrom="line">
                  <wp:align>top</wp:align>
                </wp:positionV>
                <wp:extent cx="254000" cy="330200"/>
                <wp:effectExtent l="0" t="0" r="0" b="0"/>
                <wp:wrapSquare wrapText="right"/>
                <wp:docPr id="331" name="Frame212"/>
                <a:graphic xmlns:a="http://schemas.openxmlformats.org/drawingml/2006/main">
                  <a:graphicData uri="http://schemas.microsoft.com/office/word/2010/wordprocessingShape">
                    <wps:wsp>
                      <wps:cNvSpPr txBox="1"/>
                      <wps:spPr>
                        <a:xfrm>
                          <a:off x="0" y="0"/>
                          <a:ext cx="254000" cy="330200"/>
                        </a:xfrm>
                        <a:prstGeom prst="rect"/>
                        <a:solidFill>
                          <a:srgbClr val="FFFFFF"/>
                        </a:solidFill>
                      </wps:spPr>
                      <wps:txbx>
                        <w:txbxContent>
                          <w:p>
                            <w:pPr>
                              <w:pStyle w:val="TextBody"/>
                              <w:bidi w:val="0"/>
                              <w:spacing w:lineRule="atLeast" w:line="260" w:before="0" w:after="283"/>
                              <w:jc w:val="left"/>
                              <w:rPr>
                                <w:sz w:val="22"/>
                              </w:rPr>
                            </w:pPr>
                            <w:r>
                              <w:rPr>
                                <w:spacing w:val="-2"/>
                                <w:sz w:val="22"/>
                              </w:rPr>
                              <w:t>(1)</w:t>
                            </w:r>
                            <w:r>
                              <w:rPr>
                                <w:sz w:val="22"/>
                              </w:rPr>
                              <w:t xml:space="preserve"> </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lineRule="atLeast" w:line="260" w:before="0" w:after="283"/>
                        <w:jc w:val="left"/>
                        <w:rPr>
                          <w:sz w:val="22"/>
                        </w:rPr>
                      </w:pPr>
                      <w:r>
                        <w:rPr>
                          <w:spacing w:val="-2"/>
                          <w:sz w:val="22"/>
                        </w:rPr>
                        <w:t>(1)</w:t>
                      </w:r>
                      <w:r>
                        <w:rPr>
                          <w:sz w:val="22"/>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332"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109" descr=""/>
                          <pic:cNvPicPr>
                            <a:picLocks noChangeAspect="1" noChangeArrowheads="1"/>
                          </pic:cNvPicPr>
                        </pic:nvPicPr>
                        <pic:blipFill>
                          <a:blip r:embed="rId121"/>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58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RPT"/>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520" w:before="740" w:after="283"/>
        <w:ind w:left="1140" w:right="0" w:hanging="0"/>
        <w:jc w:val="left"/>
        <w:rPr>
          <w:rFonts w:ascii="Arial;Helvetica;sans-serif" w:hAnsi="Arial;Helvetica;sans-serif"/>
          <w:b w:val="false"/>
          <w:i w:val="false"/>
          <w:caps w:val="false"/>
          <w:smallCaps w:val="false"/>
          <w:color w:val="000000"/>
          <w:sz w:val="48"/>
        </w:rPr>
      </w:pPr>
      <w:r>
        <w:rPr>
          <w:rFonts w:ascii="Arial;Helvetica;sans-serif" w:hAnsi="Arial;Helvetica;sans-serif"/>
          <w:b w:val="false"/>
          <w:i w:val="false"/>
          <w:caps w:val="false"/>
          <w:smallCaps w:val="false"/>
          <w:color w:val="000000"/>
          <w:spacing w:val="-5"/>
          <w:sz w:val="48"/>
        </w:rPr>
        <w:t>Related Person Transactions</w:t>
      </w:r>
      <w:r>
        <w:rPr>
          <w:rFonts w:ascii="Arial;Helvetica;sans-serif" w:hAnsi="Arial;Helvetica;sans-serif"/>
          <w:b w:val="false"/>
          <w:i w:val="false"/>
          <w:caps w:val="false"/>
          <w:smallCaps w:val="false"/>
          <w:color w:val="000000"/>
          <w:spacing w:val="10"/>
          <w:sz w:val="48"/>
        </w:rPr>
        <w:t xml:space="preserve"> </w:t>
      </w:r>
    </w:p>
    <w:p>
      <w:pPr>
        <w:pStyle w:val="TextBody"/>
        <w:bidi w:val="0"/>
        <w:spacing w:lineRule="atLeast" w:line="400" w:before="40" w:after="283"/>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Policies for Approval of Related Person Transactions</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We have adopted a written policy relating to the approval of related person transactions. Our Audit Committee reviews and approves or ratifies all relationships and related person transactions between us and (1) our directors, director nominees, or executive officers, (2) any five percent record or beneficial owner of our common stock, or (3) any immediate family member of any person specified in (1) and (2) above. Our Chief Financial Officer is primarily responsible for the development and implementation of processes and controls to obtain information from our directors and executive officers with respect to related person transactions and for determining, based on the facts and circumstances, whether we or a related person have a direct or indirect material interest in the transaction.</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As set forth in the Company’s related person transaction policy, in the course of its review and approval or ratification of a related party transaction, the Audit Committee will consider:</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2" w:before="86"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nature of the related person’s interest in the transaction;</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4610" distB="0" distL="254000" distR="0" simplePos="0" locked="0" layoutInCell="1" allowOverlap="1" relativeHeight="344">
                <wp:simplePos x="0" y="0"/>
                <wp:positionH relativeFrom="column">
                  <wp:align>left</wp:align>
                </wp:positionH>
                <wp:positionV relativeFrom="line">
                  <wp:align>top</wp:align>
                </wp:positionV>
                <wp:extent cx="254000" cy="350520"/>
                <wp:effectExtent l="0" t="0" r="0" b="0"/>
                <wp:wrapSquare wrapText="right"/>
                <wp:docPr id="333" name="Frame2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3pt;mso-wrap-distance-bottom:0pt;margin-top:4.3pt;mso-position-vertical:top;mso-position-vertical-relative:text;margin-left:20pt;mso-position-horizontal:left;mso-position-horizontal-relative:text">
                <v:textbox>
                  <w:txbxContent>
                    <w:p>
                      <w:pPr>
                        <w:pStyle w:val="TextBody"/>
                        <w:bidi w:val="0"/>
                        <w:spacing w:lineRule="atLeast" w:line="252"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52" w:before="80"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availability of other sources of comparable products or services;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254000" distR="0" simplePos="0" locked="0" layoutInCell="1" allowOverlap="1" relativeHeight="345">
                <wp:simplePos x="0" y="0"/>
                <wp:positionH relativeFrom="column">
                  <wp:align>left</wp:align>
                </wp:positionH>
                <wp:positionV relativeFrom="line">
                  <wp:align>top</wp:align>
                </wp:positionV>
                <wp:extent cx="254000" cy="350520"/>
                <wp:effectExtent l="0" t="0" r="0" b="0"/>
                <wp:wrapSquare wrapText="right"/>
                <wp:docPr id="334" name="Frame2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52"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52" w:before="80"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material terms of the transaction, including, without limitation, the amount and type of transaction; and</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254000" distR="0" simplePos="0" locked="0" layoutInCell="1" allowOverlap="1" relativeHeight="346">
                <wp:simplePos x="0" y="0"/>
                <wp:positionH relativeFrom="column">
                  <wp:align>left</wp:align>
                </wp:positionH>
                <wp:positionV relativeFrom="line">
                  <wp:align>top</wp:align>
                </wp:positionV>
                <wp:extent cx="254000" cy="350520"/>
                <wp:effectExtent l="0" t="0" r="0" b="0"/>
                <wp:wrapSquare wrapText="right"/>
                <wp:docPr id="335" name="Frame2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52"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52" w:before="80"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importance of the transaction to us.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254000" distR="0" simplePos="0" locked="0" layoutInCell="1" allowOverlap="1" relativeHeight="347">
                <wp:simplePos x="0" y="0"/>
                <wp:positionH relativeFrom="column">
                  <wp:align>left</wp:align>
                </wp:positionH>
                <wp:positionV relativeFrom="line">
                  <wp:align>top</wp:align>
                </wp:positionV>
                <wp:extent cx="254000" cy="350520"/>
                <wp:effectExtent l="0" t="0" r="0" b="0"/>
                <wp:wrapSquare wrapText="right"/>
                <wp:docPr id="336" name="Frame2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52"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Any member of the Audit Committee who is a related person with respect to a transaction under review will not be permitted to participate in the discussions or approval or ratification of the transaction. However, such member of the Audit Committee will provide all material information concerning the transaction to the Audit Committee.</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There were no related person transactions required to be disclosed since January 1, 2025, and no such transactions are currently proposed.</w:t>
      </w:r>
      <w:r>
        <w:rPr>
          <w:rFonts w:ascii="Arial;Helvetica;sans-serif" w:hAnsi="Arial;Helvetica;sans-serif"/>
          <w:b w:val="false"/>
          <w:i w:val="false"/>
          <w:caps w:val="false"/>
          <w:smallCaps w:val="false"/>
          <w:color w:val="000000"/>
          <w:sz w:val="22"/>
        </w:rPr>
        <w:t xml:space="preserve"> </w:t>
      </w:r>
    </w:p>
    <w:p>
      <w:pPr>
        <w:pStyle w:val="TextBody"/>
        <w:bidi w:val="0"/>
        <w:spacing w:lineRule="atLeast" w:line="240" w:before="78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337"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110" descr=""/>
                          <pic:cNvPicPr>
                            <a:picLocks noChangeAspect="1" noChangeArrowheads="1"/>
                          </pic:cNvPicPr>
                        </pic:nvPicPr>
                        <pic:blipFill>
                          <a:blip r:embed="rId122"/>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59</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P2RO"/>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520" w:before="740" w:after="283"/>
        <w:ind w:left="1140" w:right="0" w:hanging="0"/>
        <w:jc w:val="left"/>
        <w:rPr>
          <w:rFonts w:ascii="Arial;Helvetica;sans-serif" w:hAnsi="Arial;Helvetica;sans-serif"/>
          <w:b w:val="false"/>
          <w:i w:val="false"/>
          <w:caps w:val="false"/>
          <w:smallCaps w:val="false"/>
          <w:color w:val="000000"/>
          <w:sz w:val="48"/>
        </w:rPr>
      </w:pPr>
      <w:r>
        <w:rPr>
          <w:rFonts w:ascii="Arial;Helvetica;sans-serif" w:hAnsi="Arial;Helvetica;sans-serif"/>
          <w:b w:val="false"/>
          <w:i w:val="false"/>
          <w:caps w:val="false"/>
          <w:smallCaps w:val="false"/>
          <w:color w:val="000000"/>
          <w:spacing w:val="-5"/>
          <w:sz w:val="48"/>
        </w:rPr>
        <w:t>Proposal 2 — Ratification of the Selection of Independent Registered Public Accounting Firm</w:t>
      </w:r>
      <w:r>
        <w:rPr>
          <w:rFonts w:ascii="Arial;Helvetica;sans-serif" w:hAnsi="Arial;Helvetica;sans-serif"/>
          <w:b w:val="false"/>
          <w:i w:val="false"/>
          <w:caps w:val="false"/>
          <w:smallCaps w:val="false"/>
          <w:color w:val="000000"/>
          <w:spacing w:val="10"/>
          <w:sz w:val="48"/>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Board of Directors recommends that the stockholders ratify the selection of Deloitte &amp; Touche LLP as our independent registered public accounting firm for the year ending December 31, 2026.</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 representative of Deloitte &amp; Touche LLP will attend the annual meeting, will have an opportunity to make a statement if such representative desires to do so, and will be available to respond to appropriate questions.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Although the Company is not required to seek stockholder approval of this appointment, the Board of Directors believes that doing so is consistent with good corporate governance practices. If the appointment is not ratified, the Audit Committee will explore the reasons for stockholder rejection and will reconsider the appointment.</w:t>
      </w:r>
      <w:r>
        <w:rPr>
          <w:rFonts w:ascii="Arial;Helvetica;sans-serif" w:hAnsi="Arial;Helvetica;sans-serif"/>
          <w:b w:val="false"/>
          <w:i w:val="false"/>
          <w:caps w:val="false"/>
          <w:smallCaps w:val="false"/>
          <w:color w:val="000000"/>
          <w:spacing w:val="4"/>
          <w:sz w:val="22"/>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673100" distR="0" simplePos="0" locked="0" layoutInCell="1" allowOverlap="1" relativeHeight="125">
                <wp:simplePos x="0" y="0"/>
                <wp:positionH relativeFrom="column">
                  <wp:align>left</wp:align>
                </wp:positionH>
                <wp:positionV relativeFrom="line">
                  <wp:posOffset>635</wp:posOffset>
                </wp:positionV>
                <wp:extent cx="850900" cy="665480"/>
                <wp:effectExtent l="0" t="0" r="0" b="0"/>
                <wp:wrapSquare wrapText="right"/>
                <wp:docPr id="338" name="Frame217"/>
                <a:graphic xmlns:a="http://schemas.openxmlformats.org/drawingml/2006/main">
                  <a:graphicData uri="http://schemas.microsoft.com/office/word/2010/wordprocessingShape">
                    <wps:wsp>
                      <wps:cNvSpPr txBox="1"/>
                      <wps:spPr>
                        <a:xfrm>
                          <a:off x="0" y="0"/>
                          <a:ext cx="850900" cy="665480"/>
                        </a:xfrm>
                        <a:prstGeom prst="rect"/>
                        <a:solidFill>
                          <a:srgbClr val="FFFFFF"/>
                        </a:solidFill>
                      </wps:spPr>
                      <wps:txbx>
                        <w:txbxContent>
                          <w:tbl>
                            <w:tblPr>
                              <w:tblW w:w="1061" w:type="dxa"/>
                              <w:jc w:val="left"/>
                              <w:tblInd w:w="0" w:type="dxa"/>
                              <w:tblLayout w:type="fixed"/>
                              <w:tblCellMar>
                                <w:top w:w="0" w:type="dxa"/>
                                <w:left w:w="0" w:type="dxa"/>
                                <w:bottom w:w="0" w:type="dxa"/>
                                <w:right w:w="0" w:type="dxa"/>
                              </w:tblCellMar>
                            </w:tblPr>
                            <w:tblGrid>
                              <w:gridCol w:w="1061"/>
                            </w:tblGrid>
                            <w:tr>
                              <w:trPr/>
                              <w:tc>
                                <w:tcPr>
                                  <w:tcW w:w="1061" w:type="dxa"/>
                                  <w:tcBorders/>
                                  <w:vAlign w:val="center"/>
                                </w:tcPr>
                                <w:p>
                                  <w:pPr>
                                    <w:pStyle w:val="TableContents"/>
                                    <w:bidi w:val="0"/>
                                    <w:spacing w:before="0" w:after="0"/>
                                    <w:jc w:val="left"/>
                                    <w:rPr/>
                                  </w:pPr>
                                  <w:r>
                                    <w:rPr/>
                                    <w:drawing>
                                      <wp:inline distT="0" distB="0" distL="0" distR="0">
                                        <wp:extent cx="542925" cy="457200"/>
                                        <wp:effectExtent l="0" t="0" r="0" b="0"/>
                                        <wp:docPr id="339"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111" descr=""/>
                                                <pic:cNvPicPr>
                                                  <a:picLocks noChangeAspect="1" noChangeArrowheads="1"/>
                                                </pic:cNvPicPr>
                                              </pic:nvPicPr>
                                              <pic:blipFill>
                                                <a:blip r:embed="rId123"/>
                                                <a:stretch>
                                                  <a:fillRect/>
                                                </a:stretch>
                                              </pic:blipFill>
                                              <pic:spPr bwMode="auto">
                                                <a:xfrm>
                                                  <a:off x="0" y="0"/>
                                                  <a:ext cx="542925" cy="457200"/>
                                                </a:xfrm>
                                                <a:prstGeom prst="rect">
                                                  <a:avLst/>
                                                </a:prstGeom>
                                              </pic:spPr>
                                            </pic:pic>
                                          </a:graphicData>
                                        </a:graphic>
                                      </wp:inline>
                                    </w:drawing>
                                  </w:r>
                                  <w:r>
                                    <w:rPr/>
                                    <w:t xml:space="preserve">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67pt;height:52.4pt;mso-wrap-distance-left:53pt;mso-wrap-distance-right:0pt;mso-wrap-distance-top:0pt;mso-wrap-distance-bottom:0pt;margin-top:0pt;mso-position-vertical:top;mso-position-vertical-relative:text;margin-left:53pt;mso-position-horizontal:left;mso-position-horizontal-relative:text">
                <v:textbox>
                  <w:txbxContent>
                    <w:tbl>
                      <w:tblPr>
                        <w:tblW w:w="1061" w:type="dxa"/>
                        <w:jc w:val="left"/>
                        <w:tblInd w:w="0" w:type="dxa"/>
                        <w:tblLayout w:type="fixed"/>
                        <w:tblCellMar>
                          <w:top w:w="0" w:type="dxa"/>
                          <w:left w:w="0" w:type="dxa"/>
                          <w:bottom w:w="0" w:type="dxa"/>
                          <w:right w:w="0" w:type="dxa"/>
                        </w:tblCellMar>
                      </w:tblPr>
                      <w:tblGrid>
                        <w:gridCol w:w="1061"/>
                      </w:tblGrid>
                      <w:tr>
                        <w:trPr/>
                        <w:tc>
                          <w:tcPr>
                            <w:tcW w:w="1061" w:type="dxa"/>
                            <w:tcBorders/>
                            <w:vAlign w:val="center"/>
                          </w:tcPr>
                          <w:p>
                            <w:pPr>
                              <w:pStyle w:val="TableContents"/>
                              <w:bidi w:val="0"/>
                              <w:spacing w:before="0" w:after="0"/>
                              <w:jc w:val="left"/>
                              <w:rPr/>
                            </w:pPr>
                            <w:r>
                              <w:rPr/>
                              <w:drawing>
                                <wp:inline distT="0" distB="0" distL="0" distR="0">
                                  <wp:extent cx="542925" cy="457200"/>
                                  <wp:effectExtent l="0" t="0" r="0" b="0"/>
                                  <wp:docPr id="340"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111" descr=""/>
                                          <pic:cNvPicPr>
                                            <a:picLocks noChangeAspect="1" noChangeArrowheads="1"/>
                                          </pic:cNvPicPr>
                                        </pic:nvPicPr>
                                        <pic:blipFill>
                                          <a:blip r:embed="rId124"/>
                                          <a:stretch>
                                            <a:fillRect/>
                                          </a:stretch>
                                        </pic:blipFill>
                                        <pic:spPr bwMode="auto">
                                          <a:xfrm>
                                            <a:off x="0" y="0"/>
                                            <a:ext cx="542925" cy="457200"/>
                                          </a:xfrm>
                                          <a:prstGeom prst="rect">
                                            <a:avLst/>
                                          </a:prstGeom>
                                        </pic:spPr>
                                      </pic:pic>
                                    </a:graphicData>
                                  </a:graphic>
                                </wp:inline>
                              </w:drawing>
                            </w:r>
                            <w:r>
                              <w:rPr/>
                              <w:t xml:space="preserve">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63500" distR="0" simplePos="0" locked="0" layoutInCell="1" allowOverlap="1" relativeHeight="348">
                <wp:simplePos x="0" y="0"/>
                <wp:positionH relativeFrom="column">
                  <wp:align>left</wp:align>
                </wp:positionH>
                <wp:positionV relativeFrom="line">
                  <wp:posOffset>635</wp:posOffset>
                </wp:positionV>
                <wp:extent cx="5295900" cy="768985"/>
                <wp:effectExtent l="0" t="0" r="0" b="0"/>
                <wp:wrapSquare wrapText="right"/>
                <wp:docPr id="341" name="Frame218"/>
                <a:graphic xmlns:a="http://schemas.openxmlformats.org/drawingml/2006/main">
                  <a:graphicData uri="http://schemas.microsoft.com/office/word/2010/wordprocessingShape">
                    <wps:wsp>
                      <wps:cNvSpPr txBox="1"/>
                      <wps:spPr>
                        <a:xfrm>
                          <a:off x="0" y="0"/>
                          <a:ext cx="5295900" cy="76898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109"/>
                              <w:gridCol w:w="97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FF6A00"/>
                                  </w:tcBorders>
                                  <w:tcMar>
                                    <w:bottom w:w="28" w:type="dxa"/>
                                  </w:tcMar>
                                  <w:vAlign w:val="center"/>
                                </w:tcPr>
                                <w:p>
                                  <w:pPr>
                                    <w:pStyle w:val="TableContents"/>
                                    <w:bidi w:val="0"/>
                                    <w:spacing w:before="0" w:after="283"/>
                                    <w:jc w:val="left"/>
                                    <w:rPr/>
                                  </w:pPr>
                                  <w:r>
                                    <w:rPr/>
                                    <w:t>​</w:t>
                                  </w:r>
                                </w:p>
                              </w:tc>
                              <w:tc>
                                <w:tcPr>
                                  <w:tcW w:w="9709" w:type="dxa"/>
                                  <w:tcBorders>
                                    <w:bottom w:val="single" w:sz="8" w:space="0" w:color="FF6A00"/>
                                  </w:tcBorders>
                                  <w:tcMar>
                                    <w:bottom w:w="80" w:type="dxa"/>
                                  </w:tcMar>
                                  <w:vAlign w:val="center"/>
                                </w:tcPr>
                                <w:p>
                                  <w:pPr>
                                    <w:pStyle w:val="TableContents"/>
                                    <w:bidi w:val="0"/>
                                    <w:spacing w:before="0" w:after="283"/>
                                    <w:jc w:val="left"/>
                                    <w:rPr/>
                                  </w:pPr>
                                  <w:r>
                                    <w:rPr>
                                      <w:spacing w:val="-2"/>
                                    </w:rPr>
                                    <w:t xml:space="preserve">The Board of Directors unanimously recommends a vote </w:t>
                                  </w:r>
                                  <w:r>
                                    <w:rPr>
                                      <w:color w:val="FF6A00"/>
                                      <w:spacing w:val="-2"/>
                                    </w:rPr>
                                    <w:t>FOR</w:t>
                                  </w:r>
                                  <w:r>
                                    <w:rPr>
                                      <w:spacing w:val="-2"/>
                                    </w:rPr>
                                    <w:t xml:space="preserve"> ratification of the selection of Deloitte &amp; Touche LLP as our independent registered public accounting firm.</w:t>
                                  </w:r>
                                  <w:r>
                                    <w:rPr/>
                                    <w:t xml:space="preserve"> </w:t>
                                  </w:r>
                                </w:p>
                              </w:tc>
                              <w:tc>
                                <w:tcPr>
                                  <w:tcW w:w="109" w:type="dxa"/>
                                  <w:tcBorders>
                                    <w:bottom w:val="single" w:sz="8" w:space="0" w:color="FF6A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17pt;height:60.55pt;mso-wrap-distance-left:5pt;mso-wrap-distance-right:0pt;mso-wrap-distance-top:0pt;mso-wrap-distance-bottom:0pt;margin-top:0pt;mso-position-vertical:top;mso-position-vertical-relative:text;margin-left:5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109"/>
                        <w:gridCol w:w="97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FF6A00"/>
                            </w:tcBorders>
                            <w:tcMar>
                              <w:bottom w:w="28" w:type="dxa"/>
                            </w:tcMar>
                            <w:vAlign w:val="center"/>
                          </w:tcPr>
                          <w:p>
                            <w:pPr>
                              <w:pStyle w:val="TableContents"/>
                              <w:bidi w:val="0"/>
                              <w:spacing w:before="0" w:after="283"/>
                              <w:jc w:val="left"/>
                              <w:rPr/>
                            </w:pPr>
                            <w:r>
                              <w:rPr/>
                              <w:t>​</w:t>
                            </w:r>
                          </w:p>
                        </w:tc>
                        <w:tc>
                          <w:tcPr>
                            <w:tcW w:w="9709" w:type="dxa"/>
                            <w:tcBorders>
                              <w:bottom w:val="single" w:sz="8" w:space="0" w:color="FF6A00"/>
                            </w:tcBorders>
                            <w:tcMar>
                              <w:bottom w:w="80" w:type="dxa"/>
                            </w:tcMar>
                            <w:vAlign w:val="center"/>
                          </w:tcPr>
                          <w:p>
                            <w:pPr>
                              <w:pStyle w:val="TableContents"/>
                              <w:bidi w:val="0"/>
                              <w:spacing w:before="0" w:after="283"/>
                              <w:jc w:val="left"/>
                              <w:rPr/>
                            </w:pPr>
                            <w:r>
                              <w:rPr>
                                <w:spacing w:val="-2"/>
                              </w:rPr>
                              <w:t xml:space="preserve">The Board of Directors unanimously recommends a vote </w:t>
                            </w:r>
                            <w:r>
                              <w:rPr>
                                <w:color w:val="FF6A00"/>
                                <w:spacing w:val="-2"/>
                              </w:rPr>
                              <w:t>FOR</w:t>
                            </w:r>
                            <w:r>
                              <w:rPr>
                                <w:spacing w:val="-2"/>
                              </w:rPr>
                              <w:t xml:space="preserve"> ratification of the selection of Deloitte &amp; Touche LLP as our independent registered public accounting firm.</w:t>
                            </w:r>
                            <w:r>
                              <w:rPr/>
                              <w:t xml:space="preserve"> </w:t>
                            </w:r>
                          </w:p>
                        </w:tc>
                        <w:tc>
                          <w:tcPr>
                            <w:tcW w:w="109" w:type="dxa"/>
                            <w:tcBorders>
                              <w:bottom w:val="single" w:sz="8" w:space="0" w:color="FF6A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TextBody"/>
        <w:bidi w:val="0"/>
        <w:spacing w:lineRule="atLeast" w:line="400" w:before="340" w:after="283"/>
        <w:ind w:left="1140" w:right="0" w:hanging="0"/>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Principal Accounting Fees and Services</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Deloitte &amp; Touche LLP (“Deloitte &amp; Touche”) has audited our financial statements since fiscal year 2016 and currently serves as our independent registered public accounting firm. The following table presents fees paid for the audit of our annual consolidated financial statements and all other professional services for each of the last two years:</w:t>
      </w:r>
      <w:r>
        <w:rPr>
          <w:rFonts w:ascii="Arial;Helvetica;sans-serif" w:hAnsi="Arial;Helvetica;sans-serif"/>
          <w:b w:val="false"/>
          <w:i w:val="false"/>
          <w:caps w:val="false"/>
          <w:smallCaps w:val="false"/>
          <w:color w:val="000000"/>
          <w:spacing w:val="4"/>
          <w:sz w:val="22"/>
        </w:rPr>
        <w:t xml:space="preserve"> </w:t>
      </w:r>
    </w:p>
    <w:tbl>
      <w:tblPr>
        <w:tblW w:w="5704" w:type="dxa"/>
        <w:jc w:val="left"/>
        <w:tblInd w:w="1140" w:type="dxa"/>
        <w:tblLayout w:type="fixed"/>
        <w:tblCellMar>
          <w:top w:w="0" w:type="dxa"/>
          <w:left w:w="0" w:type="dxa"/>
          <w:bottom w:w="28" w:type="dxa"/>
          <w:right w:w="0" w:type="dxa"/>
        </w:tblCellMar>
      </w:tblPr>
      <w:tblGrid>
        <w:gridCol w:w="124"/>
        <w:gridCol w:w="1970"/>
        <w:gridCol w:w="109"/>
        <w:gridCol w:w="109"/>
        <w:gridCol w:w="109"/>
        <w:gridCol w:w="226"/>
        <w:gridCol w:w="1066"/>
        <w:gridCol w:w="109"/>
        <w:gridCol w:w="109"/>
        <w:gridCol w:w="109"/>
        <w:gridCol w:w="109"/>
        <w:gridCol w:w="226"/>
        <w:gridCol w:w="1066"/>
        <w:gridCol w:w="109"/>
        <w:gridCol w:w="154"/>
      </w:tblGrid>
      <w:tr>
        <w:trPr/>
        <w:tc>
          <w:tcPr>
            <w:tcW w:w="124" w:type="dxa"/>
            <w:tcBorders>
              <w:bottom w:val="single" w:sz="2" w:space="0" w:color="FF6A00"/>
            </w:tcBorders>
            <w:shd w:fill="FF6A00" w:val="clear"/>
            <w:vAlign w:val="center"/>
          </w:tcPr>
          <w:p>
            <w:pPr>
              <w:pStyle w:val="TableContents"/>
              <w:bidi w:val="0"/>
              <w:spacing w:before="0" w:after="283"/>
              <w:jc w:val="left"/>
              <w:rPr/>
            </w:pPr>
            <w:r>
              <w:rPr/>
              <w:t>​</w:t>
            </w:r>
          </w:p>
        </w:tc>
        <w:tc>
          <w:tcPr>
            <w:tcW w:w="1970" w:type="dxa"/>
            <w:tcBorders>
              <w:bottom w:val="single" w:sz="2" w:space="0" w:color="FF6A00"/>
            </w:tcBorders>
            <w:shd w:fill="FF6A00" w:val="clear"/>
            <w:vAlign w:val="center"/>
          </w:tcPr>
          <w:p>
            <w:pPr>
              <w:pStyle w:val="TableContents"/>
              <w:bidi w:val="0"/>
              <w:spacing w:before="0" w:after="283"/>
              <w:jc w:val="left"/>
              <w:rPr/>
            </w:pPr>
            <w:r>
              <w:rPr/>
              <w:t>​</w:t>
            </w:r>
          </w:p>
        </w:tc>
        <w:tc>
          <w:tcPr>
            <w:tcW w:w="109" w:type="dxa"/>
            <w:tcBorders>
              <w:bottom w:val="single" w:sz="2" w:space="0" w:color="FF6A00"/>
            </w:tcBorders>
            <w:shd w:fill="FF6A00" w:val="clear"/>
            <w:vAlign w:val="center"/>
          </w:tcPr>
          <w:p>
            <w:pPr>
              <w:pStyle w:val="TableContents"/>
              <w:bidi w:val="0"/>
              <w:spacing w:before="0" w:after="283"/>
              <w:jc w:val="left"/>
              <w:rPr/>
            </w:pPr>
            <w:r>
              <w:rPr/>
              <w:t>​</w:t>
            </w:r>
          </w:p>
        </w:tc>
        <w:tc>
          <w:tcPr>
            <w:tcW w:w="109" w:type="dxa"/>
            <w:tcBorders>
              <w:bottom w:val="single" w:sz="2" w:space="0" w:color="FEFEFE"/>
            </w:tcBorders>
            <w:shd w:fill="FF6A00" w:val="clear"/>
            <w:vAlign w:val="center"/>
          </w:tcPr>
          <w:p>
            <w:pPr>
              <w:pStyle w:val="TableContents"/>
              <w:bidi w:val="0"/>
              <w:spacing w:before="0" w:after="283"/>
              <w:jc w:val="left"/>
              <w:rPr/>
            </w:pPr>
            <w:r>
              <w:rPr/>
              <w:t>​</w:t>
            </w:r>
          </w:p>
        </w:tc>
        <w:tc>
          <w:tcPr>
            <w:tcW w:w="3238" w:type="dxa"/>
            <w:gridSpan w:val="10"/>
            <w:tcBorders>
              <w:bottom w:val="single" w:sz="2" w:space="0" w:color="FEFEFE"/>
            </w:tcBorders>
            <w:shd w:fill="FF6A00" w:val="clear"/>
            <w:tcMar>
              <w:bottom w:w="43" w:type="dxa"/>
            </w:tcMar>
            <w:vAlign w:val="center"/>
          </w:tcPr>
          <w:p>
            <w:pPr>
              <w:pStyle w:val="TableContents"/>
              <w:bidi w:val="0"/>
              <w:spacing w:before="0" w:after="0"/>
              <w:jc w:val="center"/>
              <w:rPr>
                <w:spacing w:val="-2"/>
              </w:rPr>
            </w:pPr>
            <w:r>
              <w:rPr>
                <w:spacing w:val="-2"/>
              </w:rPr>
              <w:t xml:space="preserve">For the Years Ended </w:t>
              <w:br/>
              <w:t xml:space="preserve">December 31, </w:t>
            </w:r>
          </w:p>
        </w:tc>
        <w:tc>
          <w:tcPr>
            <w:tcW w:w="154" w:type="dxa"/>
            <w:tcBorders>
              <w:bottom w:val="single" w:sz="2" w:space="0" w:color="FEFEFE"/>
            </w:tcBorders>
            <w:shd w:fill="FF6A00" w:val="clear"/>
            <w:vAlign w:val="center"/>
          </w:tcPr>
          <w:p>
            <w:pPr>
              <w:pStyle w:val="TableContents"/>
              <w:bidi w:val="0"/>
              <w:spacing w:before="0" w:after="283"/>
              <w:jc w:val="left"/>
              <w:rPr/>
            </w:pPr>
            <w:r>
              <w:rPr/>
              <w:t>​</w:t>
            </w:r>
          </w:p>
        </w:tc>
      </w:tr>
      <w:tr>
        <w:trPr/>
        <w:tc>
          <w:tcPr>
            <w:tcW w:w="124" w:type="dxa"/>
            <w:tcBorders/>
            <w:shd w:fill="FF6A00" w:val="clear"/>
            <w:tcMar>
              <w:bottom w:w="0" w:type="dxa"/>
            </w:tcMar>
            <w:vAlign w:val="center"/>
          </w:tcPr>
          <w:p>
            <w:pPr>
              <w:pStyle w:val="TableContents"/>
              <w:bidi w:val="0"/>
              <w:spacing w:before="0" w:after="283"/>
              <w:jc w:val="left"/>
              <w:rPr/>
            </w:pPr>
            <w:r>
              <w:rPr/>
              <w:t>​</w:t>
            </w:r>
          </w:p>
        </w:tc>
        <w:tc>
          <w:tcPr>
            <w:tcW w:w="1970" w:type="dxa"/>
            <w:tcBorders/>
            <w:shd w:fill="FF6A00" w:val="clear"/>
            <w:tcMar>
              <w:bottom w:w="0" w:type="dxa"/>
            </w:tcMar>
            <w:vAlign w:val="center"/>
          </w:tcPr>
          <w:p>
            <w:pPr>
              <w:pStyle w:val="TableContents"/>
              <w:bidi w:val="0"/>
              <w:spacing w:before="0" w:after="283"/>
              <w:jc w:val="left"/>
              <w:rPr/>
            </w:pPr>
            <w:r>
              <w:rPr/>
              <w:t>​</w:t>
            </w:r>
          </w:p>
        </w:tc>
        <w:tc>
          <w:tcPr>
            <w:tcW w:w="109" w:type="dxa"/>
            <w:tcBorders/>
            <w:shd w:fill="FF6A00" w:val="clear"/>
            <w:tcMar>
              <w:bottom w:w="0" w:type="dxa"/>
            </w:tcMar>
            <w:vAlign w:val="center"/>
          </w:tcPr>
          <w:p>
            <w:pPr>
              <w:pStyle w:val="TableContents"/>
              <w:bidi w:val="0"/>
              <w:spacing w:before="0" w:after="283"/>
              <w:jc w:val="left"/>
              <w:rPr/>
            </w:pPr>
            <w:r>
              <w:rPr/>
              <w:t>​</w:t>
            </w:r>
          </w:p>
        </w:tc>
        <w:tc>
          <w:tcPr>
            <w:tcW w:w="109" w:type="dxa"/>
            <w:tcBorders/>
            <w:shd w:fill="FF6A00" w:val="clear"/>
            <w:tcMar>
              <w:bottom w:w="0" w:type="dxa"/>
            </w:tcMar>
            <w:vAlign w:val="center"/>
          </w:tcPr>
          <w:p>
            <w:pPr>
              <w:pStyle w:val="TableContents"/>
              <w:bidi w:val="0"/>
              <w:spacing w:before="0" w:after="283"/>
              <w:jc w:val="left"/>
              <w:rPr/>
            </w:pPr>
            <w:r>
              <w:rPr/>
              <w:t>​</w:t>
            </w:r>
          </w:p>
        </w:tc>
        <w:tc>
          <w:tcPr>
            <w:tcW w:w="1510" w:type="dxa"/>
            <w:gridSpan w:val="4"/>
            <w:tcBorders/>
            <w:shd w:fill="FF6A00" w:val="clear"/>
            <w:tcMar>
              <w:bottom w:w="0" w:type="dxa"/>
            </w:tcMar>
            <w:vAlign w:val="center"/>
          </w:tcPr>
          <w:p>
            <w:pPr>
              <w:pStyle w:val="TableContents"/>
              <w:bidi w:val="0"/>
              <w:spacing w:before="0" w:after="0"/>
              <w:jc w:val="center"/>
              <w:rPr>
                <w:spacing w:val="-2"/>
              </w:rPr>
            </w:pPr>
            <w:r>
              <w:rPr>
                <w:spacing w:val="-2"/>
              </w:rPr>
              <w:t xml:space="preserve">2024 </w:t>
            </w:r>
          </w:p>
        </w:tc>
        <w:tc>
          <w:tcPr>
            <w:tcW w:w="109" w:type="dxa"/>
            <w:tcBorders/>
            <w:shd w:fill="FF6A00" w:val="clear"/>
            <w:tcMar>
              <w:bottom w:w="0" w:type="dxa"/>
            </w:tcMar>
            <w:vAlign w:val="center"/>
          </w:tcPr>
          <w:p>
            <w:pPr>
              <w:pStyle w:val="TableContents"/>
              <w:bidi w:val="0"/>
              <w:spacing w:before="0" w:after="283"/>
              <w:jc w:val="left"/>
              <w:rPr/>
            </w:pPr>
            <w:r>
              <w:rPr/>
              <w:t>​</w:t>
            </w:r>
          </w:p>
        </w:tc>
        <w:tc>
          <w:tcPr>
            <w:tcW w:w="109" w:type="dxa"/>
            <w:tcBorders/>
            <w:shd w:fill="FF6A00" w:val="clear"/>
            <w:tcMar>
              <w:bottom w:w="0" w:type="dxa"/>
            </w:tcMar>
            <w:vAlign w:val="center"/>
          </w:tcPr>
          <w:p>
            <w:pPr>
              <w:pStyle w:val="TableContents"/>
              <w:bidi w:val="0"/>
              <w:spacing w:before="0" w:after="283"/>
              <w:jc w:val="left"/>
              <w:rPr/>
            </w:pPr>
            <w:r>
              <w:rPr/>
              <w:t>​</w:t>
            </w:r>
          </w:p>
        </w:tc>
        <w:tc>
          <w:tcPr>
            <w:tcW w:w="1510" w:type="dxa"/>
            <w:gridSpan w:val="4"/>
            <w:tcBorders/>
            <w:shd w:fill="FF6A00" w:val="clear"/>
            <w:tcMar>
              <w:bottom w:w="0" w:type="dxa"/>
            </w:tcMar>
            <w:vAlign w:val="center"/>
          </w:tcPr>
          <w:p>
            <w:pPr>
              <w:pStyle w:val="TableContents"/>
              <w:bidi w:val="0"/>
              <w:spacing w:before="0" w:after="0"/>
              <w:jc w:val="center"/>
              <w:rPr>
                <w:spacing w:val="-2"/>
              </w:rPr>
            </w:pPr>
            <w:r>
              <w:rPr>
                <w:spacing w:val="-2"/>
              </w:rPr>
              <w:t xml:space="preserve">2025 </w:t>
            </w:r>
          </w:p>
        </w:tc>
        <w:tc>
          <w:tcPr>
            <w:tcW w:w="154" w:type="dxa"/>
            <w:tcBorders/>
            <w:shd w:fill="FF6A00"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70" w:type="dxa"/>
            <w:tcBorders/>
            <w:tcMar>
              <w:bottom w:w="0" w:type="dxa"/>
            </w:tcMar>
            <w:vAlign w:val="center"/>
          </w:tcPr>
          <w:p>
            <w:pPr>
              <w:pStyle w:val="TableContents"/>
              <w:bidi w:val="0"/>
              <w:spacing w:before="0" w:after="283"/>
              <w:jc w:val="left"/>
              <w:rPr/>
            </w:pPr>
            <w:r>
              <w:rPr>
                <w:spacing w:val="-2"/>
              </w:rPr>
              <w:t>Audit fees</w:t>
            </w:r>
            <w:r>
              <w:rPr>
                <w:spacing w:val="-2"/>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2,108,000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2,241,000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B2B2B2" w:val="clear"/>
            <w:tcMar>
              <w:bottom w:w="0" w:type="dxa"/>
            </w:tcMar>
            <w:vAlign w:val="center"/>
          </w:tcPr>
          <w:p>
            <w:pPr>
              <w:pStyle w:val="TableContents"/>
              <w:bidi w:val="0"/>
              <w:spacing w:before="0" w:after="283"/>
              <w:jc w:val="left"/>
              <w:rPr/>
            </w:pPr>
            <w:r>
              <w:rPr/>
              <w:t>​</w:t>
            </w:r>
          </w:p>
        </w:tc>
        <w:tc>
          <w:tcPr>
            <w:tcW w:w="1970" w:type="dxa"/>
            <w:tcBorders/>
            <w:shd w:fill="B2B2B2" w:val="clear"/>
            <w:tcMar>
              <w:bottom w:w="0" w:type="dxa"/>
            </w:tcMar>
            <w:vAlign w:val="center"/>
          </w:tcPr>
          <w:p>
            <w:pPr>
              <w:pStyle w:val="TableContents"/>
              <w:bidi w:val="0"/>
              <w:spacing w:before="0" w:after="283"/>
              <w:jc w:val="left"/>
              <w:rPr/>
            </w:pPr>
            <w:r>
              <w:rPr>
                <w:spacing w:val="-2"/>
              </w:rPr>
              <w:t>Audit related fees</w:t>
            </w:r>
            <w:r>
              <w:rPr>
                <w:spacing w:val="-2"/>
                <w:sz w:val="13"/>
              </w:rPr>
              <w:t>(2)</w:t>
            </w:r>
            <w:r>
              <w:rPr/>
              <w:t xml:space="preserve"> </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226" w:type="dxa"/>
            <w:tcBorders/>
            <w:shd w:fill="B2B2B2" w:val="clear"/>
            <w:tcMar>
              <w:bottom w:w="0" w:type="dxa"/>
            </w:tcMar>
            <w:vAlign w:val="center"/>
          </w:tcPr>
          <w:p>
            <w:pPr>
              <w:pStyle w:val="TableContents"/>
              <w:bidi w:val="0"/>
              <w:spacing w:before="0" w:after="283"/>
              <w:jc w:val="right"/>
              <w:rPr/>
            </w:pPr>
            <w:r>
              <w:rPr/>
              <w:t>$</w:t>
            </w:r>
          </w:p>
        </w:tc>
        <w:tc>
          <w:tcPr>
            <w:tcW w:w="1066" w:type="dxa"/>
            <w:tcBorders/>
            <w:shd w:fill="B2B2B2" w:val="clear"/>
            <w:tcMar>
              <w:bottom w:w="0" w:type="dxa"/>
            </w:tcMar>
            <w:vAlign w:val="center"/>
          </w:tcPr>
          <w:p>
            <w:pPr>
              <w:pStyle w:val="TableContents"/>
              <w:bidi w:val="0"/>
              <w:spacing w:before="0" w:after="283"/>
              <w:jc w:val="right"/>
              <w:rPr/>
            </w:pPr>
            <w:r>
              <w:rPr/>
              <w:t>57,000</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109" w:type="dxa"/>
            <w:tcBorders/>
            <w:shd w:fill="B2B2B2" w:val="clear"/>
            <w:tcMar>
              <w:bottom w:w="0" w:type="dxa"/>
            </w:tcMar>
            <w:vAlign w:val="center"/>
          </w:tcPr>
          <w:p>
            <w:pPr>
              <w:pStyle w:val="TableContents"/>
              <w:bidi w:val="0"/>
              <w:spacing w:before="0" w:after="283"/>
              <w:jc w:val="left"/>
              <w:rPr/>
            </w:pPr>
            <w:r>
              <w:rPr/>
              <w:t>​</w:t>
            </w:r>
          </w:p>
        </w:tc>
        <w:tc>
          <w:tcPr>
            <w:tcW w:w="226" w:type="dxa"/>
            <w:tcBorders/>
            <w:shd w:fill="B2B2B2" w:val="clear"/>
            <w:tcMar>
              <w:bottom w:w="0" w:type="dxa"/>
            </w:tcMar>
            <w:vAlign w:val="center"/>
          </w:tcPr>
          <w:p>
            <w:pPr>
              <w:pStyle w:val="TableContents"/>
              <w:bidi w:val="0"/>
              <w:spacing w:before="0" w:after="283"/>
              <w:jc w:val="right"/>
              <w:rPr/>
            </w:pPr>
            <w:r>
              <w:rPr/>
              <w:t>$</w:t>
            </w:r>
          </w:p>
        </w:tc>
        <w:tc>
          <w:tcPr>
            <w:tcW w:w="1066" w:type="dxa"/>
            <w:tcBorders/>
            <w:shd w:fill="B2B2B2" w:val="clear"/>
            <w:tcMar>
              <w:bottom w:w="0" w:type="dxa"/>
            </w:tcMar>
            <w:vAlign w:val="center"/>
          </w:tcPr>
          <w:p>
            <w:pPr>
              <w:pStyle w:val="TableContents"/>
              <w:bidi w:val="0"/>
              <w:spacing w:before="0" w:after="283"/>
              <w:jc w:val="right"/>
              <w:rPr/>
            </w:pPr>
            <w:r>
              <w:rPr/>
              <w:t>38,000</w:t>
            </w:r>
          </w:p>
        </w:tc>
        <w:tc>
          <w:tcPr>
            <w:tcW w:w="109" w:type="dxa"/>
            <w:tcBorders/>
            <w:shd w:fill="B2B2B2" w:val="clear"/>
            <w:tcMar>
              <w:bottom w:w="0" w:type="dxa"/>
            </w:tcMar>
            <w:vAlign w:val="center"/>
          </w:tcPr>
          <w:p>
            <w:pPr>
              <w:pStyle w:val="TableContents"/>
              <w:bidi w:val="0"/>
              <w:spacing w:before="0" w:after="283"/>
              <w:jc w:val="left"/>
              <w:rPr/>
            </w:pPr>
            <w:r>
              <w:rPr/>
              <w:t>​</w:t>
            </w:r>
          </w:p>
        </w:tc>
        <w:tc>
          <w:tcPr>
            <w:tcW w:w="154" w:type="dxa"/>
            <w:tcBorders/>
            <w:shd w:fill="B2B2B2"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70" w:type="dxa"/>
            <w:tcBorders/>
            <w:tcMar>
              <w:bottom w:w="0" w:type="dxa"/>
            </w:tcMar>
            <w:vAlign w:val="center"/>
          </w:tcPr>
          <w:p>
            <w:pPr>
              <w:pStyle w:val="TableContents"/>
              <w:bidi w:val="0"/>
              <w:spacing w:before="0" w:after="283"/>
              <w:jc w:val="left"/>
              <w:rPr/>
            </w:pPr>
            <w:r>
              <w:rPr>
                <w:spacing w:val="-2"/>
              </w:rPr>
              <w:t>Tax fees</w:t>
            </w:r>
            <w:r>
              <w:rPr>
                <w:spacing w:val="-2"/>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902,000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1,024,000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B2B2B2"/>
            </w:tcBorders>
            <w:shd w:fill="B2B2B2" w:val="clear"/>
            <w:vAlign w:val="center"/>
          </w:tcPr>
          <w:p>
            <w:pPr>
              <w:pStyle w:val="TableContents"/>
              <w:bidi w:val="0"/>
              <w:spacing w:before="0" w:after="283"/>
              <w:jc w:val="left"/>
              <w:rPr/>
            </w:pPr>
            <w:r>
              <w:rPr/>
              <w:t>​</w:t>
            </w:r>
          </w:p>
        </w:tc>
        <w:tc>
          <w:tcPr>
            <w:tcW w:w="1970" w:type="dxa"/>
            <w:tcBorders>
              <w:bottom w:val="single" w:sz="2" w:space="0" w:color="B2B2B2"/>
            </w:tcBorders>
            <w:shd w:fill="B2B2B2" w:val="clear"/>
            <w:tcMar>
              <w:bottom w:w="50" w:type="dxa"/>
            </w:tcMar>
            <w:vAlign w:val="center"/>
          </w:tcPr>
          <w:p>
            <w:pPr>
              <w:pStyle w:val="TableContents"/>
              <w:bidi w:val="0"/>
              <w:spacing w:lineRule="atLeast" w:line="142" w:before="0" w:after="283"/>
              <w:jc w:val="left"/>
              <w:rPr/>
            </w:pPr>
            <w:r>
              <w:rPr>
                <w:spacing w:val="-2"/>
              </w:rPr>
              <w:t>All other fees</w:t>
            </w:r>
            <w:r>
              <w:rPr>
                <w:spacing w:val="-2"/>
                <w:sz w:val="13"/>
              </w:rPr>
              <w:t>(4)</w:t>
            </w:r>
            <w:r>
              <w:rPr/>
              <w:t xml:space="preserve"> </w:t>
            </w:r>
          </w:p>
        </w:tc>
        <w:tc>
          <w:tcPr>
            <w:tcW w:w="109" w:type="dxa"/>
            <w:tcBorders>
              <w:bottom w:val="single" w:sz="2" w:space="0" w:color="B2B2B2"/>
            </w:tcBorders>
            <w:shd w:fill="B2B2B2"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226" w:type="dxa"/>
            <w:tcBorders>
              <w:bottom w:val="single" w:sz="2" w:space="0" w:color="000000"/>
            </w:tcBorders>
            <w:shd w:fill="B2B2B2"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B2B2B2" w:val="clear"/>
            <w:tcMar>
              <w:bottom w:w="50" w:type="dxa"/>
            </w:tcMar>
            <w:vAlign w:val="center"/>
          </w:tcPr>
          <w:p>
            <w:pPr>
              <w:pStyle w:val="TableContents"/>
              <w:bidi w:val="0"/>
              <w:spacing w:before="0" w:after="283"/>
              <w:jc w:val="right"/>
              <w:rPr/>
            </w:pPr>
            <w:r>
              <w:rPr/>
              <w:t>2,000</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226" w:type="dxa"/>
            <w:tcBorders>
              <w:bottom w:val="single" w:sz="2" w:space="0" w:color="000000"/>
            </w:tcBorders>
            <w:shd w:fill="B2B2B2"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B2B2B2" w:val="clear"/>
            <w:tcMar>
              <w:bottom w:w="50" w:type="dxa"/>
            </w:tcMar>
            <w:vAlign w:val="center"/>
          </w:tcPr>
          <w:p>
            <w:pPr>
              <w:pStyle w:val="TableContents"/>
              <w:bidi w:val="0"/>
              <w:spacing w:before="0" w:after="283"/>
              <w:jc w:val="right"/>
              <w:rPr/>
            </w:pPr>
            <w:r>
              <w:rPr/>
              <w:t>4,000</w:t>
            </w:r>
          </w:p>
        </w:tc>
        <w:tc>
          <w:tcPr>
            <w:tcW w:w="109" w:type="dxa"/>
            <w:tcBorders>
              <w:bottom w:val="single" w:sz="2" w:space="0" w:color="000000"/>
            </w:tcBorders>
            <w:shd w:fill="B2B2B2" w:val="clear"/>
            <w:vAlign w:val="center"/>
          </w:tcPr>
          <w:p>
            <w:pPr>
              <w:pStyle w:val="TableContents"/>
              <w:bidi w:val="0"/>
              <w:spacing w:before="0" w:after="283"/>
              <w:jc w:val="left"/>
              <w:rPr/>
            </w:pPr>
            <w:r>
              <w:rPr/>
              <w:t>​</w:t>
            </w:r>
          </w:p>
        </w:tc>
        <w:tc>
          <w:tcPr>
            <w:tcW w:w="154" w:type="dxa"/>
            <w:tcBorders>
              <w:bottom w:val="single" w:sz="2" w:space="0" w:color="000000"/>
            </w:tcBorders>
            <w:shd w:fill="B2B2B2" w:val="cle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970" w:type="dxa"/>
            <w:tcBorders>
              <w:bottom w:val="single" w:sz="2" w:space="0" w:color="FFFFFF"/>
            </w:tcBorders>
            <w:tcMar>
              <w:bottom w:w="50" w:type="dxa"/>
            </w:tcMar>
            <w:vAlign w:val="center"/>
          </w:tcPr>
          <w:p>
            <w:pPr>
              <w:pStyle w:val="TableContents"/>
              <w:bidi w:val="0"/>
              <w:spacing w:before="0" w:after="283"/>
              <w:jc w:val="left"/>
              <w:rPr>
                <w:spacing w:val="-2"/>
              </w:rPr>
            </w:pPr>
            <w:r>
              <w:rPr>
                <w:spacing w:val="-2"/>
              </w:rPr>
              <w:t xml:space="preserve">Total Fees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3,069,000</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3,307,000</w:t>
            </w:r>
          </w:p>
        </w:tc>
        <w:tc>
          <w:tcPr>
            <w:tcW w:w="109" w:type="dxa"/>
            <w:tcBorders>
              <w:bottom w:val="single" w:sz="2" w:space="0" w:color="000000"/>
            </w:tcBorders>
            <w:vAlign w:val="center"/>
          </w:tcPr>
          <w:p>
            <w:pPr>
              <w:pStyle w:val="TableContents"/>
              <w:bidi w:val="0"/>
              <w:spacing w:before="0" w:after="283"/>
              <w:jc w:val="left"/>
              <w:rPr/>
            </w:pPr>
            <w:r>
              <w:rPr/>
              <w:t>​</w:t>
            </w:r>
          </w:p>
        </w:tc>
        <w:tc>
          <w:tcPr>
            <w:tcW w:w="154" w:type="dxa"/>
            <w:tcBorders>
              <w:bottom w:val="single" w:sz="2" w:space="0" w:color="000000"/>
            </w:tcBorders>
            <w:vAlign w:val="center"/>
          </w:tcPr>
          <w:p>
            <w:pPr>
              <w:pStyle w:val="TableContents"/>
              <w:bidi w:val="0"/>
              <w:spacing w:before="0" w:after="283"/>
              <w:jc w:val="left"/>
              <w:rPr/>
            </w:pPr>
            <w:r>
              <w:rPr/>
              <w:t>​</w:t>
            </w:r>
          </w:p>
        </w:tc>
      </w:tr>
    </w:tbl>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20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Audit fees include amounts for the annual audit of our consolidated financial statements and internal control over financial reporting, statutory audits at certain foreign subsidiaries, and the reviews of the consolidated financial statements included in our Quarterly Reports on Form 10-Q.</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127000" distB="0" distL="0" distR="0" simplePos="0" locked="0" layoutInCell="1" allowOverlap="1" relativeHeight="349">
                <wp:simplePos x="0" y="0"/>
                <wp:positionH relativeFrom="column">
                  <wp:align>left</wp:align>
                </wp:positionH>
                <wp:positionV relativeFrom="line">
                  <wp:align>top</wp:align>
                </wp:positionV>
                <wp:extent cx="254000" cy="330200"/>
                <wp:effectExtent l="0" t="0" r="0" b="0"/>
                <wp:wrapSquare wrapText="right"/>
                <wp:docPr id="342" name="Frame219"/>
                <a:graphic xmlns:a="http://schemas.openxmlformats.org/drawingml/2006/main">
                  <a:graphicData uri="http://schemas.microsoft.com/office/word/2010/wordprocessingShape">
                    <wps:wsp>
                      <wps:cNvSpPr txBox="1"/>
                      <wps:spPr>
                        <a:xfrm>
                          <a:off x="0" y="0"/>
                          <a:ext cx="254000" cy="330200"/>
                        </a:xfrm>
                        <a:prstGeom prst="rect"/>
                        <a:solidFill>
                          <a:srgbClr val="FFFFFF"/>
                        </a:solidFill>
                      </wps:spPr>
                      <wps:txbx>
                        <w:txbxContent>
                          <w:p>
                            <w:pPr>
                              <w:pStyle w:val="TextBody"/>
                              <w:bidi w:val="0"/>
                              <w:spacing w:lineRule="atLeast" w:line="260" w:before="0" w:after="283"/>
                              <w:jc w:val="left"/>
                              <w:rPr>
                                <w:sz w:val="22"/>
                              </w:rPr>
                            </w:pPr>
                            <w:r>
                              <w:rPr>
                                <w:spacing w:val="-2"/>
                                <w:sz w:val="22"/>
                              </w:rPr>
                              <w:t>(1)</w:t>
                            </w:r>
                            <w:r>
                              <w:rPr>
                                <w:sz w:val="22"/>
                              </w:rPr>
                              <w:t xml:space="preserve"> </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lineRule="atLeast" w:line="260" w:before="0" w:after="283"/>
                        <w:jc w:val="left"/>
                        <w:rPr>
                          <w:sz w:val="22"/>
                        </w:rPr>
                      </w:pPr>
                      <w:r>
                        <w:rPr>
                          <w:spacing w:val="-2"/>
                          <w:sz w:val="22"/>
                        </w:rPr>
                        <w:t>(1)</w:t>
                      </w:r>
                      <w:r>
                        <w:rPr>
                          <w:sz w:val="22"/>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80" w:after="0"/>
        <w:ind w:left="1540" w:right="0" w:hanging="0"/>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Audit related fees represent amounts reasonably related to the performance of the audit or review of the consolidated financial statements that are not reported under the Audit Fees category such as attestation services requested by management. </w:t>
      </w:r>
      <w:r>
        <mc:AlternateContent>
          <mc:Choice Requires="wps">
            <w:drawing>
              <wp:anchor behindDoc="0" distT="50800" distB="0" distL="0" distR="0" simplePos="0" locked="0" layoutInCell="1" allowOverlap="1" relativeHeight="350">
                <wp:simplePos x="0" y="0"/>
                <wp:positionH relativeFrom="column">
                  <wp:align>left</wp:align>
                </wp:positionH>
                <wp:positionV relativeFrom="line">
                  <wp:align>top</wp:align>
                </wp:positionV>
                <wp:extent cx="254000" cy="330200"/>
                <wp:effectExtent l="0" t="0" r="0" b="0"/>
                <wp:wrapSquare wrapText="right"/>
                <wp:docPr id="343" name="Frame220"/>
                <a:graphic xmlns:a="http://schemas.openxmlformats.org/drawingml/2006/main">
                  <a:graphicData uri="http://schemas.microsoft.com/office/word/2010/wordprocessingShape">
                    <wps:wsp>
                      <wps:cNvSpPr txBox="1"/>
                      <wps:spPr>
                        <a:xfrm>
                          <a:off x="0" y="0"/>
                          <a:ext cx="254000" cy="330200"/>
                        </a:xfrm>
                        <a:prstGeom prst="rect"/>
                        <a:solidFill>
                          <a:srgbClr val="FFFFFF"/>
                        </a:solidFill>
                      </wps:spPr>
                      <wps:txbx>
                        <w:txbxContent>
                          <w:p>
                            <w:pPr>
                              <w:pStyle w:val="TextBody"/>
                              <w:bidi w:val="0"/>
                              <w:spacing w:lineRule="atLeast" w:line="260" w:before="0" w:after="283"/>
                              <w:jc w:val="left"/>
                              <w:rPr>
                                <w:sz w:val="22"/>
                              </w:rPr>
                            </w:pPr>
                            <w:r>
                              <w:rPr>
                                <w:spacing w:val="-2"/>
                                <w:sz w:val="22"/>
                              </w:rPr>
                              <w:t>(2)</w:t>
                            </w:r>
                            <w:r>
                              <w:rPr>
                                <w:sz w:val="22"/>
                              </w:rPr>
                              <w:t xml:space="preserve"> </w:t>
                              <w:br/>
                            </w:r>
                          </w:p>
                        </w:txbxContent>
                      </wps:txbx>
                      <wps:bodyPr anchor="t" lIns="0" tIns="0" rIns="0" bIns="0">
                        <a:noAutofit/>
                      </wps:bodyPr>
                    </wps:wsp>
                  </a:graphicData>
                </a:graphic>
              </wp:anchor>
            </w:drawing>
          </mc:Choice>
          <mc:Fallback>
            <w:pict>
              <v:rect style="position:absolute;rotation:-0;width:20pt;height:2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60" w:before="0" w:after="283"/>
                        <w:jc w:val="left"/>
                        <w:rPr>
                          <w:sz w:val="22"/>
                        </w:rPr>
                      </w:pPr>
                      <w:r>
                        <w:rPr>
                          <w:spacing w:val="-2"/>
                          <w:sz w:val="22"/>
                        </w:rPr>
                        <w:t>(2)</w:t>
                      </w:r>
                      <w:r>
                        <w:rPr>
                          <w:sz w:val="22"/>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40" w:before="78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344"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112" descr=""/>
                          <pic:cNvPicPr>
                            <a:picLocks noChangeAspect="1" noChangeArrowheads="1"/>
                          </pic:cNvPicPr>
                        </pic:nvPicPr>
                        <pic:blipFill>
                          <a:blip r:embed="rId125"/>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60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caps w:val="false"/>
          <w:smallCaps w:val="false"/>
          <w:color w:val="FF6A00"/>
        </w:rPr>
      </w:pPr>
      <w:r>
        <w:rPr>
          <w:caps w:val="false"/>
          <w:smallCaps w:val="false"/>
          <w:color w:val="FF6A00"/>
          <w:spacing w:val="-2"/>
        </w:rPr>
        <w:t> </w:t>
      </w:r>
      <w:r>
        <w:rPr>
          <w:caps w:val="false"/>
          <w:smallCaps w:val="false"/>
          <w:color w:val="FF6A00"/>
        </w:rPr>
        <w:t xml:space="preserve"> </w:t>
      </w:r>
    </w:p>
    <w:p>
      <w:pPr>
        <w:pStyle w:val="TextBody"/>
        <w:bidi w:val="0"/>
        <w:spacing w:lineRule="atLeast" w:line="260" w:before="480" w:after="283"/>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Tax fees were primarily related to tax planning and compliance services, including assistance related to certain foreign subsidiaries. The increase in 2025 is primarily related to tax compliance services in connection with a recent divestiture and assistance with R&amp;D tax credit assessments.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0" distB="0" distL="0" distR="0" simplePos="0" locked="0" layoutInCell="1" allowOverlap="1" relativeHeight="351">
                <wp:simplePos x="0" y="0"/>
                <wp:positionH relativeFrom="column">
                  <wp:align>left</wp:align>
                </wp:positionH>
                <wp:positionV relativeFrom="line">
                  <wp:posOffset>635</wp:posOffset>
                </wp:positionV>
                <wp:extent cx="254000" cy="350520"/>
                <wp:effectExtent l="0" t="0" r="0" b="0"/>
                <wp:wrapSquare wrapText="right"/>
                <wp:docPr id="345" name="Frame2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6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60" w:before="0" w:after="283"/>
                        <w:jc w:val="left"/>
                        <w:rPr/>
                      </w:pPr>
                      <w:r>
                        <w:rPr>
                          <w:spacing w:val="-2"/>
                        </w:rPr>
                        <w:t>(3)</w:t>
                      </w:r>
                      <w:r>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60" w:before="80" w:after="0"/>
        <w:ind w:left="15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All other fees are licensing fees for technical research tools.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0800" distB="0" distL="0" distR="0" simplePos="0" locked="0" layoutInCell="1" allowOverlap="1" relativeHeight="352">
                <wp:simplePos x="0" y="0"/>
                <wp:positionH relativeFrom="column">
                  <wp:align>left</wp:align>
                </wp:positionH>
                <wp:positionV relativeFrom="line">
                  <wp:align>top</wp:align>
                </wp:positionV>
                <wp:extent cx="254000" cy="350520"/>
                <wp:effectExtent l="0" t="0" r="0" b="0"/>
                <wp:wrapSquare wrapText="right"/>
                <wp:docPr id="346" name="Frame2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60" w:before="0" w:after="283"/>
                              <w:jc w:val="left"/>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60" w:before="0" w:after="283"/>
                        <w:jc w:val="left"/>
                        <w:rPr/>
                      </w:pPr>
                      <w:r>
                        <w:rPr>
                          <w:spacing w:val="-2"/>
                        </w:rPr>
                        <w:t>(4)</w:t>
                      </w:r>
                      <w:r>
                        <w:rPr/>
                        <w:t xml:space="preserve"> </w:t>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services provided by Deloitte &amp; Touche were preapproved by the Audit Committee. The Audit Committee has considered whether the provision of the above noted services is compatible with maintaining the independence of the independent registered public accounting firm and has determined, based on advice from Deloitte &amp; Touche, that the provision of such services has not adversely affected Deloitte &amp; Touche’s independence.</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According to its charter, the Audit Committee is responsible for approving all audit engagement fees, terms, and non-audit engagements with the independent auditors on behalf of the Company in advance of providing any service. </w:t>
      </w:r>
    </w:p>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347"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113" descr=""/>
                          <pic:cNvPicPr>
                            <a:picLocks noChangeAspect="1" noChangeArrowheads="1"/>
                          </pic:cNvPicPr>
                        </pic:nvPicPr>
                        <pic:blipFill>
                          <a:blip r:embed="rId126"/>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61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P3AA"/>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caps w:val="false"/>
          <w:smallCaps w:val="false"/>
          <w:color w:val="FF6A00"/>
        </w:rPr>
      </w:pPr>
      <w:r>
        <w:rPr>
          <w:caps w:val="false"/>
          <w:smallCaps w:val="false"/>
          <w:color w:val="FF6A00"/>
          <w:spacing w:val="-2"/>
        </w:rPr>
        <w:t> </w:t>
      </w:r>
      <w:r>
        <w:rPr>
          <w:caps w:val="false"/>
          <w:smallCaps w:val="false"/>
          <w:color w:val="FF6A00"/>
        </w:rPr>
        <w:t xml:space="preserve"> </w:t>
      </w:r>
    </w:p>
    <w:p>
      <w:pPr>
        <w:pStyle w:val="TextBody"/>
        <w:bidi w:val="0"/>
        <w:spacing w:lineRule="atLeast" w:line="520" w:before="480" w:after="283"/>
        <w:ind w:left="1140" w:right="0" w:hanging="0"/>
        <w:jc w:val="left"/>
        <w:rPr>
          <w:rFonts w:ascii="Arial;Helvetica;sans-serif" w:hAnsi="Arial;Helvetica;sans-serif"/>
          <w:b w:val="false"/>
          <w:i w:val="false"/>
          <w:caps w:val="false"/>
          <w:smallCaps w:val="false"/>
          <w:color w:val="000000"/>
          <w:sz w:val="48"/>
        </w:rPr>
      </w:pPr>
      <w:r>
        <w:rPr>
          <w:rFonts w:ascii="Arial;Helvetica;sans-serif" w:hAnsi="Arial;Helvetica;sans-serif"/>
          <w:b w:val="false"/>
          <w:i w:val="false"/>
          <w:caps w:val="false"/>
          <w:smallCaps w:val="false"/>
          <w:color w:val="000000"/>
          <w:spacing w:val="-5"/>
          <w:sz w:val="48"/>
        </w:rPr>
        <w:t>Proposal 3 — Advisory Approval of Executive Compensation</w:t>
      </w:r>
      <w:r>
        <w:rPr>
          <w:rFonts w:ascii="Arial;Helvetica;sans-serif" w:hAnsi="Arial;Helvetica;sans-serif"/>
          <w:b w:val="false"/>
          <w:i w:val="false"/>
          <w:caps w:val="false"/>
          <w:smallCaps w:val="false"/>
          <w:color w:val="000000"/>
          <w:spacing w:val="10"/>
          <w:sz w:val="48"/>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As required by Regulation 14A of the Exchange Act, we are offering our stockholders an opportunity to cast an advisory vote on the compensation of our named executive officers, as disclosed in this proxy statement. Although the vote is non-binding, we value continuing and constructive feedback from our stockholders on compensation and other important matters. The Board and the Human Capital and Compensation Committee will consider the voting results when making future compensation decisions.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At the 2025 annual meeting of stockholders, we provided our stockholders with the opportunity to cast an advisory vote on the compensation of our named executive officers as disclosed in the proxy statement for the 2025 annual meeting, and our stockholders overwhelmingly approved the proposal, with 96% of the votes cast in favor.</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As described in the “Compensation Discussion and Analysis” section of this proxy statement, we believe that our executive compensation program enables us to attract, retain, and motivate a high-performance executive management team that improves our fundamental financial performance and provides value to the long-term interests of Generac and its stockholders.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We ask for your advisory vote on the following resolution:</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2" w:before="86" w:after="0"/>
        <w:ind w:left="1940" w:right="0" w:hanging="0"/>
        <w:jc w:val="left"/>
        <w:rPr>
          <w:caps w:val="false"/>
          <w:smallCaps w:val="false"/>
          <w:color w:val="000000"/>
        </w:rPr>
      </w:pPr>
      <w:r>
        <w:rPr>
          <w:caps w:val="false"/>
          <w:smallCaps w:val="false"/>
          <w:color w:val="000000"/>
          <w:spacing w:val="-2"/>
        </w:rPr>
        <w:t>“</w:t>
      </w:r>
      <w:r>
        <w:rPr>
          <w:rFonts w:ascii="Arial;Helvetica;sans-serif" w:hAnsi="Arial;Helvetica;sans-serif"/>
          <w:b/>
          <w:i w:val="false"/>
          <w:caps w:val="false"/>
          <w:smallCaps w:val="false"/>
          <w:color w:val="000000"/>
          <w:spacing w:val="-2"/>
          <w:sz w:val="22"/>
        </w:rPr>
        <w:t>RESOLVED, that the stockholders hereby approve the compensation of Generac’s named executive officers, as described in this proxy statement pursuant to the compensation disclosure rules of the Securities and Exchange Commission.”</w:t>
      </w:r>
      <w:r>
        <w:rPr>
          <w:rFonts w:ascii="Arial;Helvetica;sans-serif" w:hAnsi="Arial;Helvetica;sans-serif"/>
          <w:b/>
          <w:i w:val="false"/>
          <w:caps w:val="false"/>
          <w:smallCaps w:val="false"/>
          <w:color w:val="000000"/>
          <w:spacing w:val="4"/>
          <w:sz w:val="22"/>
        </w:rPr>
        <w:t xml:space="preserve"> </w:t>
      </w:r>
      <w:r>
        <mc:AlternateContent>
          <mc:Choice Requires="wps">
            <w:drawing>
              <wp:anchor behindDoc="0" distT="54610" distB="0" distL="254000" distR="0" simplePos="0" locked="0" layoutInCell="1" allowOverlap="1" relativeHeight="353">
                <wp:simplePos x="0" y="0"/>
                <wp:positionH relativeFrom="column">
                  <wp:align>left</wp:align>
                </wp:positionH>
                <wp:positionV relativeFrom="line">
                  <wp:align>top</wp:align>
                </wp:positionV>
                <wp:extent cx="254000" cy="350520"/>
                <wp:effectExtent l="0" t="0" r="0" b="0"/>
                <wp:wrapSquare wrapText="right"/>
                <wp:docPr id="348" name="Frame2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spacing w:val="-2"/>
                              </w:rPr>
                              <w:t>•</w:t>
                            </w:r>
                            <w:r>
                              <w:rPr/>
                              <w:t xml:space="preserve"> </w:t>
                            </w:r>
                            <w:r>
                              <w:rPr>
                                <w:b/>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3pt;mso-wrap-distance-bottom:0pt;margin-top:4.3pt;mso-position-vertical:top;mso-position-vertical-relative:text;margin-left:20pt;mso-position-horizontal:left;mso-position-horizontal-relative:text">
                <v:textbox>
                  <w:txbxContent>
                    <w:p>
                      <w:pPr>
                        <w:pStyle w:val="TextBody"/>
                        <w:bidi w:val="0"/>
                        <w:spacing w:lineRule="atLeast" w:line="252" w:before="0" w:after="283"/>
                        <w:jc w:val="left"/>
                        <w:rPr/>
                      </w:pPr>
                      <w:r>
                        <w:rPr>
                          <w:color w:val="FF6A00"/>
                          <w:spacing w:val="-2"/>
                        </w:rPr>
                        <w:t>•</w:t>
                      </w:r>
                      <w:r>
                        <w:rPr/>
                        <w:t xml:space="preserve"> </w:t>
                      </w:r>
                      <w:r>
                        <w:rPr>
                          <w:b/>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673100" distR="0" simplePos="0" locked="0" layoutInCell="1" allowOverlap="1" relativeHeight="133">
                <wp:simplePos x="0" y="0"/>
                <wp:positionH relativeFrom="column">
                  <wp:align>left</wp:align>
                </wp:positionH>
                <wp:positionV relativeFrom="line">
                  <wp:posOffset>635</wp:posOffset>
                </wp:positionV>
                <wp:extent cx="850900" cy="665480"/>
                <wp:effectExtent l="0" t="0" r="0" b="0"/>
                <wp:wrapSquare wrapText="right"/>
                <wp:docPr id="349" name="Frame224"/>
                <a:graphic xmlns:a="http://schemas.openxmlformats.org/drawingml/2006/main">
                  <a:graphicData uri="http://schemas.microsoft.com/office/word/2010/wordprocessingShape">
                    <wps:wsp>
                      <wps:cNvSpPr txBox="1"/>
                      <wps:spPr>
                        <a:xfrm>
                          <a:off x="0" y="0"/>
                          <a:ext cx="850900" cy="665480"/>
                        </a:xfrm>
                        <a:prstGeom prst="rect"/>
                        <a:solidFill>
                          <a:srgbClr val="FFFFFF"/>
                        </a:solidFill>
                      </wps:spPr>
                      <wps:txbx>
                        <w:txbxContent>
                          <w:tbl>
                            <w:tblPr>
                              <w:tblW w:w="1061" w:type="dxa"/>
                              <w:jc w:val="left"/>
                              <w:tblInd w:w="0" w:type="dxa"/>
                              <w:tblLayout w:type="fixed"/>
                              <w:tblCellMar>
                                <w:top w:w="0" w:type="dxa"/>
                                <w:left w:w="0" w:type="dxa"/>
                                <w:bottom w:w="0" w:type="dxa"/>
                                <w:right w:w="0" w:type="dxa"/>
                              </w:tblCellMar>
                            </w:tblPr>
                            <w:tblGrid>
                              <w:gridCol w:w="1061"/>
                            </w:tblGrid>
                            <w:tr>
                              <w:trPr/>
                              <w:tc>
                                <w:tcPr>
                                  <w:tcW w:w="1061" w:type="dxa"/>
                                  <w:tcBorders/>
                                  <w:vAlign w:val="center"/>
                                </w:tcPr>
                                <w:p>
                                  <w:pPr>
                                    <w:pStyle w:val="TableContents"/>
                                    <w:bidi w:val="0"/>
                                    <w:spacing w:before="0" w:after="0"/>
                                    <w:jc w:val="left"/>
                                    <w:rPr/>
                                  </w:pPr>
                                  <w:r>
                                    <w:rPr/>
                                    <w:drawing>
                                      <wp:inline distT="0" distB="0" distL="0" distR="0">
                                        <wp:extent cx="542925" cy="457200"/>
                                        <wp:effectExtent l="0" t="0" r="0" b="0"/>
                                        <wp:docPr id="350"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114" descr=""/>
                                                <pic:cNvPicPr>
                                                  <a:picLocks noChangeAspect="1" noChangeArrowheads="1"/>
                                                </pic:cNvPicPr>
                                              </pic:nvPicPr>
                                              <pic:blipFill>
                                                <a:blip r:embed="rId127"/>
                                                <a:stretch>
                                                  <a:fillRect/>
                                                </a:stretch>
                                              </pic:blipFill>
                                              <pic:spPr bwMode="auto">
                                                <a:xfrm>
                                                  <a:off x="0" y="0"/>
                                                  <a:ext cx="542925" cy="457200"/>
                                                </a:xfrm>
                                                <a:prstGeom prst="rect">
                                                  <a:avLst/>
                                                </a:prstGeom>
                                              </pic:spPr>
                                            </pic:pic>
                                          </a:graphicData>
                                        </a:graphic>
                                      </wp:inline>
                                    </w:drawing>
                                  </w:r>
                                  <w:r>
                                    <w:rPr/>
                                    <w:t xml:space="preserve">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67pt;height:52.4pt;mso-wrap-distance-left:53pt;mso-wrap-distance-right:0pt;mso-wrap-distance-top:0pt;mso-wrap-distance-bottom:0pt;margin-top:0pt;mso-position-vertical:top;mso-position-vertical-relative:text;margin-left:53pt;mso-position-horizontal:left;mso-position-horizontal-relative:text">
                <v:textbox>
                  <w:txbxContent>
                    <w:tbl>
                      <w:tblPr>
                        <w:tblW w:w="1061" w:type="dxa"/>
                        <w:jc w:val="left"/>
                        <w:tblInd w:w="0" w:type="dxa"/>
                        <w:tblLayout w:type="fixed"/>
                        <w:tblCellMar>
                          <w:top w:w="0" w:type="dxa"/>
                          <w:left w:w="0" w:type="dxa"/>
                          <w:bottom w:w="0" w:type="dxa"/>
                          <w:right w:w="0" w:type="dxa"/>
                        </w:tblCellMar>
                      </w:tblPr>
                      <w:tblGrid>
                        <w:gridCol w:w="1061"/>
                      </w:tblGrid>
                      <w:tr>
                        <w:trPr/>
                        <w:tc>
                          <w:tcPr>
                            <w:tcW w:w="1061" w:type="dxa"/>
                            <w:tcBorders/>
                            <w:vAlign w:val="center"/>
                          </w:tcPr>
                          <w:p>
                            <w:pPr>
                              <w:pStyle w:val="TableContents"/>
                              <w:bidi w:val="0"/>
                              <w:spacing w:before="0" w:after="0"/>
                              <w:jc w:val="left"/>
                              <w:rPr/>
                            </w:pPr>
                            <w:r>
                              <w:rPr/>
                              <w:drawing>
                                <wp:inline distT="0" distB="0" distL="0" distR="0">
                                  <wp:extent cx="542925" cy="457200"/>
                                  <wp:effectExtent l="0" t="0" r="0" b="0"/>
                                  <wp:docPr id="351"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114" descr=""/>
                                          <pic:cNvPicPr>
                                            <a:picLocks noChangeAspect="1" noChangeArrowheads="1"/>
                                          </pic:cNvPicPr>
                                        </pic:nvPicPr>
                                        <pic:blipFill>
                                          <a:blip r:embed="rId128"/>
                                          <a:stretch>
                                            <a:fillRect/>
                                          </a:stretch>
                                        </pic:blipFill>
                                        <pic:spPr bwMode="auto">
                                          <a:xfrm>
                                            <a:off x="0" y="0"/>
                                            <a:ext cx="542925" cy="457200"/>
                                          </a:xfrm>
                                          <a:prstGeom prst="rect">
                                            <a:avLst/>
                                          </a:prstGeom>
                                        </pic:spPr>
                                      </pic:pic>
                                    </a:graphicData>
                                  </a:graphic>
                                </wp:inline>
                              </w:drawing>
                            </w:r>
                            <w:r>
                              <w:rPr/>
                              <w:t xml:space="preserve">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63500" distR="0" simplePos="0" locked="0" layoutInCell="1" allowOverlap="1" relativeHeight="354">
                <wp:simplePos x="0" y="0"/>
                <wp:positionH relativeFrom="column">
                  <wp:align>left</wp:align>
                </wp:positionH>
                <wp:positionV relativeFrom="line">
                  <wp:posOffset>635</wp:posOffset>
                </wp:positionV>
                <wp:extent cx="5295900" cy="735965"/>
                <wp:effectExtent l="0" t="0" r="0" b="0"/>
                <wp:wrapSquare wrapText="right"/>
                <wp:docPr id="352" name="Frame225"/>
                <a:graphic xmlns:a="http://schemas.openxmlformats.org/drawingml/2006/main">
                  <a:graphicData uri="http://schemas.microsoft.com/office/word/2010/wordprocessingShape">
                    <wps:wsp>
                      <wps:cNvSpPr txBox="1"/>
                      <wps:spPr>
                        <a:xfrm>
                          <a:off x="0" y="0"/>
                          <a:ext cx="5295900" cy="73596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109"/>
                              <w:gridCol w:w="97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FF6A00"/>
                                  </w:tcBorders>
                                  <w:tcMar>
                                    <w:bottom w:w="28" w:type="dxa"/>
                                  </w:tcMar>
                                  <w:vAlign w:val="center"/>
                                </w:tcPr>
                                <w:p>
                                  <w:pPr>
                                    <w:pStyle w:val="TableContents"/>
                                    <w:bidi w:val="0"/>
                                    <w:spacing w:before="0" w:after="283"/>
                                    <w:jc w:val="left"/>
                                    <w:rPr/>
                                  </w:pPr>
                                  <w:r>
                                    <w:rPr/>
                                    <w:t>​</w:t>
                                  </w:r>
                                </w:p>
                              </w:tc>
                              <w:tc>
                                <w:tcPr>
                                  <w:tcW w:w="9709" w:type="dxa"/>
                                  <w:tcBorders>
                                    <w:bottom w:val="single" w:sz="8" w:space="0" w:color="FF6A00"/>
                                  </w:tcBorders>
                                  <w:tcMar>
                                    <w:bottom w:w="28" w:type="dxa"/>
                                  </w:tcMar>
                                  <w:vAlign w:val="center"/>
                                </w:tcPr>
                                <w:p>
                                  <w:pPr>
                                    <w:pStyle w:val="TableContents"/>
                                    <w:bidi w:val="0"/>
                                    <w:spacing w:before="0" w:after="283"/>
                                    <w:jc w:val="left"/>
                                    <w:rPr/>
                                  </w:pPr>
                                  <w:r>
                                    <w:rPr>
                                      <w:spacing w:val="-2"/>
                                    </w:rPr>
                                    <w:t>The Board of Directors unanimously recommends a vote “</w:t>
                                  </w:r>
                                  <w:r>
                                    <w:rPr>
                                      <w:color w:val="FF6A00"/>
                                      <w:spacing w:val="-2"/>
                                    </w:rPr>
                                    <w:t>FOR</w:t>
                                  </w:r>
                                  <w:r>
                                    <w:rPr>
                                      <w:spacing w:val="-2"/>
                                    </w:rPr>
                                    <w:t>” approval of the compensation of our executive officers.</w:t>
                                  </w:r>
                                  <w:r>
                                    <w:rPr/>
                                    <w:t xml:space="preserve"> </w:t>
                                  </w:r>
                                </w:p>
                              </w:tc>
                              <w:tc>
                                <w:tcPr>
                                  <w:tcW w:w="109" w:type="dxa"/>
                                  <w:tcBorders>
                                    <w:bottom w:val="single" w:sz="8" w:space="0" w:color="FF6A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17pt;height:57.95pt;mso-wrap-distance-left:5pt;mso-wrap-distance-right:0pt;mso-wrap-distance-top:0pt;mso-wrap-distance-bottom:0pt;margin-top:0pt;mso-position-vertical:top;mso-position-vertical-relative:text;margin-left:5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109"/>
                        <w:gridCol w:w="97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8" w:space="0" w:color="FF6A00"/>
                            </w:tcBorders>
                            <w:tcMar>
                              <w:bottom w:w="28" w:type="dxa"/>
                            </w:tcMar>
                            <w:vAlign w:val="center"/>
                          </w:tcPr>
                          <w:p>
                            <w:pPr>
                              <w:pStyle w:val="TableContents"/>
                              <w:bidi w:val="0"/>
                              <w:spacing w:before="0" w:after="283"/>
                              <w:jc w:val="left"/>
                              <w:rPr/>
                            </w:pPr>
                            <w:r>
                              <w:rPr/>
                              <w:t>​</w:t>
                            </w:r>
                          </w:p>
                        </w:tc>
                        <w:tc>
                          <w:tcPr>
                            <w:tcW w:w="9709" w:type="dxa"/>
                            <w:tcBorders>
                              <w:bottom w:val="single" w:sz="8" w:space="0" w:color="FF6A00"/>
                            </w:tcBorders>
                            <w:tcMar>
                              <w:bottom w:w="28" w:type="dxa"/>
                            </w:tcMar>
                            <w:vAlign w:val="center"/>
                          </w:tcPr>
                          <w:p>
                            <w:pPr>
                              <w:pStyle w:val="TableContents"/>
                              <w:bidi w:val="0"/>
                              <w:spacing w:before="0" w:after="283"/>
                              <w:jc w:val="left"/>
                              <w:rPr/>
                            </w:pPr>
                            <w:r>
                              <w:rPr>
                                <w:spacing w:val="-2"/>
                              </w:rPr>
                              <w:t>The Board of Directors unanimously recommends a vote “</w:t>
                            </w:r>
                            <w:r>
                              <w:rPr>
                                <w:color w:val="FF6A00"/>
                                <w:spacing w:val="-2"/>
                              </w:rPr>
                              <w:t>FOR</w:t>
                            </w:r>
                            <w:r>
                              <w:rPr>
                                <w:spacing w:val="-2"/>
                              </w:rPr>
                              <w:t>” approval of the compensation of our executive officers.</w:t>
                            </w:r>
                            <w:r>
                              <w:rPr/>
                              <w:t xml:space="preserve"> </w:t>
                            </w:r>
                          </w:p>
                        </w:tc>
                        <w:tc>
                          <w:tcPr>
                            <w:tcW w:w="109" w:type="dxa"/>
                            <w:tcBorders>
                              <w:bottom w:val="single" w:sz="8" w:space="0" w:color="FF6A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TextBody"/>
        <w:bidi w:val="0"/>
        <w:spacing w:lineRule="atLeast" w:line="240" w:before="5607"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353"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115" descr=""/>
                          <pic:cNvPicPr>
                            <a:picLocks noChangeAspect="1" noChangeArrowheads="1"/>
                          </pic:cNvPicPr>
                        </pic:nvPicPr>
                        <pic:blipFill>
                          <a:blip r:embed="rId129"/>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62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ROTA"/>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caps w:val="false"/>
          <w:smallCaps w:val="false"/>
          <w:color w:val="FF6A00"/>
        </w:rPr>
      </w:pPr>
      <w:r>
        <w:rPr>
          <w:caps w:val="false"/>
          <w:smallCaps w:val="false"/>
          <w:color w:val="FF6A00"/>
          <w:spacing w:val="-2"/>
        </w:rPr>
        <w:t> </w:t>
      </w:r>
      <w:r>
        <w:rPr>
          <w:caps w:val="false"/>
          <w:smallCaps w:val="false"/>
          <w:color w:val="FF6A00"/>
        </w:rPr>
        <w:t xml:space="preserve"> </w:t>
      </w:r>
    </w:p>
    <w:p>
      <w:pPr>
        <w:pStyle w:val="TextBody"/>
        <w:bidi w:val="0"/>
        <w:spacing w:lineRule="atLeast" w:line="520" w:before="480" w:after="283"/>
        <w:ind w:left="1140" w:right="0" w:hanging="0"/>
        <w:jc w:val="left"/>
        <w:rPr>
          <w:rFonts w:ascii="Arial;Helvetica;sans-serif" w:hAnsi="Arial;Helvetica;sans-serif"/>
          <w:b w:val="false"/>
          <w:i w:val="false"/>
          <w:caps w:val="false"/>
          <w:smallCaps w:val="false"/>
          <w:color w:val="000000"/>
          <w:sz w:val="48"/>
        </w:rPr>
      </w:pPr>
      <w:r>
        <w:rPr>
          <w:rFonts w:ascii="Arial;Helvetica;sans-serif" w:hAnsi="Arial;Helvetica;sans-serif"/>
          <w:b w:val="false"/>
          <w:i w:val="false"/>
          <w:caps w:val="false"/>
          <w:smallCaps w:val="false"/>
          <w:color w:val="000000"/>
          <w:spacing w:val="-5"/>
          <w:sz w:val="48"/>
        </w:rPr>
        <w:t>Report of the Audit Committee</w:t>
      </w:r>
      <w:r>
        <w:rPr>
          <w:rFonts w:ascii="Arial;Helvetica;sans-serif" w:hAnsi="Arial;Helvetica;sans-serif"/>
          <w:b w:val="false"/>
          <w:i w:val="false"/>
          <w:caps w:val="false"/>
          <w:smallCaps w:val="false"/>
          <w:color w:val="000000"/>
          <w:spacing w:val="10"/>
          <w:sz w:val="48"/>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Audit Committee represents and assists the Board in fulfilling its oversight responsibility relating to (i) the integrity of the Company’s financial statements and financial reporting process and the Company’s systems of internal accounting and financial controls; (ii) the performance of the internal audit services function; (iii) the annual independent audits of the Company’s financial statements and management’s report regarding the effectiveness of the Company’s system of internal control over financial reporting, the engagement of the independent auditors and the evaluation of the independent auditors’ qualifications, independence, and performance; (iv) the compliance by the Company with legal and regulatory requirements, including the Company’s disclosure controls and procedures; (v) the evaluation of enterprise risk issues; and (vi) the fulfillment of the other responsibilities set out in the Audit Committee’s charter. The Audit Committee has the responsibility for the engagement and retention of the Company’s independent registered public accounting firm and the approval of all audit and other engagement fees.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In discharging its responsibilities, the Audit Committee is not itself responsible for the planning or conducting of audits or for any determination that the Company’s financial statements are complete and accurate or in accordance with generally accepted accounting principles. The Company’s management is primarily responsible for its financial statements and the quality and integrity of the reporting process. The independent registered public accounting firm Deloitte &amp; Touche LLP (“Deloitte &amp; Touche”) is responsible for auditing those financial statements in accordance with accounting principles generally accepted in the United States of America.</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In fulfilling its oversight responsibilities, the Audit Committee has reviewed and discussed the audited consolidated financial statements for the year ended December 31, 2025, management’s report of the effectiveness of the Company’s system of internal control over financial reporting, and Deloitte &amp; Touche’s report of the effectiveness of the Company’s system of internal control over financial reporting with the Company’s management and representatives of the independent registered public accounting firm. The Audit Committee discussed with the independent registered public accounting firm the matters required to be discussed by the applicable requirements of the Public Company Accounting Oversight Board (“PCAOB”) and the SEC. In addition, the Audit Committee has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its independence.</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Both the Director — Internal Audit and Deloitte &amp; Touche have direct access to the Audit Committee at any time, and the Committee has the same direct access to the Director — Internal Audit and Deloitte &amp; Touche. The Audit Committee met quarterly with Deloitte &amp; Touche and with the Director — Internal Audit, with and without management present, to discuss the results of their examinations, and the quality of our internal controls and financial reporting. The Audit Committee also met quarterly with the General Counsel on legal and compliance-related matters. The Audit Committee reviewed the Company’s ERM program and met with other members of management in the course of their review of other areas of risk, including information technology systems and security and regulatory matters. </w:t>
      </w:r>
    </w:p>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354"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116" descr=""/>
                          <pic:cNvPicPr>
                            <a:picLocks noChangeAspect="1" noChangeArrowheads="1"/>
                          </pic:cNvPicPr>
                        </pic:nvPicPr>
                        <pic:blipFill>
                          <a:blip r:embed="rId130"/>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63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caps w:val="false"/>
          <w:smallCaps w:val="false"/>
          <w:color w:val="FF6A00"/>
        </w:rPr>
      </w:pPr>
      <w:r>
        <w:rPr>
          <w:caps w:val="false"/>
          <w:smallCaps w:val="false"/>
          <w:color w:val="FF6A00"/>
          <w:spacing w:val="-2"/>
        </w:rPr>
        <w:t> </w:t>
      </w:r>
      <w:r>
        <w:rPr>
          <w:caps w:val="false"/>
          <w:smallCaps w:val="false"/>
          <w:color w:val="FF6A00"/>
        </w:rPr>
        <w:t xml:space="preserve"> </w:t>
      </w:r>
    </w:p>
    <w:p>
      <w:pPr>
        <w:pStyle w:val="TextBody"/>
        <w:bidi w:val="0"/>
        <w:spacing w:lineRule="atLeast" w:line="250" w:before="480" w:after="283"/>
        <w:ind w:left="11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In reliance on its review of the audited consolidated financial statements, the review of the report of management on the effectiveness of the Company’s internal control over financial reporting and Deloitte &amp; Touche’s report thereon, the discussions referred to above, and the receipt of the written disclosures referred to above, the Audit Committee has recommended to the Board of Directors that the audited consolidated financial statements be included in the Company’s Annual Report on Form 10-K for the year ended December 31, 2025, for filing with the SEC.</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caps w:val="false"/>
          <w:smallCaps w:val="false"/>
          <w:color w:val="000000"/>
          <w:sz w:val="22"/>
        </w:rPr>
      </w:pPr>
      <w:r>
        <w:rPr>
          <w:rFonts w:ascii="Arial;Helvetica;sans-serif" w:hAnsi="Arial;Helvetica;sans-serif"/>
          <w:b w:val="false"/>
          <w:i/>
          <w:caps w:val="false"/>
          <w:smallCaps w:val="false"/>
          <w:color w:val="000000"/>
          <w:sz w:val="22"/>
        </w:rPr>
        <w:t>Respectfully submitted by the Audit Committee of the Board of Directors.</w:t>
      </w:r>
      <w:r>
        <w:rPr>
          <w:rFonts w:ascii="Arial;Helvetica;sans-serif" w:hAnsi="Arial;Helvetica;sans-serif"/>
          <w:b w:val="false"/>
          <w:i/>
          <w:caps w:val="false"/>
          <w:smallCaps w:val="false"/>
          <w:color w:val="000000"/>
          <w:spacing w:val="4"/>
          <w:sz w:val="22"/>
        </w:rPr>
        <w:t xml:space="preserve"> </w:t>
      </w:r>
    </w:p>
    <w:p>
      <w:pPr>
        <w:pStyle w:val="TextBody"/>
        <w:bidi w:val="0"/>
        <w:spacing w:lineRule="atLeast" w:line="250" w:before="120" w:after="283"/>
        <w:ind w:left="5940" w:right="0" w:hanging="0"/>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Andrew Lampereur, Chair </w:t>
        <w:br/>
        <w:t xml:space="preserve">Kathryn Bohl </w:t>
        <w:br/>
        <w:t xml:space="preserve">Robert Dixon </w:t>
        <w:br/>
        <w:t xml:space="preserve">David Ramon </w:t>
        <w:br/>
        <w:t xml:space="preserve">Dominick Zarcone </w:t>
      </w:r>
    </w:p>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355"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117" descr=""/>
                          <pic:cNvPicPr>
                            <a:picLocks noChangeAspect="1" noChangeArrowheads="1"/>
                          </pic:cNvPicPr>
                        </pic:nvPicPr>
                        <pic:blipFill>
                          <a:blip r:embed="rId131"/>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64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NAPB"/>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caps w:val="false"/>
          <w:smallCaps w:val="false"/>
          <w:color w:val="FF6A00"/>
        </w:rPr>
      </w:pPr>
      <w:r>
        <w:rPr>
          <w:caps w:val="false"/>
          <w:smallCaps w:val="false"/>
          <w:color w:val="FF6A00"/>
          <w:spacing w:val="-2"/>
        </w:rPr>
        <w:t> </w:t>
      </w:r>
      <w:r>
        <w:rPr>
          <w:caps w:val="false"/>
          <w:smallCaps w:val="false"/>
          <w:color w:val="FF6A00"/>
        </w:rPr>
        <w:t xml:space="preserve"> </w:t>
      </w:r>
    </w:p>
    <w:p>
      <w:pPr>
        <w:pStyle w:val="TextBody"/>
        <w:bidi w:val="0"/>
        <w:spacing w:lineRule="atLeast" w:line="520" w:before="480" w:after="283"/>
        <w:ind w:left="1140" w:right="0" w:hanging="0"/>
        <w:jc w:val="left"/>
        <w:rPr>
          <w:rFonts w:ascii="Arial;Helvetica;sans-serif" w:hAnsi="Arial;Helvetica;sans-serif"/>
          <w:b w:val="false"/>
          <w:i w:val="false"/>
          <w:caps w:val="false"/>
          <w:smallCaps w:val="false"/>
          <w:color w:val="000000"/>
          <w:spacing w:val="-5"/>
          <w:sz w:val="48"/>
        </w:rPr>
      </w:pPr>
      <w:r>
        <w:rPr>
          <w:rFonts w:ascii="Arial;Helvetica;sans-serif" w:hAnsi="Arial;Helvetica;sans-serif"/>
          <w:b w:val="false"/>
          <w:i w:val="false"/>
          <w:caps w:val="false"/>
          <w:smallCaps w:val="false"/>
          <w:color w:val="000000"/>
          <w:spacing w:val="-5"/>
          <w:sz w:val="48"/>
        </w:rPr>
        <w:t xml:space="preserve">Nominations and Proposals by Stockholders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Stockholder Proposals for Inclusion in Our Proxy Statement</w:t>
      </w:r>
      <w:r>
        <w:rPr>
          <w:rFonts w:ascii="Arial;Helvetica;sans-serif" w:hAnsi="Arial;Helvetica;sans-serif"/>
          <w:b w:val="false"/>
          <w:i w:val="false"/>
          <w:caps w:val="false"/>
          <w:smallCaps w:val="false"/>
          <w:color w:val="000000"/>
          <w:spacing w:val="-2"/>
          <w:sz w:val="22"/>
        </w:rPr>
        <w:t> — Proposals that stockholders wish to submit for inclusion in our proxy statement for our 2027 annual meeting of stockholders pursuant to Rule 14a-8 under the Exchange Act must be received by us no later than December 30, 2026, unless the date of our 2027 annual meeting is more than 30 days before or after June 11, 2027, in which case the deadline will be a reasonable time before we begin to print and mail our proxy materials. Any stockholder proposal submitted for inclusion must be eligible for inclusion in our proxy statement in accordance with the rules and regulations promulgated by the SEC.</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Proxy Access Nominations</w:t>
      </w:r>
      <w:r>
        <w:rPr>
          <w:rFonts w:ascii="Arial;Helvetica;sans-serif" w:hAnsi="Arial;Helvetica;sans-serif"/>
          <w:b w:val="false"/>
          <w:i w:val="false"/>
          <w:caps w:val="false"/>
          <w:smallCaps w:val="false"/>
          <w:color w:val="000000"/>
          <w:spacing w:val="-2"/>
          <w:sz w:val="22"/>
        </w:rPr>
        <w:t> — In 2023, we adopted a proxy access Bylaw that permits a stockholder or group of up to 20 stockholders owning at least 3% of our outstanding common stock continuously for at least the previous three years to nominate up to the greater of two individuals or 20% of the Board of Directors. Requests to include stockholder-nominated candidates in our proxy statement for our 2027 annual meeting of stockholders must be received by us no earlier than November 30, 2026 and no later than December 30, 2026. Each nominee must meet the qualifications required by our Bylaws, and the nominating stockholder or group of stockholders must provide certain information and meet the other specific requirements of our Bylaws.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Stockholder Nominations and Proposals Other than for Inclusion in Our Proxy Statement</w:t>
      </w:r>
      <w:r>
        <w:rPr>
          <w:rFonts w:ascii="Arial;Helvetica;sans-serif" w:hAnsi="Arial;Helvetica;sans-serif"/>
          <w:b w:val="false"/>
          <w:i w:val="false"/>
          <w:caps w:val="false"/>
          <w:smallCaps w:val="false"/>
          <w:color w:val="000000"/>
          <w:spacing w:val="-2"/>
          <w:sz w:val="22"/>
        </w:rPr>
        <w:t> — With respect to nominations or proposals submitted by a stockholder other than for inclusion in our proxy statement for our 2027 annual meeting of stockholders, timely notice of any stockholder proposal must be received by us in accordance with our Bylaws no later than the close of business on March 13, 2027 nor earlier than the close of business on February 11, 2027, unless the date of our 2027 annual meeting is more than 30 days before or 60 days after June 11, 2027, in which case notice by the stockholder to be timely must be so delivered not earlier than the close of business on the 120</w:t>
      </w:r>
      <w:r>
        <w:rPr>
          <w:rFonts w:ascii="Arial;Helvetica;sans-serif" w:hAnsi="Arial;Helvetica;sans-serif"/>
          <w:b w:val="false"/>
          <w:i w:val="false"/>
          <w:caps w:val="false"/>
          <w:smallCaps w:val="false"/>
          <w:color w:val="000000"/>
          <w:spacing w:val="-2"/>
          <w:sz w:val="17"/>
        </w:rPr>
        <w:t>th</w:t>
      </w:r>
      <w:r>
        <w:rPr>
          <w:rFonts w:ascii="Arial;Helvetica;sans-serif" w:hAnsi="Arial;Helvetica;sans-serif"/>
          <w:b w:val="false"/>
          <w:i w:val="false"/>
          <w:caps w:val="false"/>
          <w:smallCaps w:val="false"/>
          <w:color w:val="000000"/>
          <w:spacing w:val="-2"/>
          <w:sz w:val="22"/>
        </w:rPr>
        <w:t xml:space="preserve"> day prior to such annual meeting and not later than the close of business on the later of the 90</w:t>
      </w:r>
      <w:r>
        <w:rPr>
          <w:rFonts w:ascii="Arial;Helvetica;sans-serif" w:hAnsi="Arial;Helvetica;sans-serif"/>
          <w:b w:val="false"/>
          <w:i w:val="false"/>
          <w:caps w:val="false"/>
          <w:smallCaps w:val="false"/>
          <w:color w:val="000000"/>
          <w:spacing w:val="-2"/>
          <w:sz w:val="17"/>
        </w:rPr>
        <w:t>th</w:t>
      </w:r>
      <w:r>
        <w:rPr>
          <w:rFonts w:ascii="Arial;Helvetica;sans-serif" w:hAnsi="Arial;Helvetica;sans-serif"/>
          <w:b w:val="false"/>
          <w:i w:val="false"/>
          <w:caps w:val="false"/>
          <w:smallCaps w:val="false"/>
          <w:color w:val="000000"/>
          <w:spacing w:val="-2"/>
          <w:sz w:val="22"/>
        </w:rPr>
        <w:t xml:space="preserve"> day prior to the date of such annual meeting or, if the first public announcement of the date of such annual meeting is less than 100 days prior to the date of such annual meeting, the 10</w:t>
      </w:r>
      <w:r>
        <w:rPr>
          <w:rFonts w:ascii="Arial;Helvetica;sans-serif" w:hAnsi="Arial;Helvetica;sans-serif"/>
          <w:b w:val="false"/>
          <w:i w:val="false"/>
          <w:caps w:val="false"/>
          <w:smallCaps w:val="false"/>
          <w:color w:val="000000"/>
          <w:spacing w:val="-2"/>
          <w:sz w:val="17"/>
        </w:rPr>
        <w:t>th</w:t>
      </w:r>
      <w:r>
        <w:rPr>
          <w:rFonts w:ascii="Arial;Helvetica;sans-serif" w:hAnsi="Arial;Helvetica;sans-serif"/>
          <w:b w:val="false"/>
          <w:i w:val="false"/>
          <w:caps w:val="false"/>
          <w:smallCaps w:val="false"/>
          <w:color w:val="000000"/>
          <w:spacing w:val="-2"/>
          <w:sz w:val="22"/>
        </w:rPr>
        <w:t xml:space="preserve"> day following the day on which public announcement of the date of such meeting is first made. The notice must contain the information required by our Bylaws. A stockholder nomination must be accompanied by the information required by our Bylaws with respect to a stockholder director nominee. We may require any proposed nominee to furnish other information as we may reasonably require to determine the eligibility of the proposed nominee to serve as a director of the Company.</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In addition to satisfying the foregoing requirements, to comply with the universal proxy rules, stockholders who intend to solicit proxies in support of director nominees other than the Board of Directors’ nominees must provide notice that sets forth the information required by Rule 14a-19 under the Exchange Act no later than April 12, 2027.</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Address for Notices</w:t>
      </w:r>
      <w:r>
        <w:rPr>
          <w:rFonts w:ascii="Arial;Helvetica;sans-serif" w:hAnsi="Arial;Helvetica;sans-serif"/>
          <w:b w:val="false"/>
          <w:i w:val="false"/>
          <w:caps w:val="false"/>
          <w:smallCaps w:val="false"/>
          <w:color w:val="000000"/>
          <w:spacing w:val="-2"/>
          <w:sz w:val="22"/>
        </w:rPr>
        <w:t xml:space="preserve"> — In the case of any notice of a nomination or proposal submitted in accordance with the procedures above, the notice must be received by us at S45 W29290 Hwy. 59, Waukesha, WI 53189, attention of Raj Kanuru, Executive Vice President, General Counsel &amp; Secretary. </w:t>
      </w:r>
    </w:p>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356"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118" descr=""/>
                          <pic:cNvPicPr>
                            <a:picLocks noChangeAspect="1" noChangeArrowheads="1"/>
                          </pic:cNvPicPr>
                        </pic:nvPicPr>
                        <pic:blipFill>
                          <a:blip r:embed="rId132"/>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65</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ICSA"/>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520" w:before="1100" w:after="283"/>
        <w:ind w:left="1140" w:right="0" w:hanging="0"/>
        <w:jc w:val="left"/>
        <w:rPr>
          <w:rFonts w:ascii="Arial;Helvetica;sans-serif" w:hAnsi="Arial;Helvetica;sans-serif"/>
          <w:b w:val="false"/>
          <w:i w:val="false"/>
          <w:caps w:val="false"/>
          <w:smallCaps w:val="false"/>
          <w:color w:val="000000"/>
          <w:sz w:val="48"/>
        </w:rPr>
      </w:pPr>
      <w:r>
        <w:rPr>
          <w:rFonts w:ascii="Arial;Helvetica;sans-serif" w:hAnsi="Arial;Helvetica;sans-serif"/>
          <w:b w:val="false"/>
          <w:i w:val="false"/>
          <w:caps w:val="false"/>
          <w:smallCaps w:val="false"/>
          <w:color w:val="000000"/>
          <w:spacing w:val="-5"/>
          <w:sz w:val="48"/>
        </w:rPr>
        <w:t>Information Concerning Solicitation and Voting</w:t>
      </w:r>
      <w:r>
        <w:rPr>
          <w:rFonts w:ascii="Arial;Helvetica;sans-serif" w:hAnsi="Arial;Helvetica;sans-serif"/>
          <w:b w:val="false"/>
          <w:i w:val="false"/>
          <w:caps w:val="false"/>
          <w:smallCaps w:val="false"/>
          <w:color w:val="000000"/>
          <w:spacing w:val="10"/>
          <w:sz w:val="48"/>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Board of the Company is soliciting your proxy to be voted at the Annual Meeting of Stockholders to be held on Thursday, June 11, 2026, at 9:00 a.m. Central Time, at Generac’s headquarters located at S45 W29290 Highway 59 Waukesha, Wisconsin 53189, and any postponement or adjournment thereof.</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400" w:before="240" w:after="283"/>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Record Date; Stock Outstanding and Entitled to Vote</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Holders of common stock as of the record date, April 16, 2026, are entitled to notice of, and to vote at, the annual meeting. As of the record date, there were 58,811,741 shares of common stock outstanding and entitled to vote at the annual meeting, with each share entitled to one vote.</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If you are a stockholder of record, you will need to present the Notice of Internet Availability or proxy card that you received, together with a form of personal photo identification, in order to be admitted into the meeting. If you are the beneficial owner of shares held in “street name,” you will need to provide proof of ownership, such as a recent account statement or letter from your bank, broker, or other nominee as of the close of business on April 16, 2026, along with a form of personal photo identification. Alternatively, you may contact the broker, bank, or other nominee in whose name your shares of common stock are registered and obtain a legal proxy to bring to the meeting. Audio or visual recording of any portion of the annual meeting is not permitted. No cameras, recording equipment, large bags, briefcases, or packages will be allowed in the meeting or adjacent areas. All other items may be subject to search. </w:t>
      </w:r>
    </w:p>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357"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119" descr=""/>
                          <pic:cNvPicPr>
                            <a:picLocks noChangeAspect="1" noChangeArrowheads="1"/>
                          </pic:cNvPicPr>
                        </pic:nvPicPr>
                        <pic:blipFill>
                          <a:blip r:embed="rId133"/>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66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rFonts w:ascii="Arial;Helvetica;sans-serif" w:hAnsi="Arial;Helvetica;sans-serif"/>
          <w:b w:val="false"/>
          <w:i w:val="false"/>
          <w:caps w:val="false"/>
          <w:smallCaps w:val="false"/>
          <w:color w:val="FF6A00"/>
          <w:sz w:val="22"/>
        </w:rPr>
      </w:pPr>
      <w:r>
        <w:rPr>
          <w:rFonts w:ascii="Arial;Helvetica;sans-serif" w:hAnsi="Arial;Helvetica;sans-serif"/>
          <w:b w:val="false"/>
          <w:i w:val="false"/>
          <w:caps w:val="false"/>
          <w:smallCaps w:val="false"/>
          <w:color w:val="FF6A00"/>
          <w:spacing w:val="-2"/>
          <w:sz w:val="22"/>
        </w:rPr>
        <w:t>INFORMATION CONCERNING SOLICITATION AND VOTING</w:t>
      </w:r>
      <w:r>
        <w:rPr>
          <w:rFonts w:ascii="Arial;Helvetica;sans-serif" w:hAnsi="Arial;Helvetica;sans-serif"/>
          <w:b w:val="false"/>
          <w:i w:val="false"/>
          <w:caps w:val="false"/>
          <w:smallCaps w:val="false"/>
          <w:color w:val="FF6A00"/>
          <w:sz w:val="22"/>
        </w:rPr>
        <w:t xml:space="preserve"> </w:t>
      </w:r>
    </w:p>
    <w:p>
      <w:pPr>
        <w:pStyle w:val="TextBody"/>
        <w:bidi w:val="0"/>
        <w:spacing w:lineRule="atLeast" w:line="400" w:before="480" w:after="283"/>
        <w:ind w:left="1140" w:right="0" w:hanging="0"/>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Information About This Proxy Statement</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Why you received a Notice of Internet Availability.</w:t>
      </w:r>
      <w:r>
        <w:rPr>
          <w:rFonts w:ascii="Arial;Helvetica;sans-serif" w:hAnsi="Arial;Helvetica;sans-serif"/>
          <w:b w:val="false"/>
          <w:i w:val="false"/>
          <w:caps w:val="false"/>
          <w:smallCaps w:val="false"/>
          <w:color w:val="000000"/>
          <w:spacing w:val="-2"/>
          <w:sz w:val="22"/>
        </w:rPr>
        <w:t>   We are mailing only a Notice of Internet Availability to all stockholders. The Notice of Internet Availability includes information on where to view all proxy materials online, as well as voting instructions. These materials have been made available to you on the internet because our Board of Directors is soliciting your proxy to vote your shares at the annual meeting and any postponement or adjournment thereof. This proxy statement includes information that we are required to provide to you under the rules of the SEC and that is designed to assist you in voting your shares. If you own our common stock in more than one account, such as individually and also jointly with your spouse, you may receive more than one Notice of Internet Availability relating to these proxy materials. To assist us in saving money and to serve you more efficiently, we encourage you to have all your accounts registered in the same name and address by contacting our transfer agent:</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 xml:space="preserve">Computershare, Inc. </w:t>
        <w:br/>
        <w:t xml:space="preserve">P.O. Box 43006 </w:t>
        <w:br/>
        <w:t xml:space="preserve">Providence, RI 02940-3006 </w:t>
        <w:br/>
        <w:t>United States of America</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 xml:space="preserve">By Overnight Delivery: </w:t>
        <w:br/>
        <w:t xml:space="preserve">Computershare, Inc. </w:t>
        <w:br/>
        <w:t xml:space="preserve">250 Royall Street </w:t>
        <w:br/>
        <w:t xml:space="preserve">Canton, MA 02021 </w:t>
        <w:br/>
        <w:t>United States of America</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Toll Free — 877-373-6374</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U.S. — 800-962-4284</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Householding.</w:t>
      </w:r>
      <w:r>
        <w:rPr>
          <w:rFonts w:ascii="Arial;Helvetica;sans-serif" w:hAnsi="Arial;Helvetica;sans-serif"/>
          <w:b w:val="false"/>
          <w:i w:val="false"/>
          <w:caps w:val="false"/>
          <w:smallCaps w:val="false"/>
          <w:color w:val="000000"/>
          <w:spacing w:val="-2"/>
          <w:sz w:val="22"/>
        </w:rPr>
        <w:t xml:space="preserve">   The SEC’s rules permit us to deliver a single Notice of Internet Availability or set of annual meeting materials to one address shared by two or more of our stockholders. This delivery method is referred to as “householding” and can result in significant cost savings. To take advantage of this opportunity, we have delivered only one Notice of Internet Availability to multiple stockholders who share an address, unless we received contrary instructions from the impacted stockholders prior to the mailing date. We agree to deliver promptly, upon written or oral request, a separate Notice of Internet Availability to any stockholder at the shared address to which a single copy of the Notice of Internet Availability was delivered. If you are a record holder and if you prefer to receive separate copies of the proxy materials, or if you currently receive multiple copies and prefer to receive a single copy, please contact Raj Kanuru, Executive Vice President, General Counsel &amp; Secretary, Generac Holdings Inc., S45 W29290 Highway 59, Waukesha, Wisconsin 53189, or by telephone at (262) 544-4811. </w:t>
      </w:r>
    </w:p>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358"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120" descr=""/>
                          <pic:cNvPicPr>
                            <a:picLocks noChangeAspect="1" noChangeArrowheads="1"/>
                          </pic:cNvPicPr>
                        </pic:nvPicPr>
                        <pic:blipFill>
                          <a:blip r:embed="rId134"/>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67</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rFonts w:ascii="Arial;Helvetica;sans-serif" w:hAnsi="Arial;Helvetica;sans-serif"/>
          <w:b w:val="false"/>
          <w:i w:val="false"/>
          <w:caps w:val="false"/>
          <w:smallCaps w:val="false"/>
          <w:color w:val="FF6A00"/>
          <w:sz w:val="22"/>
        </w:rPr>
      </w:pPr>
      <w:r>
        <w:rPr>
          <w:rFonts w:ascii="Arial;Helvetica;sans-serif" w:hAnsi="Arial;Helvetica;sans-serif"/>
          <w:b w:val="false"/>
          <w:i w:val="false"/>
          <w:caps w:val="false"/>
          <w:smallCaps w:val="false"/>
          <w:color w:val="FF6A00"/>
          <w:spacing w:val="-2"/>
          <w:sz w:val="22"/>
        </w:rPr>
        <w:t>INFORMATION CONCERNING SOLICITATION AND VOTING</w:t>
      </w:r>
      <w:r>
        <w:rPr>
          <w:rFonts w:ascii="Arial;Helvetica;sans-serif" w:hAnsi="Arial;Helvetica;sans-serif"/>
          <w:b w:val="false"/>
          <w:i w:val="false"/>
          <w:caps w:val="false"/>
          <w:smallCaps w:val="false"/>
          <w:color w:val="FF6A00"/>
          <w:sz w:val="22"/>
        </w:rPr>
        <w:t xml:space="preserve"> </w:t>
      </w:r>
    </w:p>
    <w:p>
      <w:pPr>
        <w:pStyle w:val="TextBody"/>
        <w:bidi w:val="0"/>
        <w:spacing w:lineRule="atLeast" w:line="400" w:before="480" w:after="283"/>
        <w:ind w:left="1140" w:right="0" w:hanging="0"/>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Voting by and Revocation of Proxies</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Stockholders of record are requested to vote by proxy in one of the following ways: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2" w:before="82"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By telephone — Use the toll-free telephone number shown on the Notice of Internet Availability or any proxy card you receive;</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52070" distB="0" distL="254000" distR="0" simplePos="0" locked="0" layoutInCell="1" allowOverlap="1" relativeHeight="355">
                <wp:simplePos x="0" y="0"/>
                <wp:positionH relativeFrom="column">
                  <wp:align>left</wp:align>
                </wp:positionH>
                <wp:positionV relativeFrom="line">
                  <wp:align>top</wp:align>
                </wp:positionV>
                <wp:extent cx="254000" cy="350520"/>
                <wp:effectExtent l="0" t="0" r="0" b="0"/>
                <wp:wrapSquare wrapText="right"/>
                <wp:docPr id="359" name="Frame2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1pt;mso-wrap-distance-bottom:0pt;margin-top:4.1pt;mso-position-vertical:top;mso-position-vertical-relative:text;margin-left:20pt;mso-position-horizontal:left;mso-position-horizontal-relative:text">
                <v:textbox>
                  <w:txbxContent>
                    <w:p>
                      <w:pPr>
                        <w:pStyle w:val="TextBody"/>
                        <w:bidi w:val="0"/>
                        <w:spacing w:lineRule="atLeast" w:line="252"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52" w:before="76"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By internet — Visit the internet website indicated on the Notice of Internet Availability or any proxy card you receive and follow the on-screen instructions;</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48260" distB="0" distL="254000" distR="0" simplePos="0" locked="0" layoutInCell="1" allowOverlap="1" relativeHeight="356">
                <wp:simplePos x="0" y="0"/>
                <wp:positionH relativeFrom="column">
                  <wp:align>left</wp:align>
                </wp:positionH>
                <wp:positionV relativeFrom="line">
                  <wp:align>top</wp:align>
                </wp:positionV>
                <wp:extent cx="254000" cy="350520"/>
                <wp:effectExtent l="0" t="0" r="0" b="0"/>
                <wp:wrapSquare wrapText="right"/>
                <wp:docPr id="360" name="Frame2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52"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52" w:before="76"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By mail — If you request a paper proxy card by telephone or internet, you may elect to vote by mail. If you elect to do so, you should date, sign, and promptly return your proxy card by mail in the postage prepaid envelope which accompanied that proxy card; or</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48260" distB="0" distL="254000" distR="0" simplePos="0" locked="0" layoutInCell="1" allowOverlap="1" relativeHeight="357">
                <wp:simplePos x="0" y="0"/>
                <wp:positionH relativeFrom="column">
                  <wp:align>left</wp:align>
                </wp:positionH>
                <wp:positionV relativeFrom="line">
                  <wp:align>top</wp:align>
                </wp:positionV>
                <wp:extent cx="254000" cy="350520"/>
                <wp:effectExtent l="0" t="0" r="0" b="0"/>
                <wp:wrapSquare wrapText="right"/>
                <wp:docPr id="361" name="Frame2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52"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52" w:before="76" w:after="0"/>
        <w:ind w:left="19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In person — You can deliver a completed proxy card at the meeting or vote in person.</w:t>
      </w:r>
      <w:r>
        <w:rPr>
          <w:rFonts w:ascii="Arial;Helvetica;sans-serif" w:hAnsi="Arial;Helvetica;sans-serif"/>
          <w:b w:val="false"/>
          <w:i w:val="false"/>
          <w:caps w:val="false"/>
          <w:smallCaps w:val="false"/>
          <w:color w:val="000000"/>
          <w:spacing w:val="4"/>
          <w:sz w:val="22"/>
        </w:rPr>
        <w:t xml:space="preserve"> </w:t>
      </w:r>
      <w:r>
        <mc:AlternateContent>
          <mc:Choice Requires="wps">
            <w:drawing>
              <wp:anchor behindDoc="0" distT="48260" distB="0" distL="254000" distR="0" simplePos="0" locked="0" layoutInCell="1" allowOverlap="1" relativeHeight="358">
                <wp:simplePos x="0" y="0"/>
                <wp:positionH relativeFrom="column">
                  <wp:align>left</wp:align>
                </wp:positionH>
                <wp:positionV relativeFrom="line">
                  <wp:align>top</wp:align>
                </wp:positionV>
                <wp:extent cx="254000" cy="350520"/>
                <wp:effectExtent l="0" t="0" r="0" b="0"/>
                <wp:wrapSquare wrapText="right"/>
                <wp:docPr id="362" name="Frame2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2" w:before="0" w:after="283"/>
                              <w:jc w:val="left"/>
                              <w:rPr/>
                            </w:pPr>
                            <w:r>
                              <w:rPr>
                                <w:color w:val="FF6A00"/>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52" w:before="0" w:after="283"/>
                        <w:jc w:val="left"/>
                        <w:rPr/>
                      </w:pPr>
                      <w:r>
                        <w:rPr>
                          <w:color w:val="FF6A00"/>
                          <w:spacing w:val="-2"/>
                        </w:rPr>
                        <w:t>•</w:t>
                      </w:r>
                      <w:r>
                        <w:rPr/>
                        <w:t xml:space="preserve"> </w:t>
                      </w:r>
                      <w:r>
                        <w:rPr/>
                        <w:br/>
                      </w:r>
                    </w:p>
                  </w:txbxContent>
                </v:textbox>
                <w10:wrap type="square" side="right"/>
              </v:rect>
            </w:pict>
          </mc:Fallback>
        </mc:AlternateContent>
      </w:r>
    </w:p>
    <w:p>
      <w:pPr>
        <w:pStyle w:val="TextBody"/>
        <w:bidi w:val="0"/>
        <w:spacing w:before="0" w:after="0"/>
        <w:ind w:left="1140" w:right="0" w:hanging="0"/>
        <w:jc w:val="left"/>
        <w:rPr>
          <w:caps w:val="false"/>
          <w:smallCaps w:val="false"/>
          <w:color w:val="000000"/>
        </w:rPr>
      </w:pPr>
      <w:r>
        <w:rPr>
          <w:caps w:val="false"/>
          <w:smallCaps w:val="false"/>
          <w:color w:val="000000"/>
        </w:rPr>
        <w:t>​</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Voting instructions (including instructions for both telephonic and internet proxies) are provided on the Notice of Internet Availability and on any proxy card you receive. The internet and telephone proxy procedures are designed to authenticate stockholder identities, to allow stockholders to give voting instructions, and to confirm that stockholders’ instructions have been recorded properly. A control number, located on the Notice of Internet Availability or proxy card, will identify stockholders and allow them to submit their proxies and confirm that their voting instructions have been properly recorded. Costs associated with electronic access, such as usage charges from internet access providers and telephone companies, must be borne by the stockholder. If you submit your proxy by internet or telephone, it will not be necessary to return a proxy card for your vote to be counted.</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If a stockholder does not submit a proxy via the internet or by telephone or return a signed proxy card, and does not attend the meeting and vote in person, his or her shares will not be voted. Shares of our common stock represented by properly executed proxies received by us or proxies submitted by telephone or via the internet, which are not revoked, will be voted at the meeting in accordance with the instructions contained therein.</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i w:val="false"/>
          <w:caps w:val="false"/>
          <w:smallCaps w:val="false"/>
          <w:color w:val="000000"/>
          <w:spacing w:val="-2"/>
          <w:sz w:val="22"/>
        </w:rPr>
        <w:t>If instructions are not given and you do not indicate how your shares should be voted on a proposal, the shares represented by a properly completed proxy will be voted as the Board recommends.</w:t>
      </w:r>
      <w:r>
        <w:rPr>
          <w:rFonts w:ascii="Arial;Helvetica;sans-serif" w:hAnsi="Arial;Helvetica;sans-serif"/>
          <w:b w:val="false"/>
          <w:i w:val="false"/>
          <w:caps w:val="false"/>
          <w:smallCaps w:val="false"/>
          <w:color w:val="000000"/>
          <w:spacing w:val="-2"/>
          <w:sz w:val="22"/>
        </w:rPr>
        <w:t xml:space="preserve"> In addition, we reserve the right to exercise discretionary authority to vote proxies, in the manner determined by the Board in its sole discretion, on any matters brought before the annual meeting for which we did not receive adequate notice under the proxy rules promulgated by the SEC.</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Any proxy signed and returned by a stockholder or submitted by telephone or via the internet may be revoked at any time before it is exercised by giving written notice of revocation to the Company’s Secretary at our address set forth herein, by executing and delivering a later-dated proxy (either in writing, by telephone or via the internet), or by voting in person at the meeting. Attendance at the meeting will not, in and of itself, constitute revocation of a proxy.</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If your shares are held in the name of a bank, broker, fiduciary or custodian, follow the voting instructions on the form you receive from your record holder. The availability of internet and telephone proxies for these stockholders will depend on their voting procedures.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400" w:before="240" w:after="283"/>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Quorum</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The presence at the Annual Meeting, in person or by proxy, of the holders of at least a majority of the number of shares of common stock issued and outstanding and entitled to vote as of the record date, is required to constitute a quorum to transact business at the Annual Meeting. Abstentions and broker non-votes will be counted toward the establishment of a quorum. </w:t>
      </w:r>
    </w:p>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363"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121" descr=""/>
                          <pic:cNvPicPr>
                            <a:picLocks noChangeAspect="1" noChangeArrowheads="1"/>
                          </pic:cNvPicPr>
                        </pic:nvPicPr>
                        <pic:blipFill>
                          <a:blip r:embed="rId135"/>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68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rFonts w:ascii="Arial;Helvetica;sans-serif" w:hAnsi="Arial;Helvetica;sans-serif"/>
          <w:b w:val="false"/>
          <w:i w:val="false"/>
          <w:caps w:val="false"/>
          <w:smallCaps w:val="false"/>
          <w:color w:val="FF6A00"/>
          <w:sz w:val="22"/>
        </w:rPr>
      </w:pPr>
      <w:r>
        <w:rPr>
          <w:rFonts w:ascii="Arial;Helvetica;sans-serif" w:hAnsi="Arial;Helvetica;sans-serif"/>
          <w:b w:val="false"/>
          <w:i w:val="false"/>
          <w:caps w:val="false"/>
          <w:smallCaps w:val="false"/>
          <w:color w:val="FF6A00"/>
          <w:spacing w:val="-2"/>
          <w:sz w:val="22"/>
        </w:rPr>
        <w:t>INFORMATION CONCERNING SOLICITATION AND VOTING</w:t>
      </w:r>
      <w:r>
        <w:rPr>
          <w:rFonts w:ascii="Arial;Helvetica;sans-serif" w:hAnsi="Arial;Helvetica;sans-serif"/>
          <w:b w:val="false"/>
          <w:i w:val="false"/>
          <w:caps w:val="false"/>
          <w:smallCaps w:val="false"/>
          <w:color w:val="FF6A00"/>
          <w:sz w:val="22"/>
        </w:rPr>
        <w:t xml:space="preserve"> </w:t>
      </w:r>
    </w:p>
    <w:p>
      <w:pPr>
        <w:pStyle w:val="TextBody"/>
        <w:bidi w:val="0"/>
        <w:spacing w:lineRule="atLeast" w:line="400" w:before="480" w:after="283"/>
        <w:ind w:left="1140" w:right="0" w:hanging="0"/>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Required Votes</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6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Election of Three Nominees Named Herein as Class II Directors.</w:t>
      </w:r>
      <w:r>
        <w:rPr>
          <w:rFonts w:ascii="Arial;Helvetica;sans-serif" w:hAnsi="Arial;Helvetica;sans-serif"/>
          <w:b w:val="false"/>
          <w:i w:val="false"/>
          <w:caps w:val="false"/>
          <w:smallCaps w:val="false"/>
          <w:color w:val="000000"/>
          <w:spacing w:val="-2"/>
          <w:sz w:val="22"/>
        </w:rPr>
        <w:t>   Under our Bylaws, the affirmative vote of a plurality of shares of common stock voting on this matter at the annual meeting is required to elect each nominee named herein as a director. Consequently, only shares that are voted in favor of a particular nominee will be counted toward such nominee’s achievement of a plurality. Notwithstanding the foregoing, if a nominee for Director receives more “against” votes for his or her election than votes “for” his or her election in an uncontested election at a meeting of stockholders, without regard for abstentions, the Director shall, in accordance with and subject to our Corporate Governance Guidelines and Principles, promptly tender his or her resignation to the Board.</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6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Ratification of the selection of Deloitte &amp; Touche LLP as our Independent Registered Public Accounting Firm.</w:t>
      </w:r>
      <w:r>
        <w:rPr>
          <w:rFonts w:ascii="Arial;Helvetica;sans-serif" w:hAnsi="Arial;Helvetica;sans-serif"/>
          <w:b w:val="false"/>
          <w:i w:val="false"/>
          <w:caps w:val="false"/>
          <w:smallCaps w:val="false"/>
          <w:color w:val="000000"/>
          <w:spacing w:val="-2"/>
          <w:sz w:val="22"/>
        </w:rPr>
        <w:t>   Proposal 2, relating to the ratification of the appointment of Deloitte &amp; Touche LLP as our independent registered public accounting firm for 2026, will be approved if it receives the affirmative vote of a majority of the shares of common stock present in person or represented by proxy at the Annual Meeting and voting on the proposal.</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6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Approval of Non-Binding</w:t>
      </w:r>
      <w:r>
        <w:rPr>
          <w:rFonts w:ascii="Arial;Helvetica;sans-serif" w:hAnsi="Arial;Helvetica;sans-serif"/>
          <w:b w:val="false"/>
          <w:i w:val="false"/>
          <w:caps w:val="false"/>
          <w:smallCaps w:val="false"/>
          <w:color w:val="000000"/>
          <w:spacing w:val="-2"/>
          <w:sz w:val="22"/>
        </w:rPr>
        <w:t xml:space="preserve"> “</w:t>
      </w:r>
      <w:r>
        <w:rPr>
          <w:rFonts w:ascii="Arial;Helvetica;sans-serif" w:hAnsi="Arial;Helvetica;sans-serif"/>
          <w:b w:val="false"/>
          <w:i/>
          <w:caps w:val="false"/>
          <w:smallCaps w:val="false"/>
          <w:color w:val="000000"/>
          <w:sz w:val="22"/>
        </w:rPr>
        <w:t>Say-on-Pay</w:t>
      </w:r>
      <w:r>
        <w:rPr>
          <w:rFonts w:ascii="Arial;Helvetica;sans-serif" w:hAnsi="Arial;Helvetica;sans-serif"/>
          <w:b w:val="false"/>
          <w:i w:val="false"/>
          <w:caps w:val="false"/>
          <w:smallCaps w:val="false"/>
          <w:color w:val="000000"/>
          <w:spacing w:val="-2"/>
          <w:sz w:val="22"/>
        </w:rPr>
        <w:t xml:space="preserve">” </w:t>
      </w:r>
      <w:r>
        <w:rPr>
          <w:rFonts w:ascii="Arial;Helvetica;sans-serif" w:hAnsi="Arial;Helvetica;sans-serif"/>
          <w:b w:val="false"/>
          <w:i/>
          <w:caps w:val="false"/>
          <w:smallCaps w:val="false"/>
          <w:color w:val="000000"/>
          <w:sz w:val="22"/>
        </w:rPr>
        <w:t>Resolution Regarding Executive Compensation.</w:t>
      </w:r>
      <w:r>
        <w:rPr>
          <w:rFonts w:ascii="Arial;Helvetica;sans-serif" w:hAnsi="Arial;Helvetica;sans-serif"/>
          <w:b w:val="false"/>
          <w:i w:val="false"/>
          <w:caps w:val="false"/>
          <w:smallCaps w:val="false"/>
          <w:color w:val="000000"/>
          <w:spacing w:val="-2"/>
          <w:sz w:val="22"/>
        </w:rPr>
        <w:t>   Proposal 3, relating to the non-binding resolution to approve our executive compensation, will be approved if it receives the affirmative vote of a majority of the shares of common stock present in person or represented by proxy at the annual meeting and voting on the proposal.</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6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caps w:val="false"/>
          <w:smallCaps w:val="false"/>
          <w:color w:val="000000"/>
          <w:sz w:val="22"/>
        </w:rPr>
        <w:t>Impact of Abstentions.</w:t>
      </w:r>
      <w:r>
        <w:rPr>
          <w:rFonts w:ascii="Arial;Helvetica;sans-serif" w:hAnsi="Arial;Helvetica;sans-serif"/>
          <w:b w:val="false"/>
          <w:i w:val="false"/>
          <w:caps w:val="false"/>
          <w:smallCaps w:val="false"/>
          <w:color w:val="000000"/>
          <w:spacing w:val="-2"/>
          <w:sz w:val="22"/>
        </w:rPr>
        <w:t>   Abstentions will have no effect on the determination of the election of directors or the outcome of any proposal.</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400" w:before="240" w:after="283"/>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Shares Held by Brokers</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6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If you are the beneficial owner of shares held for you by a broker, your broker must vote those shares in accordance with your instructions. If you do not give voting instructions to your broker, your broker may vote your shares for you on any discretionary items of business to be voted upon at the annual meeting. If you do not provide voting instructions on a non-discretionary item, including the election of the Class II director nominees named herein, the shares will be treated as “broker non-votes.” We believe that the ratification of the selection of Deloitte &amp; Touche LLP (Proposal 2) is a routine matter on which brokers will generally be permitted to vote any unvoted shares in their discretion. We believe that election of the three nominees named herein as Class II directors (Proposal 1), and the advisory, non-binding approval of executive compensation (Proposal 3), are non-routine matters on which brokers will not be permitted to vote any unvoted shares. “Broker non-votes” will have no effect on the election of directors or the outcome of any proposal.</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400" w:before="240" w:after="283"/>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Proxy Solicitation</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60" w:before="120" w:after="283"/>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The Company will bear the costs of solicitation of proxies for the annual meeting, including preparation, assembly, printing, and mailing of the Notice of Internet Availability, this proxy statement, the annual report, any proxy card, and any additional information furnished to stockholders. Copies of our proxy statement will be furnished, upon request, to banks, brokerage houses, fiduciaries, and custodians holding shares of common stock beneficially owned by others to forward to such beneficial owners. We may reimburse persons representing beneficial owners of common stock for their costs of forwarding solicitation material to such beneficial owners. Solicitation of proxies by mail may be supplemented by telephone, email, or personal </w:t>
      </w:r>
    </w:p>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364"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122" descr=""/>
                          <pic:cNvPicPr>
                            <a:picLocks noChangeAspect="1" noChangeArrowheads="1"/>
                          </pic:cNvPicPr>
                        </pic:nvPicPr>
                        <pic:blipFill>
                          <a:blip r:embed="rId136"/>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69</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60" w:before="100" w:after="283"/>
        <w:ind w:left="1140" w:right="0" w:hanging="0"/>
        <w:jc w:val="center"/>
        <w:rPr>
          <w:rFonts w:ascii="Arial;Helvetica;sans-serif" w:hAnsi="Arial;Helvetica;sans-serif"/>
          <w:b w:val="false"/>
          <w:i w:val="false"/>
          <w:caps w:val="false"/>
          <w:smallCaps w:val="false"/>
          <w:color w:val="FF6A00"/>
          <w:sz w:val="22"/>
        </w:rPr>
      </w:pPr>
      <w:r>
        <w:rPr>
          <w:rFonts w:ascii="Arial;Helvetica;sans-serif" w:hAnsi="Arial;Helvetica;sans-serif"/>
          <w:b w:val="false"/>
          <w:i w:val="false"/>
          <w:caps w:val="false"/>
          <w:smallCaps w:val="false"/>
          <w:color w:val="FF6A00"/>
          <w:spacing w:val="-2"/>
          <w:sz w:val="22"/>
        </w:rPr>
        <w:t>INFORMATION CONCERNING SOLICITATION AND VOTING</w:t>
      </w:r>
      <w:r>
        <w:rPr>
          <w:rFonts w:ascii="Arial;Helvetica;sans-serif" w:hAnsi="Arial;Helvetica;sans-serif"/>
          <w:b w:val="false"/>
          <w:i w:val="false"/>
          <w:caps w:val="false"/>
          <w:smallCaps w:val="false"/>
          <w:color w:val="FF6A00"/>
          <w:sz w:val="22"/>
        </w:rPr>
        <w:t xml:space="preserve"> </w:t>
      </w:r>
    </w:p>
    <w:p>
      <w:pPr>
        <w:pStyle w:val="TextBody"/>
        <w:bidi w:val="0"/>
        <w:spacing w:lineRule="atLeast" w:line="250" w:before="480" w:after="283"/>
        <w:ind w:left="1140" w:right="0" w:hanging="0"/>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solicitation by Computershare or by directors, officers, or other regular employees of the Company. No additional compensation will be paid to directors, officers, or other regular employees for such services.</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400" w:before="240" w:after="283"/>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Other Business</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The Board of Directors has no knowledge of any other matter to be submitted at the annual meeting. If any other matter shall properly come before the annual meeting, the persons named as proxies in the Notice of Internet Availability or on the proxy card will have discretionary authority to vote the shares thereby represented in accordance with their best judgment.</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400" w:before="240" w:after="283"/>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4"/>
          <w:sz w:val="36"/>
        </w:rPr>
        <w:t>Annual Report and Company Information</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50" w:before="120" w:after="283"/>
        <w:jc w:val="left"/>
        <w:rPr>
          <w:rFonts w:ascii="Arial;Helvetica;sans-serif" w:hAnsi="Arial;Helvetica;sans-serif"/>
          <w:b w:val="false"/>
          <w:i w:val="false"/>
          <w:caps w:val="false"/>
          <w:smallCaps w:val="false"/>
          <w:color w:val="000000"/>
          <w:sz w:val="22"/>
        </w:rPr>
      </w:pPr>
      <w:r>
        <w:rPr>
          <w:rFonts w:ascii="Arial;Helvetica;sans-serif" w:hAnsi="Arial;Helvetica;sans-serif"/>
          <w:b w:val="false"/>
          <w:i w:val="false"/>
          <w:caps w:val="false"/>
          <w:smallCaps w:val="false"/>
          <w:color w:val="000000"/>
          <w:spacing w:val="-2"/>
          <w:sz w:val="22"/>
        </w:rPr>
        <w:t xml:space="preserve">Our Annual Report to Stockholders, which contains consolidated financial statements for the year ended December 31, 2025, is being furnished to stockholders concurrently herewith. You also may obtain a copy of our Annual Report on Form 10-K for the year ended December 31, 2025 that was filed with the SEC, without charge, by writing to Generac Holdings Inc., Attn: Investor Relations, S45 W29290 Hwy. 59, Waukesha, Wisconsin 53189. These materials will also be available without charge at “Investors” on our website at </w:t>
      </w:r>
      <w:r>
        <w:rPr>
          <w:rFonts w:ascii="Arial;Helvetica;sans-serif" w:hAnsi="Arial;Helvetica;sans-serif"/>
          <w:b w:val="false"/>
          <w:i w:val="false"/>
          <w:caps w:val="false"/>
          <w:smallCaps w:val="false"/>
          <w:color w:val="FF6A00"/>
          <w:spacing w:val="-2"/>
          <w:sz w:val="22"/>
        </w:rPr>
        <w:t>www.generac.com</w:t>
      </w:r>
      <w:r>
        <w:rPr>
          <w:rFonts w:ascii="Arial;Helvetica;sans-serif" w:hAnsi="Arial;Helvetica;sans-serif"/>
          <w:b w:val="false"/>
          <w:i w:val="false"/>
          <w:caps w:val="false"/>
          <w:smallCaps w:val="false"/>
          <w:color w:val="000000"/>
          <w:spacing w:val="-2"/>
          <w:sz w:val="22"/>
        </w:rPr>
        <w:t>.</w:t>
      </w:r>
      <w:r>
        <w:rPr>
          <w:rFonts w:ascii="Arial;Helvetica;sans-serif" w:hAnsi="Arial;Helvetica;sans-serif"/>
          <w:b w:val="false"/>
          <w:i w:val="false"/>
          <w:caps w:val="false"/>
          <w:smallCaps w:val="false"/>
          <w:color w:val="000000"/>
          <w:spacing w:val="4"/>
          <w:sz w:val="22"/>
        </w:rPr>
        <w:t xml:space="preserve"> </w:t>
      </w:r>
    </w:p>
    <w:p>
      <w:pPr>
        <w:pStyle w:val="TextBody"/>
        <w:bidi w:val="0"/>
        <w:spacing w:lineRule="atLeast" w:line="250" w:before="120" w:after="283"/>
        <w:jc w:val="left"/>
        <w:rPr>
          <w:rFonts w:ascii="Arial;Helvetica;sans-serif" w:hAnsi="Arial;Helvetica;sans-serif"/>
          <w:b/>
          <w:i w:val="false"/>
          <w:caps w:val="false"/>
          <w:smallCaps w:val="false"/>
          <w:color w:val="000000"/>
          <w:sz w:val="22"/>
        </w:rPr>
      </w:pPr>
      <w:r>
        <w:rPr>
          <w:rFonts w:ascii="Arial;Helvetica;sans-serif" w:hAnsi="Arial;Helvetica;sans-serif"/>
          <w:b/>
          <w:i w:val="false"/>
          <w:caps w:val="false"/>
          <w:smallCaps w:val="false"/>
          <w:color w:val="000000"/>
          <w:spacing w:val="-2"/>
          <w:sz w:val="22"/>
        </w:rPr>
        <w:t>It is important that your proxy be returned promptly, whether by mail, by the internet, or by telephone. The proxy may be revoked at any time by you before it is exercised. If you attend the meeting in person, you may withdraw any proxy (including an internet or telephonic proxy) and vote your own shares.</w:t>
      </w:r>
      <w:r>
        <w:rPr>
          <w:rFonts w:ascii="Arial;Helvetica;sans-serif" w:hAnsi="Arial;Helvetica;sans-serif"/>
          <w:b/>
          <w:i w:val="false"/>
          <w:caps w:val="false"/>
          <w:smallCaps w:val="false"/>
          <w:color w:val="000000"/>
          <w:spacing w:val="4"/>
          <w:sz w:val="22"/>
        </w:rPr>
        <w:t xml:space="preserve"> </w:t>
      </w:r>
    </w:p>
    <w:p>
      <w:pPr>
        <w:pStyle w:val="TextBody"/>
        <w:bidi w:val="0"/>
        <w:spacing w:lineRule="atLeast" w:line="250" w:before="300" w:after="283"/>
        <w:ind w:left="5940" w:right="0" w:hanging="0"/>
        <w:jc w:val="left"/>
        <w:rPr>
          <w:rFonts w:ascii="Arial;Helvetica;sans-serif" w:hAnsi="Arial;Helvetica;sans-serif"/>
          <w:b w:val="false"/>
          <w:i w:val="false"/>
          <w:caps w:val="false"/>
          <w:smallCaps w:val="false"/>
          <w:color w:val="000000"/>
          <w:spacing w:val="-2"/>
          <w:sz w:val="22"/>
        </w:rPr>
      </w:pPr>
      <w:r>
        <w:rPr>
          <w:rFonts w:ascii="Arial;Helvetica;sans-serif" w:hAnsi="Arial;Helvetica;sans-serif"/>
          <w:b w:val="false"/>
          <w:i w:val="false"/>
          <w:caps w:val="false"/>
          <w:smallCaps w:val="false"/>
          <w:color w:val="000000"/>
          <w:spacing w:val="-2"/>
          <w:sz w:val="22"/>
        </w:rPr>
        <w:t xml:space="preserve">By Order of the Board of Directors, </w:t>
      </w:r>
    </w:p>
    <w:p>
      <w:pPr>
        <w:pStyle w:val="TextBody"/>
        <w:bidi w:val="0"/>
        <w:spacing w:before="158" w:after="283"/>
        <w:ind w:left="5940" w:right="0" w:hanging="0"/>
        <w:jc w:val="left"/>
        <w:rPr>
          <w:caps w:val="false"/>
          <w:smallCaps w:val="false"/>
          <w:color w:val="000000"/>
        </w:rPr>
      </w:pPr>
      <w:r>
        <w:rPr>
          <w:caps w:val="false"/>
          <w:smallCaps w:val="false"/>
          <w:color w:val="000000"/>
        </w:rPr>
        <w:drawing>
          <wp:inline distT="0" distB="0" distL="0" distR="0">
            <wp:extent cx="1343025" cy="390525"/>
            <wp:effectExtent l="0" t="0" r="0" b="0"/>
            <wp:docPr id="365"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123" descr=""/>
                    <pic:cNvPicPr>
                      <a:picLocks noChangeAspect="1" noChangeArrowheads="1"/>
                    </pic:cNvPicPr>
                  </pic:nvPicPr>
                  <pic:blipFill>
                    <a:blip r:embed="rId137"/>
                    <a:stretch>
                      <a:fillRect/>
                    </a:stretch>
                  </pic:blipFill>
                  <pic:spPr bwMode="auto">
                    <a:xfrm>
                      <a:off x="0" y="0"/>
                      <a:ext cx="1343025" cy="390525"/>
                    </a:xfrm>
                    <a:prstGeom prst="rect">
                      <a:avLst/>
                    </a:prstGeom>
                  </pic:spPr>
                </pic:pic>
              </a:graphicData>
            </a:graphic>
          </wp:inline>
        </w:drawing>
      </w:r>
      <w:r>
        <w:rPr>
          <w:caps w:val="false"/>
          <w:smallCaps w:val="false"/>
          <w:color w:val="000000"/>
        </w:rPr>
        <w:t xml:space="preserve"> </w:t>
      </w:r>
    </w:p>
    <w:p>
      <w:pPr>
        <w:pStyle w:val="TextBody"/>
        <w:bidi w:val="0"/>
        <w:spacing w:lineRule="atLeast" w:line="250" w:before="118" w:after="283"/>
        <w:ind w:left="5940"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r>
        <w:rPr>
          <w:rFonts w:ascii="Arial;Helvetica;sans-serif" w:hAnsi="Arial;Helvetica;sans-serif"/>
          <w:b w:val="false"/>
          <w:i w:val="false"/>
          <w:caps w:val="false"/>
          <w:smallCaps w:val="false"/>
          <w:color w:val="000000"/>
          <w:sz w:val="22"/>
        </w:rPr>
        <w:br/>
      </w:r>
      <w:r>
        <w:rPr>
          <w:rFonts w:ascii="Arial;Helvetica;sans-serif" w:hAnsi="Arial;Helvetica;sans-serif"/>
          <w:b/>
          <w:i w:val="false"/>
          <w:caps w:val="false"/>
          <w:smallCaps w:val="false"/>
          <w:color w:val="000000"/>
          <w:spacing w:val="-2"/>
          <w:sz w:val="22"/>
        </w:rPr>
        <w:t>Raj Kanuru</w:t>
      </w:r>
      <w:r>
        <w:rPr>
          <w:rFonts w:ascii="Arial;Helvetica;sans-serif" w:hAnsi="Arial;Helvetica;sans-serif"/>
          <w:b w:val="false"/>
          <w:i w:val="false"/>
          <w:caps w:val="false"/>
          <w:smallCaps w:val="false"/>
          <w:color w:val="000000"/>
          <w:sz w:val="22"/>
        </w:rPr>
        <w:t xml:space="preserve"> </w:t>
        <w:br/>
      </w:r>
      <w:r>
        <w:rPr>
          <w:rFonts w:ascii="Arial;Helvetica;sans-serif" w:hAnsi="Arial;Helvetica;sans-serif"/>
          <w:b w:val="false"/>
          <w:i w:val="false"/>
          <w:caps w:val="false"/>
          <w:smallCaps w:val="false"/>
          <w:color w:val="000000"/>
          <w:spacing w:val="-2"/>
          <w:sz w:val="22"/>
        </w:rPr>
        <w:t>Executive Vice President, General Counsel &amp; Secretary</w:t>
      </w:r>
      <w:r>
        <w:rPr>
          <w:rFonts w:ascii="Arial;Helvetica;sans-serif" w:hAnsi="Arial;Helvetica;sans-serif"/>
          <w:b w:val="false"/>
          <w:i w:val="false"/>
          <w:caps w:val="false"/>
          <w:smallCaps w:val="false"/>
          <w:color w:val="000000"/>
          <w:sz w:val="22"/>
        </w:rPr>
        <w:t xml:space="preserve"> </w:t>
      </w:r>
    </w:p>
    <w:p>
      <w:pPr>
        <w:pStyle w:val="TextBody"/>
        <w:bidi w:val="0"/>
        <w:spacing w:lineRule="atLeast" w:line="240" w:before="420" w:after="274"/>
        <w:ind w:left="114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5060" w:type="dxa"/>
        <w:jc w:val="left"/>
        <w:tblInd w:w="1140" w:type="dxa"/>
        <w:tblLayout w:type="fixed"/>
        <w:tblCellMar>
          <w:top w:w="0" w:type="dxa"/>
          <w:left w:w="0" w:type="dxa"/>
          <w:bottom w:w="0" w:type="dxa"/>
          <w:right w:w="0" w:type="dxa"/>
        </w:tblCellMar>
      </w:tblPr>
      <w:tblGrid>
        <w:gridCol w:w="124"/>
        <w:gridCol w:w="1706"/>
        <w:gridCol w:w="109"/>
        <w:gridCol w:w="109"/>
        <w:gridCol w:w="404"/>
        <w:gridCol w:w="109"/>
        <w:gridCol w:w="109"/>
        <w:gridCol w:w="2236"/>
        <w:gridCol w:w="154"/>
      </w:tblGrid>
      <w:tr>
        <w:trPr/>
        <w:tc>
          <w:tcPr>
            <w:tcW w:w="124" w:type="dxa"/>
            <w:tcBorders/>
            <w:vAlign w:val="center"/>
          </w:tcPr>
          <w:p>
            <w:pPr>
              <w:pStyle w:val="TableContents"/>
              <w:bidi w:val="0"/>
              <w:spacing w:before="0" w:after="283"/>
              <w:jc w:val="left"/>
              <w:rPr/>
            </w:pPr>
            <w:r>
              <w:rPr/>
              <w:t>​</w:t>
            </w:r>
          </w:p>
        </w:tc>
        <w:tc>
          <w:tcPr>
            <w:tcW w:w="1706" w:type="dxa"/>
            <w:tcBorders/>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990600" cy="219075"/>
                  <wp:effectExtent l="0" t="0" r="0" b="0"/>
                  <wp:docPr id="366"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124" descr=""/>
                          <pic:cNvPicPr>
                            <a:picLocks noChangeAspect="1" noChangeArrowheads="1"/>
                          </pic:cNvPicPr>
                        </pic:nvPicPr>
                        <pic:blipFill>
                          <a:blip r:embed="rId138"/>
                          <a:stretch>
                            <a:fillRect/>
                          </a:stretch>
                        </pic:blipFill>
                        <pic:spPr bwMode="auto">
                          <a:xfrm>
                            <a:off x="0" y="0"/>
                            <a:ext cx="990600" cy="2190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4" w:type="dxa"/>
            <w:tcBorders/>
            <w:tcMar>
              <w:top w:w="28" w:type="dxa"/>
              <w:left w:w="28" w:type="dxa"/>
              <w:bottom w:w="28" w:type="dxa"/>
              <w:right w:w="28" w:type="dxa"/>
            </w:tcMar>
            <w:vAlign w:val="center"/>
          </w:tcPr>
          <w:p>
            <w:pPr>
              <w:pStyle w:val="TableContents"/>
              <w:bidi w:val="0"/>
              <w:spacing w:lineRule="atLeast" w:line="220" w:before="0" w:after="0"/>
              <w:jc w:val="center"/>
              <w:rPr/>
            </w:pPr>
            <w:r>
              <w:rPr>
                <w:spacing w:val="-2"/>
              </w:rPr>
              <w:t>70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36" w:type="dxa"/>
            <w:tcBorders/>
            <w:tcMar>
              <w:top w:w="28" w:type="dxa"/>
              <w:left w:w="28" w:type="dxa"/>
              <w:bottom w:w="28" w:type="dxa"/>
              <w:right w:w="28" w:type="dxa"/>
            </w:tcMar>
            <w:vAlign w:val="center"/>
          </w:tcPr>
          <w:p>
            <w:pPr>
              <w:pStyle w:val="TableContents"/>
              <w:bidi w:val="0"/>
              <w:spacing w:lineRule="atLeast" w:line="220" w:before="0" w:after="0"/>
              <w:jc w:val="right"/>
              <w:rPr>
                <w:color w:val="FF6A00"/>
              </w:rPr>
            </w:pPr>
            <w:r>
              <w:rPr>
                <w:color w:val="FF6A00"/>
                <w:spacing w:val="-2"/>
              </w:rPr>
              <w:t>2026 Proxy Statement</w:t>
            </w:r>
            <w:r>
              <w:rPr>
                <w:color w:val="FF6A00"/>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2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367"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mage125" descr=""/>
                    <pic:cNvPicPr>
                      <a:picLocks noChangeAspect="1" noChangeArrowheads="1"/>
                    </pic:cNvPicPr>
                  </pic:nvPicPr>
                  <pic:blipFill>
                    <a:blip r:embed="rId139"/>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38" w:after="283"/>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01 - Marcia J. Avedon 02 - Bennett J. Morgan 03 - Dominick P. Zarcone 1UPX For Against Abstain For Against Abstain For Against Abstain The Board of Directors recommends a vote FOR all nominees listed in Proposal 1 and FOR Proposals 2 and 3. A 049P4B 2. Proposal to ratify the selection of Deloitte &amp; Touche LLP as our independent registered public accounting firm for the year ended December 31, 2026. 3. Advisory vote on the non-binding “say-on-pay” resolution to approve the compensation of our executive officers. 1. Election of Class II Directors: For Against Abstain For Against Abstain Please sign exactly as name(s) appears hereon. Joint owners should each sign. When signing as attorney, executor, administrator, corporate officer, trustee, guardian, or custodian, please give full title. Signature 1 — Please keep signature within the box. Signature 2 — Please keep signature within the box. Date (mm/dd/yyyy) — Please print date below. Authorized Signatures — This section must be completed for your vote to count. Please date and sign below. B 2026 Annual Meeting Proxy Card Using a black ink pen, mark your votes with an X as shown in this example. Please do not write outside the designated areas. q IF VOTING BY MAIL, SIGN, DETACH AND RETURN THE BOTTOM PORTION IN THE ENCLOSED ENVELOPE.qMMMMMMMMMMMMMMMMMMMMM 1234 5678 9012 345 678674 If no electronic voting, delete QR code and control # 000001 MR A SAMPLE DESIGNATION (IF ANY) ADD 1 ADD 2 ADD 3 ADD 4 ADD 5 ADD 6 ENDORSEMENT_LINE______________ SACKPACK_____________ MMMMMMMMMMMMMMM C123456789 000000000.000000 ext 000000000.000000 ext 000000000.000000 ext 000000000.000000 ext 000000000.000000 ext 000000000.000000 ext MR A SAMPLE (THIS AREA IS SET UP TO ACCOMMODATE 140 CHARACTERS) MR A SAMPLE AND MR A SAMPLE AND MR A SAMPLE AND MR A SAMPLE AND MR A SAMPLE AND MR A SAMPLE AND MR A SAMPLE AND MR A SAMPLE AND C 1234567890 J N T MMMMMMM You may vote online or by phone instead of mailing this card. Online Go to www.envisionreports.com/GNRC or scan the QR code — login details are located in the shaded bar below. Your vote matters – here’s how to vote! Votes submitted electronically must be received by 12:00am, CT, on June 11, 2026. Save paper, time and money! Sign up for electronic delivery at www.envisionreports.com/GNRC Phone Call toll free 1-800-652-VOTE (8683) within the USA, US territories and Canada</w:t>
      </w:r>
      <w:r>
        <w:rPr>
          <w:rFonts w:ascii="Arial;Helvetica;sans-serif" w:hAnsi="Arial;Helvetica;san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2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368"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126" descr=""/>
                    <pic:cNvPicPr>
                      <a:picLocks noChangeAspect="1" noChangeArrowheads="1"/>
                    </pic:cNvPicPr>
                  </pic:nvPicPr>
                  <pic:blipFill>
                    <a:blip r:embed="rId140"/>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38" w:after="283"/>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Small steps make an impact. Help the environment by consenting to receive electronic delivery, sign up at www.envisionreports.com/GNRC Notice of 2026 Annual Meeting of Stockholders Proxy Solicited by Board of Directors for Annual Meeting — June 11, 2026 York A. Ragen, Chief Financial Officer of Generac Holdings Inc., and Raj Kanuru, Executive Vice President, General Counsel and Corporate Secretary of Generac Holdings Inc., or either of them, each with the power of substitution, are hereby authorized to represent and vote the shares of the undersigned, with all the powers which the undersigned would possess if personally present, at the Annual Meeting of Stockholders of Generac Holdings Inc. to be held on June 11, 2026 or at any postponement or adjournment thereof. Shares represented by this proxy will be voted by the stockholder. If no such directions are indicated, the Proxies will have authority to vote FOR the election of the Board of Directors and FOR items 2 and 3. In their discretion, the Proxies are authorized to vote upon such other business as may properly come before the meeting. (Items to be voted appear on reverse side) Proxy — Generac Holdings Inc. Non-Voting Items C q IF VOTING BY MAIL, SIGN, DETACH AND RETURN THE BOTTOM PORTION IN THE ENCLOSED ENVELOPE.q Change of Address — Please print new address below. Comments — Please print your comments below. Important notice regarding the Internet availability of proxy materials for the Annual Meeting of Stockholders. The material is available at: www.envisionreports.com/GNRC 2026 Annual Meeting Admission Ticket 2026 Annual Meeting of the Stockholders of Generac Holdings Inc. June 11, 2026, 9:00am CT Generac Corporate Headquarters S45 W29290 Highway 59, Waukesha, WI 53189 Upon arrival, please present this admission ticket and photo identification at the registration desk.</w:t>
      </w:r>
      <w:r>
        <w:rPr>
          <w:rFonts w:ascii="Arial;Helvetica;sans-serif" w:hAnsi="Arial;Helvetica;san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2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369"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127" descr=""/>
                    <pic:cNvPicPr>
                      <a:picLocks noChangeAspect="1" noChangeArrowheads="1"/>
                    </pic:cNvPicPr>
                  </pic:nvPicPr>
                  <pic:blipFill>
                    <a:blip r:embed="rId141"/>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38" w:after="283"/>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01 - Marcia J. Avedon 02 - Bennett J. Morgan 03 - Dominick P. Zarcone 1UPX For Against Abstain For Against Abstain For Against Abstain The Board of Directors recommends a vote FOR all nominees listed in Proposal 1 and FOR Proposals 2 and 3. A 049P5B 2. Proposal to ratify the selection of Deloitte &amp; Touche LLP as our independent registered public accounting firm for the year ended December 31, 2026. 3. Advisory vote on the non-binding “say-on-pay” resolution to approve the compensation of our executive officers. 1. Election of Class II Directors: For Against Abstain For Against Abstain Please sign exactly as name(s) appears hereon. Joint owners should each sign. When signing as attorney, executor, administrator, corporate officer, trustee, guardian, or custodian, please give full title. Signature 1 — Please keep signature within the box. Signature 2 — Please keep signature within the box. Date (mm/dd/yyyy) — Please print date below. Authorized Signatures — This section must be completed for your vote to count. Please date and sign below. B 2026 Annual Meeting Proxy Card Using a black ink pen, mark your votes with an X as shown in this example. Please do not write outside the designated areas. q IF VOTING BY MAIL, SIGN, DETACH AND RETURN THE BOTTOM PORTION IN THE ENCLOSED ENVELOPE.q MMMMMMMMMMMMMMMMMMMMM 678674</w:t>
      </w:r>
      <w:r>
        <w:rPr>
          <w:rFonts w:ascii="Arial;Helvetica;sans-serif" w:hAnsi="Arial;Helvetica;san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2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370"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128" descr=""/>
                    <pic:cNvPicPr>
                      <a:picLocks noChangeAspect="1" noChangeArrowheads="1"/>
                    </pic:cNvPicPr>
                  </pic:nvPicPr>
                  <pic:blipFill>
                    <a:blip r:embed="rId142"/>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38" w:after="283"/>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Notice of 2026 Annual Meeting of Stockholders Proxy Solicited by Board of Directors for Annual Meeting — June 11, 2026 York A. Ragen, Chief Financial Officer of Generac Holdings Inc., and Raj Kanuru, Executive Vice President, General Counsel and Corporate Secretary of Generac Holdings Inc., or either of them, each with the power of substitution, are hereby authorized to represent and vote the shares of the undersigned, with all the powers which the undersigned would possess if personally present, at the Annual Meeting of Stockholders of Generac Holdings Inc. to be held on June 11, 2026 or at any postponement or adjournment thereof. Shares represented by this proxy will be voted by the stockholder. If no such directions are indicated, the Proxies will have authority to vote FOR the election of the Board of Directors and FOR items 2 and 3. In their discretion, the Proxies are authorized to vote upon such other business as may properly come before the meeting. (Items to be voted appear on reverse side) Proxy — Generac Holdings Inc. q IF VOTING BY MAIL, SIGN, DETACH AND RETURN THE BOTTOM PORTION IN THE ENCLOSED ENVELOPE.</w:t>
      </w:r>
      <w:r>
        <w:rPr>
          <w:rFonts w:ascii="Arial;Helvetica;sans-serif" w:hAnsi="Arial;Helvetica;san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Arial">
    <w:altName w:val="Helvetica"/>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5.jpeg"/><Relationship Id="rId15" Type="http://schemas.openxmlformats.org/officeDocument/2006/relationships/image" Target="media/image6.jpeg"/><Relationship Id="rId16" Type="http://schemas.openxmlformats.org/officeDocument/2006/relationships/image" Target="media/image7.jpeg"/><Relationship Id="rId17" Type="http://schemas.openxmlformats.org/officeDocument/2006/relationships/image" Target="media/image8.jpeg"/><Relationship Id="rId18" Type="http://schemas.openxmlformats.org/officeDocument/2006/relationships/image" Target="media/image9.jpeg"/><Relationship Id="rId19" Type="http://schemas.openxmlformats.org/officeDocument/2006/relationships/image" Target="media/image1.jpeg"/><Relationship Id="rId20" Type="http://schemas.openxmlformats.org/officeDocument/2006/relationships/image" Target="media/image10.jpeg"/><Relationship Id="rId21" Type="http://schemas.openxmlformats.org/officeDocument/2006/relationships/image" Target="media/image11.jpeg"/><Relationship Id="rId22" Type="http://schemas.openxmlformats.org/officeDocument/2006/relationships/image" Target="media/image1.jpeg"/><Relationship Id="rId23" Type="http://schemas.openxmlformats.org/officeDocument/2006/relationships/image" Target="media/image12.jpeg"/><Relationship Id="rId24" Type="http://schemas.openxmlformats.org/officeDocument/2006/relationships/image" Target="media/image12.jpeg"/><Relationship Id="rId25" Type="http://schemas.openxmlformats.org/officeDocument/2006/relationships/image" Target="media/image12.jpeg"/><Relationship Id="rId26" Type="http://schemas.openxmlformats.org/officeDocument/2006/relationships/image" Target="media/image1.jpeg"/><Relationship Id="rId27" Type="http://schemas.openxmlformats.org/officeDocument/2006/relationships/image" Target="media/image13.jpeg"/><Relationship Id="rId28" Type="http://schemas.openxmlformats.org/officeDocument/2006/relationships/image" Target="media/image14.jpeg"/><Relationship Id="rId29" Type="http://schemas.openxmlformats.org/officeDocument/2006/relationships/image" Target="media/image1.jpeg"/><Relationship Id="rId30" Type="http://schemas.openxmlformats.org/officeDocument/2006/relationships/image" Target="media/image12.jpeg"/><Relationship Id="rId31" Type="http://schemas.openxmlformats.org/officeDocument/2006/relationships/image" Target="media/image12.jpeg"/><Relationship Id="rId32" Type="http://schemas.openxmlformats.org/officeDocument/2006/relationships/image" Target="media/image1.jpeg"/><Relationship Id="rId33" Type="http://schemas.openxmlformats.org/officeDocument/2006/relationships/image" Target="media/image15.jpeg"/><Relationship Id="rId34" Type="http://schemas.openxmlformats.org/officeDocument/2006/relationships/image" Target="media/image1.jpeg"/><Relationship Id="rId35" Type="http://schemas.openxmlformats.org/officeDocument/2006/relationships/image" Target="media/image16.jpeg"/><Relationship Id="rId36" Type="http://schemas.openxmlformats.org/officeDocument/2006/relationships/image" Target="media/image1.jpeg"/><Relationship Id="rId37" Type="http://schemas.openxmlformats.org/officeDocument/2006/relationships/image" Target="media/image17.jpeg"/><Relationship Id="rId38" Type="http://schemas.openxmlformats.org/officeDocument/2006/relationships/image" Target="media/image1.jpeg"/><Relationship Id="rId39" Type="http://schemas.openxmlformats.org/officeDocument/2006/relationships/image" Target="media/image18.jpeg"/><Relationship Id="rId40" Type="http://schemas.openxmlformats.org/officeDocument/2006/relationships/image" Target="media/image1.jpeg"/><Relationship Id="rId41" Type="http://schemas.openxmlformats.org/officeDocument/2006/relationships/image" Target="media/image19.jpeg"/><Relationship Id="rId42" Type="http://schemas.openxmlformats.org/officeDocument/2006/relationships/image" Target="media/image1.jpeg"/><Relationship Id="rId43" Type="http://schemas.openxmlformats.org/officeDocument/2006/relationships/image" Target="media/image20.jpeg"/><Relationship Id="rId44" Type="http://schemas.openxmlformats.org/officeDocument/2006/relationships/image" Target="media/image1.jpeg"/><Relationship Id="rId45" Type="http://schemas.openxmlformats.org/officeDocument/2006/relationships/image" Target="media/image21.jpeg"/><Relationship Id="rId46" Type="http://schemas.openxmlformats.org/officeDocument/2006/relationships/image" Target="media/image1.jpeg"/><Relationship Id="rId47" Type="http://schemas.openxmlformats.org/officeDocument/2006/relationships/image" Target="media/image22.jpeg"/><Relationship Id="rId48" Type="http://schemas.openxmlformats.org/officeDocument/2006/relationships/image" Target="media/image1.jpeg"/><Relationship Id="rId49" Type="http://schemas.openxmlformats.org/officeDocument/2006/relationships/image" Target="media/image23.jpeg"/><Relationship Id="rId50" Type="http://schemas.openxmlformats.org/officeDocument/2006/relationships/image" Target="media/image1.jpeg"/><Relationship Id="rId51" Type="http://schemas.openxmlformats.org/officeDocument/2006/relationships/image" Target="media/image24.jpeg"/><Relationship Id="rId52" Type="http://schemas.openxmlformats.org/officeDocument/2006/relationships/image" Target="media/image1.jpeg"/><Relationship Id="rId53" Type="http://schemas.openxmlformats.org/officeDocument/2006/relationships/image" Target="media/image25.jpeg"/><Relationship Id="rId54" Type="http://schemas.openxmlformats.org/officeDocument/2006/relationships/image" Target="media/image1.jpeg"/><Relationship Id="rId55" Type="http://schemas.openxmlformats.org/officeDocument/2006/relationships/image" Target="media/image26.jpeg"/><Relationship Id="rId56" Type="http://schemas.openxmlformats.org/officeDocument/2006/relationships/image" Target="media/image26.jpeg"/><Relationship Id="rId57" Type="http://schemas.openxmlformats.org/officeDocument/2006/relationships/image" Target="media/image1.jpeg"/><Relationship Id="rId58" Type="http://schemas.openxmlformats.org/officeDocument/2006/relationships/image" Target="media/image1.jpeg"/><Relationship Id="rId59" Type="http://schemas.openxmlformats.org/officeDocument/2006/relationships/image" Target="media/image1.jpeg"/><Relationship Id="rId60" Type="http://schemas.openxmlformats.org/officeDocument/2006/relationships/image" Target="media/image1.jpeg"/><Relationship Id="rId61" Type="http://schemas.openxmlformats.org/officeDocument/2006/relationships/image" Target="media/image1.jpeg"/><Relationship Id="rId62" Type="http://schemas.openxmlformats.org/officeDocument/2006/relationships/image" Target="media/image1.jpeg"/><Relationship Id="rId63" Type="http://schemas.openxmlformats.org/officeDocument/2006/relationships/image" Target="media/image1.jpeg"/><Relationship Id="rId64" Type="http://schemas.openxmlformats.org/officeDocument/2006/relationships/image" Target="media/image1.jpeg"/><Relationship Id="rId65" Type="http://schemas.openxmlformats.org/officeDocument/2006/relationships/image" Target="media/image1.jpeg"/><Relationship Id="rId66" Type="http://schemas.openxmlformats.org/officeDocument/2006/relationships/image" Target="media/image1.jpeg"/><Relationship Id="rId67" Type="http://schemas.openxmlformats.org/officeDocument/2006/relationships/image" Target="media/image1.jpeg"/><Relationship Id="rId68" Type="http://schemas.openxmlformats.org/officeDocument/2006/relationships/image" Target="media/image1.jpeg"/><Relationship Id="rId69" Type="http://schemas.openxmlformats.org/officeDocument/2006/relationships/image" Target="media/image27.jpeg"/><Relationship Id="rId70" Type="http://schemas.openxmlformats.org/officeDocument/2006/relationships/image" Target="media/image13.jpeg"/><Relationship Id="rId71" Type="http://schemas.openxmlformats.org/officeDocument/2006/relationships/image" Target="media/image1.jpeg"/><Relationship Id="rId72" Type="http://schemas.openxmlformats.org/officeDocument/2006/relationships/image" Target="media/image1.jpeg"/><Relationship Id="rId73" Type="http://schemas.openxmlformats.org/officeDocument/2006/relationships/image" Target="media/image28.jpeg"/><Relationship Id="rId74" Type="http://schemas.openxmlformats.org/officeDocument/2006/relationships/image" Target="media/image29.jpeg"/><Relationship Id="rId75" Type="http://schemas.openxmlformats.org/officeDocument/2006/relationships/image" Target="media/image1.jpeg"/><Relationship Id="rId76" Type="http://schemas.openxmlformats.org/officeDocument/2006/relationships/image" Target="media/image30.gif"/><Relationship Id="rId77" Type="http://schemas.openxmlformats.org/officeDocument/2006/relationships/image" Target="media/image30.gif"/><Relationship Id="rId78" Type="http://schemas.openxmlformats.org/officeDocument/2006/relationships/image" Target="media/image30.gif"/><Relationship Id="rId79" Type="http://schemas.openxmlformats.org/officeDocument/2006/relationships/image" Target="media/image30.gif"/><Relationship Id="rId80" Type="http://schemas.openxmlformats.org/officeDocument/2006/relationships/image" Target="media/image30.gif"/><Relationship Id="rId81" Type="http://schemas.openxmlformats.org/officeDocument/2006/relationships/image" Target="media/image31.gif"/><Relationship Id="rId82" Type="http://schemas.openxmlformats.org/officeDocument/2006/relationships/image" Target="media/image31.gif"/><Relationship Id="rId83" Type="http://schemas.openxmlformats.org/officeDocument/2006/relationships/image" Target="media/image31.gif"/><Relationship Id="rId84" Type="http://schemas.openxmlformats.org/officeDocument/2006/relationships/image" Target="media/image31.gif"/><Relationship Id="rId85" Type="http://schemas.openxmlformats.org/officeDocument/2006/relationships/image" Target="media/image31.gif"/><Relationship Id="rId86" Type="http://schemas.openxmlformats.org/officeDocument/2006/relationships/image" Target="media/image1.jpeg"/><Relationship Id="rId87" Type="http://schemas.openxmlformats.org/officeDocument/2006/relationships/image" Target="media/image32.jpeg"/><Relationship Id="rId88" Type="http://schemas.openxmlformats.org/officeDocument/2006/relationships/image" Target="media/image1.jpeg"/><Relationship Id="rId89" Type="http://schemas.openxmlformats.org/officeDocument/2006/relationships/image" Target="media/image33.jpeg"/><Relationship Id="rId90" Type="http://schemas.openxmlformats.org/officeDocument/2006/relationships/image" Target="media/image1.jpeg"/><Relationship Id="rId91" Type="http://schemas.openxmlformats.org/officeDocument/2006/relationships/image" Target="media/image1.jpeg"/><Relationship Id="rId92" Type="http://schemas.openxmlformats.org/officeDocument/2006/relationships/image" Target="media/image1.jpeg"/><Relationship Id="rId93" Type="http://schemas.openxmlformats.org/officeDocument/2006/relationships/image" Target="media/image34.jpeg"/><Relationship Id="rId94" Type="http://schemas.openxmlformats.org/officeDocument/2006/relationships/image" Target="media/image34.jpeg"/><Relationship Id="rId95" Type="http://schemas.openxmlformats.org/officeDocument/2006/relationships/image" Target="media/image1.jpeg"/><Relationship Id="rId96" Type="http://schemas.openxmlformats.org/officeDocument/2006/relationships/image" Target="media/image1.jpeg"/><Relationship Id="rId97" Type="http://schemas.openxmlformats.org/officeDocument/2006/relationships/image" Target="media/image1.jpeg"/><Relationship Id="rId98" Type="http://schemas.openxmlformats.org/officeDocument/2006/relationships/image" Target="media/image1.jpeg"/><Relationship Id="rId99" Type="http://schemas.openxmlformats.org/officeDocument/2006/relationships/image" Target="media/image35.jpeg"/><Relationship Id="rId100" Type="http://schemas.openxmlformats.org/officeDocument/2006/relationships/image" Target="media/image1.jpeg"/><Relationship Id="rId101" Type="http://schemas.openxmlformats.org/officeDocument/2006/relationships/image" Target="media/image1.jpeg"/><Relationship Id="rId102" Type="http://schemas.openxmlformats.org/officeDocument/2006/relationships/image" Target="media/image1.jpeg"/><Relationship Id="rId103" Type="http://schemas.openxmlformats.org/officeDocument/2006/relationships/image" Target="media/image1.jpeg"/><Relationship Id="rId104" Type="http://schemas.openxmlformats.org/officeDocument/2006/relationships/image" Target="media/image1.jpeg"/><Relationship Id="rId105" Type="http://schemas.openxmlformats.org/officeDocument/2006/relationships/image" Target="media/image1.jpeg"/><Relationship Id="rId106" Type="http://schemas.openxmlformats.org/officeDocument/2006/relationships/image" Target="media/image1.jpeg"/><Relationship Id="rId107" Type="http://schemas.openxmlformats.org/officeDocument/2006/relationships/image" Target="media/image1.jpeg"/><Relationship Id="rId108" Type="http://schemas.openxmlformats.org/officeDocument/2006/relationships/image" Target="media/image1.jpeg"/><Relationship Id="rId109" Type="http://schemas.openxmlformats.org/officeDocument/2006/relationships/image" Target="media/image1.jpeg"/><Relationship Id="rId110" Type="http://schemas.openxmlformats.org/officeDocument/2006/relationships/image" Target="media/image1.jpeg"/><Relationship Id="rId111" Type="http://schemas.openxmlformats.org/officeDocument/2006/relationships/image" Target="media/image1.jpeg"/><Relationship Id="rId112" Type="http://schemas.openxmlformats.org/officeDocument/2006/relationships/image" Target="media/image1.jpeg"/><Relationship Id="rId113" Type="http://schemas.openxmlformats.org/officeDocument/2006/relationships/image" Target="media/image1.jpeg"/><Relationship Id="rId114" Type="http://schemas.openxmlformats.org/officeDocument/2006/relationships/image" Target="media/image1.jpeg"/><Relationship Id="rId115" Type="http://schemas.openxmlformats.org/officeDocument/2006/relationships/image" Target="media/image36.jpeg"/><Relationship Id="rId116" Type="http://schemas.openxmlformats.org/officeDocument/2006/relationships/image" Target="media/image37.jpeg"/><Relationship Id="rId117" Type="http://schemas.openxmlformats.org/officeDocument/2006/relationships/image" Target="media/image1.jpeg"/><Relationship Id="rId118" Type="http://schemas.openxmlformats.org/officeDocument/2006/relationships/image" Target="media/image38.jpeg"/><Relationship Id="rId119" Type="http://schemas.openxmlformats.org/officeDocument/2006/relationships/image" Target="media/image1.jpeg"/><Relationship Id="rId120" Type="http://schemas.openxmlformats.org/officeDocument/2006/relationships/image" Target="media/image1.jpeg"/><Relationship Id="rId121" Type="http://schemas.openxmlformats.org/officeDocument/2006/relationships/image" Target="media/image1.jpeg"/><Relationship Id="rId122" Type="http://schemas.openxmlformats.org/officeDocument/2006/relationships/image" Target="media/image1.jpeg"/><Relationship Id="rId123" Type="http://schemas.openxmlformats.org/officeDocument/2006/relationships/image" Target="media/image12.jpeg"/><Relationship Id="rId124" Type="http://schemas.openxmlformats.org/officeDocument/2006/relationships/image" Target="media/image12.jpeg"/><Relationship Id="rId125" Type="http://schemas.openxmlformats.org/officeDocument/2006/relationships/image" Target="media/image1.jpeg"/><Relationship Id="rId126" Type="http://schemas.openxmlformats.org/officeDocument/2006/relationships/image" Target="media/image1.jpeg"/><Relationship Id="rId127" Type="http://schemas.openxmlformats.org/officeDocument/2006/relationships/image" Target="media/image12.jpeg"/><Relationship Id="rId128" Type="http://schemas.openxmlformats.org/officeDocument/2006/relationships/image" Target="media/image12.jpeg"/><Relationship Id="rId129" Type="http://schemas.openxmlformats.org/officeDocument/2006/relationships/image" Target="media/image1.jpeg"/><Relationship Id="rId130" Type="http://schemas.openxmlformats.org/officeDocument/2006/relationships/image" Target="media/image1.jpeg"/><Relationship Id="rId131" Type="http://schemas.openxmlformats.org/officeDocument/2006/relationships/image" Target="media/image1.jpeg"/><Relationship Id="rId132" Type="http://schemas.openxmlformats.org/officeDocument/2006/relationships/image" Target="media/image1.jpeg"/><Relationship Id="rId133" Type="http://schemas.openxmlformats.org/officeDocument/2006/relationships/image" Target="media/image1.jpeg"/><Relationship Id="rId134" Type="http://schemas.openxmlformats.org/officeDocument/2006/relationships/image" Target="media/image1.jpeg"/><Relationship Id="rId135" Type="http://schemas.openxmlformats.org/officeDocument/2006/relationships/image" Target="media/image1.jpeg"/><Relationship Id="rId136" Type="http://schemas.openxmlformats.org/officeDocument/2006/relationships/image" Target="media/image1.jpeg"/><Relationship Id="rId137" Type="http://schemas.openxmlformats.org/officeDocument/2006/relationships/image" Target="media/image9.jpeg"/><Relationship Id="rId138" Type="http://schemas.openxmlformats.org/officeDocument/2006/relationships/image" Target="media/image1.jpeg"/><Relationship Id="rId139" Type="http://schemas.openxmlformats.org/officeDocument/2006/relationships/image" Target="media/image39.jpeg"/><Relationship Id="rId140" Type="http://schemas.openxmlformats.org/officeDocument/2006/relationships/image" Target="media/image40.jpeg"/><Relationship Id="rId141" Type="http://schemas.openxmlformats.org/officeDocument/2006/relationships/image" Target="media/image41.jpeg"/><Relationship Id="rId142" Type="http://schemas.openxmlformats.org/officeDocument/2006/relationships/image" Target="media/image42.jpeg"/><Relationship Id="rId143" Type="http://schemas.openxmlformats.org/officeDocument/2006/relationships/fontTable" Target="fontTable.xml"/><Relationship Id="rId1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24538</Words>
  <Characters>138085</Characters>
  <CharactersWithSpaces>169343</CharactersWithSpaces>
  <Paragraphs>9401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