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3"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 w:lineRule="exact"/>
        <w:rPr>
          <w:sz w:val="24"/>
          <w:szCs w:val="24"/>
          <w:color w:val="auto"/>
        </w:rPr>
      </w:pPr>
    </w:p>
    <w:p>
      <w:pPr>
        <w:ind w:left="1220" w:hanging="68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5"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2020</w:t>
      </w:r>
    </w:p>
    <w:p>
      <w:pPr>
        <w:spacing w:after="0" w:line="7" w:lineRule="exact"/>
        <w:rPr>
          <w:rFonts w:ascii="MS PGothic" w:cs="MS PGothic" w:eastAsia="MS PGothic" w:hAnsi="MS PGothic"/>
          <w:sz w:val="18"/>
          <w:szCs w:val="18"/>
          <w:color w:val="auto"/>
        </w:rPr>
      </w:pPr>
    </w:p>
    <w:p>
      <w:pPr>
        <w:ind w:left="55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1220" w:hanging="686"/>
        <w:spacing w:after="0"/>
        <w:tabs>
          <w:tab w:leader="none" w:pos="1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5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08"/>
        </w:trPr>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20" w:type="dxa"/>
            <w:vAlign w:val="bottom"/>
            <w:gridSpan w:val="4"/>
          </w:tcPr>
          <w:p>
            <w:pPr>
              <w:jc w:val="center"/>
              <w:ind w:right="4130"/>
              <w:spacing w:after="0"/>
              <w:rPr>
                <w:sz w:val="20"/>
                <w:szCs w:val="20"/>
                <w:color w:val="auto"/>
              </w:rPr>
            </w:pPr>
            <w:r>
              <w:rPr>
                <w:rFonts w:ascii="Times New Roman" w:cs="Times New Roman" w:eastAsia="Times New Roman" w:hAnsi="Times New Roman"/>
                <w:sz w:val="18"/>
                <w:szCs w:val="18"/>
                <w:b w:val="1"/>
                <w:bCs w:val="1"/>
                <w:color w:val="auto"/>
              </w:rPr>
              <w:t>Commission File Number 001-34627</w:t>
            </w:r>
          </w:p>
        </w:tc>
      </w:tr>
      <w:tr>
        <w:trPr>
          <w:trHeight w:val="54"/>
        </w:trPr>
        <w:tc>
          <w:tcPr>
            <w:tcW w:w="3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0" w:type="dxa"/>
            <w:vAlign w:val="bottom"/>
            <w:tcBorders>
              <w:bottom w:val="single" w:sz="8" w:color="auto"/>
            </w:tcBorders>
            <w:gridSpan w:val="2"/>
          </w:tcPr>
          <w:p>
            <w:pPr>
              <w:spacing w:after="0"/>
              <w:rPr>
                <w:sz w:val="4"/>
                <w:szCs w:val="4"/>
                <w:color w:val="auto"/>
              </w:rPr>
            </w:pPr>
          </w:p>
        </w:tc>
        <w:tc>
          <w:tcPr>
            <w:tcW w:w="300" w:type="dxa"/>
            <w:vAlign w:val="bottom"/>
          </w:tcPr>
          <w:p>
            <w:pPr>
              <w:spacing w:after="0"/>
              <w:rPr>
                <w:sz w:val="4"/>
                <w:szCs w:val="4"/>
                <w:color w:val="auto"/>
              </w:rPr>
            </w:pPr>
          </w:p>
        </w:tc>
        <w:tc>
          <w:tcPr>
            <w:tcW w:w="3920" w:type="dxa"/>
            <w:vAlign w:val="bottom"/>
          </w:tcPr>
          <w:p>
            <w:pPr>
              <w:spacing w:after="0"/>
              <w:rPr>
                <w:sz w:val="4"/>
                <w:szCs w:val="4"/>
                <w:color w:val="auto"/>
              </w:rPr>
            </w:pPr>
          </w:p>
        </w:tc>
      </w:tr>
      <w:tr>
        <w:trPr>
          <w:trHeight w:val="515"/>
        </w:trPr>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20" w:type="dxa"/>
            <w:vAlign w:val="bottom"/>
            <w:gridSpan w:val="4"/>
          </w:tcPr>
          <w:p>
            <w:pPr>
              <w:jc w:val="center"/>
              <w:ind w:right="4130"/>
              <w:spacing w:after="0"/>
              <w:rPr>
                <w:sz w:val="20"/>
                <w:szCs w:val="20"/>
                <w:color w:val="auto"/>
              </w:rPr>
            </w:pPr>
            <w:r>
              <w:rPr>
                <w:rFonts w:ascii="Times New Roman" w:cs="Times New Roman" w:eastAsia="Times New Roman" w:hAnsi="Times New Roman"/>
                <w:sz w:val="22"/>
                <w:szCs w:val="22"/>
                <w:b w:val="1"/>
                <w:bCs w:val="1"/>
                <w:color w:val="auto"/>
                <w:w w:val="98"/>
              </w:rPr>
              <w:t>GENERAC HOLDINGS INC.</w:t>
            </w:r>
          </w:p>
        </w:tc>
      </w:tr>
      <w:tr>
        <w:trPr>
          <w:trHeight w:val="212"/>
        </w:trPr>
        <w:tc>
          <w:tcPr>
            <w:tcW w:w="3520" w:type="dxa"/>
            <w:vAlign w:val="bottom"/>
          </w:tcPr>
          <w:p>
            <w:pPr>
              <w:spacing w:after="0"/>
              <w:rPr>
                <w:sz w:val="18"/>
                <w:szCs w:val="18"/>
                <w:color w:val="auto"/>
              </w:rPr>
            </w:pPr>
          </w:p>
        </w:tc>
        <w:tc>
          <w:tcPr>
            <w:tcW w:w="7720" w:type="dxa"/>
            <w:vAlign w:val="bottom"/>
            <w:gridSpan w:val="6"/>
          </w:tcPr>
          <w:p>
            <w:pPr>
              <w:jc w:val="center"/>
              <w:ind w:right="343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20"/>
        </w:trPr>
        <w:tc>
          <w:tcPr>
            <w:tcW w:w="352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520" w:type="dxa"/>
            <w:vAlign w:val="bottom"/>
            <w:gridSpan w:val="3"/>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20-5654756</w:t>
            </w:r>
          </w:p>
        </w:tc>
      </w:tr>
      <w:tr>
        <w:trPr>
          <w:trHeight w:val="234"/>
        </w:trPr>
        <w:tc>
          <w:tcPr>
            <w:tcW w:w="6720" w:type="dxa"/>
            <w:vAlign w:val="bottom"/>
            <w:gridSpan w:val="4"/>
          </w:tcPr>
          <w:p>
            <w:pPr>
              <w:jc w:val="center"/>
              <w:ind w:right="806"/>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00" w:type="dxa"/>
            <w:vAlign w:val="bottom"/>
          </w:tcPr>
          <w:p>
            <w:pPr>
              <w:spacing w:after="0"/>
              <w:rPr>
                <w:sz w:val="20"/>
                <w:szCs w:val="20"/>
                <w:color w:val="auto"/>
              </w:rPr>
            </w:pPr>
          </w:p>
        </w:tc>
        <w:tc>
          <w:tcPr>
            <w:tcW w:w="4220" w:type="dxa"/>
            <w:vAlign w:val="bottom"/>
            <w:gridSpan w:val="2"/>
          </w:tcPr>
          <w:p>
            <w:pPr>
              <w:jc w:val="center"/>
              <w:ind w:right="1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6720" w:type="dxa"/>
            <w:vAlign w:val="bottom"/>
            <w:gridSpan w:val="4"/>
          </w:tcPr>
          <w:p>
            <w:pPr>
              <w:jc w:val="center"/>
              <w:ind w:right="806"/>
              <w:spacing w:after="0"/>
              <w:rPr>
                <w:sz w:val="20"/>
                <w:szCs w:val="20"/>
                <w:color w:val="auto"/>
              </w:rPr>
            </w:pPr>
            <w:r>
              <w:rPr>
                <w:rFonts w:ascii="Times New Roman" w:cs="Times New Roman" w:eastAsia="Times New Roman" w:hAnsi="Times New Roman"/>
                <w:sz w:val="18"/>
                <w:szCs w:val="18"/>
                <w:b w:val="1"/>
                <w:bCs w:val="1"/>
                <w:color w:val="auto"/>
                <w:w w:val="99"/>
              </w:rPr>
              <w:t>S45 W29290 Hwy 59, Waukesha, WI</w:t>
            </w:r>
          </w:p>
        </w:tc>
        <w:tc>
          <w:tcPr>
            <w:tcW w:w="4520" w:type="dxa"/>
            <w:vAlign w:val="bottom"/>
            <w:gridSpan w:val="3"/>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53189</w:t>
            </w:r>
          </w:p>
        </w:tc>
      </w:tr>
      <w:tr>
        <w:trPr>
          <w:trHeight w:val="234"/>
        </w:trPr>
        <w:tc>
          <w:tcPr>
            <w:tcW w:w="6720" w:type="dxa"/>
            <w:vAlign w:val="bottom"/>
            <w:gridSpan w:val="4"/>
          </w:tcPr>
          <w:p>
            <w:pPr>
              <w:jc w:val="center"/>
              <w:ind w:right="806"/>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2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3520" w:type="dxa"/>
            <w:vAlign w:val="bottom"/>
          </w:tcPr>
          <w:p>
            <w:pPr>
              <w:spacing w:after="0"/>
              <w:rPr>
                <w:sz w:val="24"/>
                <w:szCs w:val="24"/>
                <w:color w:val="auto"/>
              </w:rPr>
            </w:pPr>
          </w:p>
        </w:tc>
        <w:tc>
          <w:tcPr>
            <w:tcW w:w="3200" w:type="dxa"/>
            <w:vAlign w:val="bottom"/>
            <w:gridSpan w:val="3"/>
          </w:tcPr>
          <w:p>
            <w:pPr>
              <w:jc w:val="right"/>
              <w:ind w:right="346"/>
              <w:spacing w:after="0"/>
              <w:rPr>
                <w:sz w:val="20"/>
                <w:szCs w:val="20"/>
                <w:color w:val="auto"/>
              </w:rPr>
            </w:pPr>
            <w:r>
              <w:rPr>
                <w:rFonts w:ascii="Times New Roman" w:cs="Times New Roman" w:eastAsia="Times New Roman" w:hAnsi="Times New Roman"/>
                <w:sz w:val="18"/>
                <w:szCs w:val="18"/>
                <w:b w:val="1"/>
                <w:bCs w:val="1"/>
                <w:color w:val="auto"/>
              </w:rPr>
              <w:t>(262) 544-4811</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34"/>
        </w:trPr>
        <w:tc>
          <w:tcPr>
            <w:tcW w:w="3520" w:type="dxa"/>
            <w:vAlign w:val="bottom"/>
          </w:tcPr>
          <w:p>
            <w:pPr>
              <w:spacing w:after="0"/>
              <w:rPr>
                <w:sz w:val="20"/>
                <w:szCs w:val="20"/>
                <w:color w:val="auto"/>
              </w:rPr>
            </w:pPr>
          </w:p>
        </w:tc>
        <w:tc>
          <w:tcPr>
            <w:tcW w:w="7720" w:type="dxa"/>
            <w:vAlign w:val="bottom"/>
            <w:gridSpan w:val="6"/>
          </w:tcPr>
          <w:p>
            <w:pPr>
              <w:jc w:val="center"/>
              <w:ind w:right="32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49"/>
        </w:trPr>
        <w:tc>
          <w:tcPr>
            <w:tcW w:w="112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210"/>
        </w:trPr>
        <w:tc>
          <w:tcPr>
            <w:tcW w:w="3520" w:type="dxa"/>
            <w:vAlign w:val="bottom"/>
            <w:tcBorders>
              <w:left w:val="single" w:sz="8" w:color="auto"/>
              <w:bottom w:val="single" w:sz="8" w:color="auto"/>
            </w:tcBorders>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8"/>
              </w:rPr>
              <w:t>Title of each class</w:t>
            </w:r>
          </w:p>
        </w:tc>
        <w:tc>
          <w:tcPr>
            <w:tcW w:w="4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center"/>
              <w:ind w:left="226"/>
              <w:spacing w:after="0" w:line="189" w:lineRule="exact"/>
              <w:rPr>
                <w:sz w:val="20"/>
                <w:szCs w:val="20"/>
                <w:color w:val="auto"/>
              </w:rPr>
            </w:pPr>
            <w:r>
              <w:rPr>
                <w:rFonts w:ascii="Times New Roman" w:cs="Times New Roman" w:eastAsia="Times New Roman" w:hAnsi="Times New Roman"/>
                <w:sz w:val="18"/>
                <w:szCs w:val="18"/>
                <w:color w:val="auto"/>
                <w:w w:val="98"/>
              </w:rPr>
              <w:t>Trading Symbol(s)</w:t>
            </w: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520" w:type="dxa"/>
            <w:vAlign w:val="bottom"/>
            <w:tcBorders>
              <w:left w:val="single" w:sz="8" w:color="auto"/>
              <w:bottom w:val="single" w:sz="8" w:color="auto"/>
            </w:tcBorders>
          </w:tcPr>
          <w:p>
            <w:pPr>
              <w:jc w:val="center"/>
              <w:ind w:left="350"/>
              <w:spacing w:after="0" w:line="193" w:lineRule="exact"/>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440" w:type="dxa"/>
            <w:vAlign w:val="bottom"/>
            <w:tcBorders>
              <w:bottom w:val="single" w:sz="8" w:color="auto"/>
              <w:right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jc w:val="center"/>
              <w:ind w:left="226"/>
              <w:spacing w:after="0" w:line="193" w:lineRule="exact"/>
              <w:rPr>
                <w:sz w:val="20"/>
                <w:szCs w:val="20"/>
                <w:color w:val="auto"/>
              </w:rPr>
            </w:pPr>
            <w:r>
              <w:rPr>
                <w:rFonts w:ascii="Times New Roman" w:cs="Times New Roman" w:eastAsia="Times New Roman" w:hAnsi="Times New Roman"/>
                <w:sz w:val="18"/>
                <w:szCs w:val="18"/>
                <w:b w:val="1"/>
                <w:bCs w:val="1"/>
                <w:color w:val="auto"/>
              </w:rPr>
              <w:t>GNRC</w:t>
            </w: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9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2"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right="4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40" w:right="339" w:bottom="0" w:gutter="0" w:footer="0" w:header="0"/>
        </w:sectPr>
      </w:pPr>
    </w:p>
    <w:p>
      <w:pPr>
        <w:spacing w:after="0" w:line="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1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3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1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5" w:lineRule="exact"/>
        <w:rPr>
          <w:sz w:val="24"/>
          <w:szCs w:val="24"/>
          <w:color w:val="auto"/>
        </w:rPr>
      </w:pPr>
    </w:p>
    <w:p>
      <w:pPr>
        <w:sectPr>
          <w:pgSz w:w="11900" w:h="16838" w:orient="portrait"/>
          <w:cols w:equalWidth="0" w:num="2">
            <w:col w:w="4900" w:space="720"/>
            <w:col w:w="5620"/>
          </w:cols>
          <w:pgMar w:left="320" w:top="540" w:right="339" w:bottom="0" w:gutter="0" w:footer="0" w:header="0"/>
          <w:type w:val="continuous"/>
        </w:sectPr>
      </w:pPr>
    </w:p>
    <w:p>
      <w:pPr>
        <w:spacing w:after="0" w:line="17" w:lineRule="exact"/>
        <w:rPr>
          <w:sz w:val="24"/>
          <w:szCs w:val="24"/>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right="4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common equity held by non-affiliates of the registrant on June 30, 2020, the last business day of the registrant’s most recently completed second fiscal quarter, was $7,391,323,686 based upon the closing price reported for such date on the New York Stock Exchange.</w:t>
      </w:r>
    </w:p>
    <w:p>
      <w:pPr>
        <w:spacing w:after="0" w:line="17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19, 2021, 62,861,442 shares of registrant's common stock were outstanding.</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Portions of the registrant’s Annual Report to Stockholders for the year ended December 31, 2020 furnished to the Securities and Exchange Commission are incorporated by reference into Part II of this Form 10-K. Portions of the registrant’s Proxy Statement for the 2021 Annual Meeting of Stockholders (the</w:t>
      </w:r>
    </w:p>
    <w:p>
      <w:pPr>
        <w:sectPr>
          <w:pgSz w:w="11900" w:h="16838" w:orient="portrait"/>
          <w:cols w:equalWidth="0" w:num="1">
            <w:col w:w="11240"/>
          </w:cols>
          <w:pgMar w:left="320" w:top="540" w:right="339" w:bottom="0" w:gutter="0" w:footer="0" w:header="0"/>
          <w:type w:val="continuous"/>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“2021 Proxy Statement”), which will be filed by the registrant on or prior to 120 days following the end of the registrant’s fiscal year ended December 31, 2020,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 w:name="page3"/>
    <w:bookmarkEnd w:id="2"/>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80" w:type="dxa"/>
            <w:vAlign w:val="bottom"/>
            <w:gridSpan w:val="2"/>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3"/>
        </w:trPr>
        <w:tc>
          <w:tcPr>
            <w:tcW w:w="880" w:type="dxa"/>
            <w:vAlign w:val="bottom"/>
          </w:tcPr>
          <w:p>
            <w:pPr>
              <w:spacing w:after="0"/>
              <w:rPr>
                <w:sz w:val="24"/>
                <w:szCs w:val="24"/>
                <w:color w:val="auto"/>
              </w:rPr>
            </w:pPr>
          </w:p>
        </w:tc>
        <w:tc>
          <w:tcPr>
            <w:tcW w:w="870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2020 FORM 10-K ANNUAL REPORT</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p>
        </w:tc>
        <w:tc>
          <w:tcPr>
            <w:tcW w:w="87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8700" w:type="dxa"/>
            <w:vAlign w:val="bottom"/>
            <w:vMerge w:val="restart"/>
          </w:tcPr>
          <w:p>
            <w:pPr>
              <w:jc w:val="center"/>
              <w:ind w:left="710"/>
              <w:spacing w:after="0"/>
              <w:rPr>
                <w:rFonts w:ascii="Times New Roman" w:cs="Times New Roman" w:eastAsia="Times New Roman" w:hAnsi="Times New Roman"/>
                <w:sz w:val="18"/>
                <w:szCs w:val="18"/>
                <w:b w:val="1"/>
                <w:bCs w:val="1"/>
                <w:u w:val="single" w:color="auto"/>
                <w:color w:val="0000EE"/>
                <w:w w:val="95"/>
              </w:rPr>
            </w:pPr>
            <w:hyperlink w:anchor="page4">
              <w:r>
                <w:rPr>
                  <w:rFonts w:ascii="Times New Roman" w:cs="Times New Roman" w:eastAsia="Times New Roman" w:hAnsi="Times New Roman"/>
                  <w:sz w:val="18"/>
                  <w:szCs w:val="18"/>
                  <w:b w:val="1"/>
                  <w:bCs w:val="1"/>
                  <w:u w:val="single" w:color="auto"/>
                  <w:color w:val="0000EE"/>
                  <w:w w:val="95"/>
                </w:rPr>
                <w:t>PART I</w:t>
              </w:r>
            </w:hyperlink>
          </w:p>
        </w:tc>
        <w:tc>
          <w:tcPr>
            <w:tcW w:w="16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870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Business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2</w:t>
              </w:r>
            </w:hyperlink>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Risk Factors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8</w:t>
              </w:r>
            </w:hyperlink>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Unresolved Staff Comments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16">
              <w:r>
                <w:rPr>
                  <w:rFonts w:ascii="Times New Roman" w:cs="Times New Roman" w:eastAsia="Times New Roman" w:hAnsi="Times New Roman"/>
                  <w:sz w:val="18"/>
                  <w:szCs w:val="18"/>
                  <w:u w:val="single" w:color="auto"/>
                  <w:color w:val="0000EE"/>
                  <w:w w:val="99"/>
                </w:rPr>
                <w:t>15</w:t>
              </w:r>
            </w:hyperlink>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Properties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16">
              <w:r>
                <w:rPr>
                  <w:rFonts w:ascii="Times New Roman" w:cs="Times New Roman" w:eastAsia="Times New Roman" w:hAnsi="Times New Roman"/>
                  <w:sz w:val="18"/>
                  <w:szCs w:val="18"/>
                  <w:u w:val="single" w:color="auto"/>
                  <w:color w:val="0000EE"/>
                  <w:w w:val="99"/>
                </w:rPr>
                <w:t>15</w:t>
              </w:r>
            </w:hyperlink>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Legal Proceedings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16">
              <w:r>
                <w:rPr>
                  <w:rFonts w:ascii="Times New Roman" w:cs="Times New Roman" w:eastAsia="Times New Roman" w:hAnsi="Times New Roman"/>
                  <w:sz w:val="18"/>
                  <w:szCs w:val="18"/>
                  <w:u w:val="single" w:color="auto"/>
                  <w:color w:val="0000EE"/>
                  <w:w w:val="99"/>
                </w:rPr>
                <w:t>16</w:t>
              </w:r>
            </w:hyperlink>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Mine Safety Disclosures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16">
              <w:r>
                <w:rPr>
                  <w:rFonts w:ascii="Times New Roman" w:cs="Times New Roman" w:eastAsia="Times New Roman" w:hAnsi="Times New Roman"/>
                  <w:sz w:val="18"/>
                  <w:szCs w:val="18"/>
                  <w:u w:val="single" w:color="auto"/>
                  <w:color w:val="0000EE"/>
                  <w:w w:val="99"/>
                </w:rPr>
                <w:t>16</w:t>
              </w:r>
            </w:hyperlink>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8700" w:type="dxa"/>
            <w:vAlign w:val="bottom"/>
          </w:tcPr>
          <w:p>
            <w:pPr>
              <w:jc w:val="center"/>
              <w:ind w:left="710"/>
              <w:spacing w:after="0"/>
              <w:rPr>
                <w:rFonts w:ascii="Times New Roman" w:cs="Times New Roman" w:eastAsia="Times New Roman" w:hAnsi="Times New Roman"/>
                <w:sz w:val="18"/>
                <w:szCs w:val="18"/>
                <w:b w:val="1"/>
                <w:bCs w:val="1"/>
                <w:u w:val="single" w:color="auto"/>
                <w:color w:val="0000EE"/>
                <w:w w:val="97"/>
              </w:rPr>
            </w:pPr>
            <w:hyperlink w:anchor="page17">
              <w:r>
                <w:rPr>
                  <w:rFonts w:ascii="Times New Roman" w:cs="Times New Roman" w:eastAsia="Times New Roman" w:hAnsi="Times New Roman"/>
                  <w:sz w:val="18"/>
                  <w:szCs w:val="18"/>
                  <w:b w:val="1"/>
                  <w:bCs w:val="1"/>
                  <w:u w:val="single" w:color="auto"/>
                  <w:color w:val="0000EE"/>
                  <w:w w:val="97"/>
                </w:rPr>
                <w:t>PART II</w:t>
              </w:r>
            </w:hyperlink>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17">
              <w:r>
                <w:rPr>
                  <w:rFonts w:ascii="Times New Roman" w:cs="Times New Roman" w:eastAsia="Times New Roman" w:hAnsi="Times New Roman"/>
                  <w:sz w:val="18"/>
                  <w:szCs w:val="18"/>
                  <w:u w:val="single" w:color="auto"/>
                  <w:color w:val="0000EE"/>
                  <w:w w:val="99"/>
                </w:rPr>
                <w:t>16</w:t>
              </w:r>
            </w:hyperlink>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[Reserved]</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18">
              <w:r>
                <w:rPr>
                  <w:rFonts w:ascii="Times New Roman" w:cs="Times New Roman" w:eastAsia="Times New Roman" w:hAnsi="Times New Roman"/>
                  <w:sz w:val="18"/>
                  <w:szCs w:val="18"/>
                  <w:u w:val="single" w:color="auto"/>
                  <w:color w:val="0000EE"/>
                  <w:w w:val="99"/>
                </w:rPr>
                <w:t>17</w:t>
              </w:r>
            </w:hyperlink>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18">
              <w:r>
                <w:rPr>
                  <w:rFonts w:ascii="Times New Roman" w:cs="Times New Roman" w:eastAsia="Times New Roman" w:hAnsi="Times New Roman"/>
                  <w:sz w:val="18"/>
                  <w:szCs w:val="18"/>
                  <w:u w:val="single" w:color="auto"/>
                  <w:color w:val="0000EE"/>
                  <w:w w:val="99"/>
                </w:rPr>
                <w:t>18</w:t>
              </w:r>
            </w:hyperlink>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Quantitative and Qualitative Disclosures About Market Risk</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29">
              <w:r>
                <w:rPr>
                  <w:rFonts w:ascii="Times New Roman" w:cs="Times New Roman" w:eastAsia="Times New Roman" w:hAnsi="Times New Roman"/>
                  <w:sz w:val="18"/>
                  <w:szCs w:val="18"/>
                  <w:u w:val="single" w:color="auto"/>
                  <w:color w:val="0000EE"/>
                  <w:w w:val="99"/>
                </w:rPr>
                <w:t>32</w:t>
              </w:r>
            </w:hyperlink>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Financial Statements and Supplementary Data</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30">
              <w:r>
                <w:rPr>
                  <w:rFonts w:ascii="Times New Roman" w:cs="Times New Roman" w:eastAsia="Times New Roman" w:hAnsi="Times New Roman"/>
                  <w:sz w:val="18"/>
                  <w:szCs w:val="18"/>
                  <w:u w:val="single" w:color="auto"/>
                  <w:color w:val="0000EE"/>
                  <w:w w:val="99"/>
                </w:rPr>
                <w:t>33</w:t>
              </w:r>
            </w:hyperlink>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5">
              <w:r>
                <w:rPr>
                  <w:rFonts w:ascii="Times New Roman" w:cs="Times New Roman" w:eastAsia="Times New Roman" w:hAnsi="Times New Roman"/>
                  <w:sz w:val="18"/>
                  <w:szCs w:val="18"/>
                  <w:u w:val="single" w:color="auto"/>
                  <w:color w:val="0000EE"/>
                  <w:w w:val="99"/>
                </w:rPr>
                <w:t>67</w:t>
              </w:r>
            </w:hyperlink>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Controls and Procedures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5">
              <w:r>
                <w:rPr>
                  <w:rFonts w:ascii="Times New Roman" w:cs="Times New Roman" w:eastAsia="Times New Roman" w:hAnsi="Times New Roman"/>
                  <w:sz w:val="18"/>
                  <w:szCs w:val="18"/>
                  <w:u w:val="single" w:color="auto"/>
                  <w:color w:val="0000EE"/>
                  <w:w w:val="99"/>
                </w:rPr>
                <w:t>67</w:t>
              </w:r>
            </w:hyperlink>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Other Information</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5">
              <w:r>
                <w:rPr>
                  <w:rFonts w:ascii="Times New Roman" w:cs="Times New Roman" w:eastAsia="Times New Roman" w:hAnsi="Times New Roman"/>
                  <w:sz w:val="18"/>
                  <w:szCs w:val="18"/>
                  <w:u w:val="single" w:color="auto"/>
                  <w:color w:val="0000EE"/>
                  <w:w w:val="99"/>
                </w:rPr>
                <w:t>68</w:t>
              </w:r>
            </w:hyperlink>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8700" w:type="dxa"/>
            <w:vAlign w:val="bottom"/>
          </w:tcPr>
          <w:p>
            <w:pPr>
              <w:jc w:val="center"/>
              <w:ind w:left="690"/>
              <w:spacing w:after="0"/>
              <w:rPr>
                <w:rFonts w:ascii="Times New Roman" w:cs="Times New Roman" w:eastAsia="Times New Roman" w:hAnsi="Times New Roman"/>
                <w:sz w:val="18"/>
                <w:szCs w:val="18"/>
                <w:b w:val="1"/>
                <w:bCs w:val="1"/>
                <w:u w:val="single" w:color="auto"/>
                <w:color w:val="0000EE"/>
                <w:w w:val="96"/>
              </w:rPr>
            </w:pPr>
            <w:hyperlink w:anchor="page65">
              <w:r>
                <w:rPr>
                  <w:rFonts w:ascii="Times New Roman" w:cs="Times New Roman" w:eastAsia="Times New Roman" w:hAnsi="Times New Roman"/>
                  <w:sz w:val="18"/>
                  <w:szCs w:val="18"/>
                  <w:b w:val="1"/>
                  <w:bCs w:val="1"/>
                  <w:u w:val="single" w:color="auto"/>
                  <w:color w:val="0000EE"/>
                  <w:w w:val="96"/>
                </w:rPr>
                <w:t>PART III</w:t>
              </w:r>
            </w:hyperlink>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Directors, Executive Officers and Corporate Governance</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5">
              <w:r>
                <w:rPr>
                  <w:rFonts w:ascii="Times New Roman" w:cs="Times New Roman" w:eastAsia="Times New Roman" w:hAnsi="Times New Roman"/>
                  <w:sz w:val="18"/>
                  <w:szCs w:val="18"/>
                  <w:u w:val="single" w:color="auto"/>
                  <w:color w:val="0000EE"/>
                  <w:w w:val="99"/>
                </w:rPr>
                <w:t>68</w:t>
              </w:r>
            </w:hyperlink>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Executive Compensation</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6">
              <w:r>
                <w:rPr>
                  <w:rFonts w:ascii="Times New Roman" w:cs="Times New Roman" w:eastAsia="Times New Roman" w:hAnsi="Times New Roman"/>
                  <w:sz w:val="18"/>
                  <w:szCs w:val="18"/>
                  <w:u w:val="single" w:color="auto"/>
                  <w:color w:val="0000EE"/>
                  <w:w w:val="99"/>
                </w:rPr>
                <w:t>68</w:t>
              </w:r>
            </w:hyperlink>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6">
              <w:r>
                <w:rPr>
                  <w:rFonts w:ascii="Times New Roman" w:cs="Times New Roman" w:eastAsia="Times New Roman" w:hAnsi="Times New Roman"/>
                  <w:sz w:val="18"/>
                  <w:szCs w:val="18"/>
                  <w:u w:val="single" w:color="auto"/>
                  <w:color w:val="0000EE"/>
                  <w:w w:val="99"/>
                </w:rPr>
                <w:t>68</w:t>
              </w:r>
            </w:hyperlink>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6">
              <w:r>
                <w:rPr>
                  <w:rFonts w:ascii="Times New Roman" w:cs="Times New Roman" w:eastAsia="Times New Roman" w:hAnsi="Times New Roman"/>
                  <w:sz w:val="18"/>
                  <w:szCs w:val="18"/>
                  <w:u w:val="single" w:color="auto"/>
                  <w:color w:val="0000EE"/>
                  <w:w w:val="99"/>
                </w:rPr>
                <w:t>68</w:t>
              </w:r>
            </w:hyperlink>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Principal Accountant Fees and Services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6">
              <w:r>
                <w:rPr>
                  <w:rFonts w:ascii="Times New Roman" w:cs="Times New Roman" w:eastAsia="Times New Roman" w:hAnsi="Times New Roman"/>
                  <w:sz w:val="18"/>
                  <w:szCs w:val="18"/>
                  <w:u w:val="single" w:color="auto"/>
                  <w:color w:val="0000EE"/>
                  <w:w w:val="99"/>
                </w:rPr>
                <w:t>68</w:t>
              </w:r>
            </w:hyperlink>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8700" w:type="dxa"/>
            <w:vAlign w:val="bottom"/>
          </w:tcPr>
          <w:p>
            <w:pPr>
              <w:jc w:val="center"/>
              <w:ind w:left="690"/>
              <w:spacing w:after="0"/>
              <w:rPr>
                <w:rFonts w:ascii="Times New Roman" w:cs="Times New Roman" w:eastAsia="Times New Roman" w:hAnsi="Times New Roman"/>
                <w:sz w:val="18"/>
                <w:szCs w:val="18"/>
                <w:b w:val="1"/>
                <w:bCs w:val="1"/>
                <w:u w:val="single" w:color="auto"/>
                <w:color w:val="0000EE"/>
                <w:w w:val="97"/>
              </w:rPr>
            </w:pPr>
            <w:hyperlink w:anchor="page66">
              <w:r>
                <w:rPr>
                  <w:rFonts w:ascii="Times New Roman" w:cs="Times New Roman" w:eastAsia="Times New Roman" w:hAnsi="Times New Roman"/>
                  <w:sz w:val="18"/>
                  <w:szCs w:val="18"/>
                  <w:b w:val="1"/>
                  <w:bCs w:val="1"/>
                  <w:u w:val="single" w:color="auto"/>
                  <w:color w:val="0000EE"/>
                  <w:w w:val="97"/>
                </w:rPr>
                <w:t>PART IV</w:t>
              </w:r>
            </w:hyperlink>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Exhibits and Financial Statement Schedules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6">
              <w:r>
                <w:rPr>
                  <w:rFonts w:ascii="Times New Roman" w:cs="Times New Roman" w:eastAsia="Times New Roman" w:hAnsi="Times New Roman"/>
                  <w:sz w:val="18"/>
                  <w:szCs w:val="18"/>
                  <w:u w:val="single" w:color="auto"/>
                  <w:color w:val="0000EE"/>
                  <w:w w:val="99"/>
                </w:rPr>
                <w:t>68</w:t>
              </w:r>
            </w:hyperlink>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8700" w:type="dxa"/>
            <w:vAlign w:val="bottom"/>
          </w:tcPr>
          <w:p>
            <w:pPr>
              <w:ind w:left="22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Form 10-K Summary</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69">
              <w:r>
                <w:rPr>
                  <w:rFonts w:ascii="Times New Roman" w:cs="Times New Roman" w:eastAsia="Times New Roman" w:hAnsi="Times New Roman"/>
                  <w:sz w:val="18"/>
                  <w:szCs w:val="18"/>
                  <w:u w:val="single" w:color="auto"/>
                  <w:color w:val="0000EE"/>
                  <w:w w:val="99"/>
                </w:rPr>
                <w:t>72</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are subject to risks and uncertainties.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“forecast,” “project,” “plan,” “intend,” “believe,” “confident,” “may,” “should,” “can have,” “likely,” “future,” “optimistic” and other words and terms of similar meaning in connection with any discussion of the timing or nature of future operating or financial performance or other events.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are based on assumptions that we have made in light of our industry experience and on our perceptions of historical trends, current conditions, expected future developments and other factors we believe are appropriate under the circumstances. As you read and consider this report, you should understand that these statements are not guarantees of performance or results. They involve risks, uncertainties (some of which are beyond our control) and assumptions. Although we believe that these forward-looking statements are based on reasonable assumptions, you should be aware that many factors could affect our actual financial results and cause them to differ materially from those anticipated in the forward-looking statements. The forward-looking statements contained in this annual report include estimates regarding:</w:t>
      </w:r>
    </w:p>
    <w:p>
      <w:pPr>
        <w:spacing w:after="0" w:line="18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and operating results, and future economic performance;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new product and service offerings;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goals, expectations and objectives and other similar expressions concerning matters that are not historical facts.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affect our actual financial results and cause them to differ materially from those anticipated in the forward-looking statements include:</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frequency and duration of power outages impacting demand for our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cost and quality of raw materials and key components from our global supply chain and labor needed in producing our products;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results of possible fluctuations in interest rates, foreign currency exchange rates, commodities, product mix and regulatory tariffs;</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expected synergies, efficiencies and cost savings of our acquisitions will not be realized, or will not be realized within the expected time period;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acquisitions will not be integrated successfully;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impact of the COVID-19 pandemic;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we may encounter as our business expands globally or into new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distribution network;</w:t>
      </w:r>
    </w:p>
    <w:p>
      <w:pPr>
        <w:sectPr>
          <w:pgSz w:w="11900" w:h="16868" w:orient="portrait"/>
          <w:cols w:equalWidth="0" w:num="1">
            <w:col w:w="11240"/>
          </w:cols>
          <w:pgMar w:left="320" w:top="121" w:right="339" w:bottom="0" w:gutter="0" w:footer="0" w:header="0"/>
        </w:sectPr>
      </w:pPr>
    </w:p>
    <w:bookmarkStart w:id="3" w:name="page4"/>
    <w:bookmarkEnd w:id="3"/>
    <w:p>
      <w:pPr>
        <w:spacing w:after="0" w:line="2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invest in, develop or adapt to changing technologies and manufacturing techniques;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key management and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product and other liability claims or recalls;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security breaches of our networks, information technology systems, or connected products;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health and safety, or product compliance laws and regulations affecting our products, operations, or customer demand; and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these assumptions prove incorrect, our actual results may vary in material respects from those projected in any forward-looking statements. A detailed discussion of these and other factors that may affect future results is contained in Item 1A of this Annual Report on Form 10-K. Stockholders, potential investors and other readers should consider these factors carefully in evaluating the forward-looking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report speaks only as of the date on which it is made. Factors or events that could cause our actual results to differ may emerge from time to time, and it is not possible for us to predict all of them. We undertake no obligation to update any forward-looking statement, whether as a result of new information, future developments or otherwise,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1959, Generac Holdings Inc. (the Company or Generac) is a leading global designer and manufacturer of a wide range of energy technology solutions. The Company provides power generation equipment, energy storage systems, grid service solutions, and other power products serving the residential, light commercial and industrial markets.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Power generation and storage is a key focus of the Company, which differentiates us from our competitors who also have broad operations outside of the power equipment market. As the only significant market participant with a primary focus on these products, we maintain one of the leading market positions in the power equipment market in North America and an expanding presence internationally. We believe we have one of the widest ranges of products in the marketplace, including residential, commercial and industrial standby generators; as well as portable and mobile generators used in a variety of applications. A key strategic focus for the Company in recent years has been leveraging our leading position in the growing market for cleaner burning, more cost-effective natural gas fueled generators to expand into applications beyond standby power, allowing us to participate in distributed generation projects. The Company in recent years has been evolving its business model to also focus on clean energy products, solutions, and services. In 2019, we began providing energy storage systems as a clean energy solution for residential use that capture and store electricity from solar panels or other power sources and help reduce home energy costs while also protecting homes from shorter-duration power outages. During 2020, we entered the market for grid services involving distributed energy optimization and control software that helps support the operational stability of the world's power grids. We have also been focused on connecting the equipment we manufacture to the users of that equipment, helping to drive additional value to our customers and our distribution partners over the product lifecycle. The strategic focus on expanding the connectivity of our products will broaden our monitoring capabilities and also enable the increasing utilization of this equipment as distributed energy resources as the nascent market for grid-services expands over the next several years. Overall, as the traditional centralized utility model evolves over time, we believe that a cleaner, more decentralized grid infrastructure will build-out, and Generac's energy technology solutions are strategically positioned to participate in this future "Grid 2.0".</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power generation and storage solutions, other products that we design and manufacture include light towers which provide temporary lighting for various end markets, and a broad and growing product line of outdoor power equipment for residential and commercial use.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design, manufacture, source and modify engines, alternators, transfer switches and other components necessary for our power generation products, which are increasingly being fueled by cleaner sources of energy such as natural gas, liquid propane, and Bi-Fuel™. We also design, source, modify and integrate batteries, inverters, power electronics, controls, energy monitoring and management devices and other components into our energy storage systems. We also design software that allows utilities and power aggregators to optimize and control distributed energy resources. Our products and solutions are available globally through a broad network of independent dealers, distributors, retailers, ecommerce partners, wholesalers and equipment rental companies under a variety of brand names. We also sell direct to certain national and regional account customers, as well as to individual consumers, that are the end users of our products and solutions.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significant market share in the residential and light commercial markets for automatic standby generators, which we believe remain under-penetrated in the marketplace. We also have a leading market position for portable generators used in residential, light construction and recreational applications. We believe that our leading market positions are largely attributable to our strategy of providing a broad product line of high-quality, innovative and affordable products through our extensive and multi-layered distribution network to whom we offer comprehensive support programs, and leads from the factory. In addition, we are a leading provider of light towers, mobile generators, outdoor power equipment and industrial generators ranging in sizes up to 3,250kW. As we have entered the rapidly developing market for clean energy in recent years, we have significantly increased our market presence for energy storage systems currently ranging in configurations up to 36kWh of storage capacity. We expect to continue to gain market share in clean energy by further advancing our growing capabilities for these systems including product development, sourcing, distribution, and marketing, as well as leveraging our significant competencies developed over the past two decades to grow the residential standby generator market.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 the past 10 years, we have executed a number of acquisitions that support our strategic plan. A summary of recent acquisitions can be found in Note 1, “Description of Business,” to the consolidated financial statements in Item 8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Solutions</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design and manufacture stationary, portable and mobile generators with single-engine outputs ranging between 800W and 3,250kW. We have the ability to expand the power range for certain stationary generator solutions to much larger multi-megawatt systems through an integrated paralleling configuration called Modular Power Systems (MPS). We have developed a line of turn-key energy storage systems along with a growing selection of energy monitoring and management solutions as we further expand into the clean energy markets. We also recently entered the market for grid services involving distributed energy optimization and control software. Other power products and solutions that we provide include light towers, as well as a broad line of outdoor</w:t>
      </w:r>
    </w:p>
    <w:p>
      <w:pPr>
        <w:sectPr>
          <w:pgSz w:w="11900" w:h="16867" w:orient="portrait"/>
          <w:cols w:equalWidth="0" w:num="1">
            <w:col w:w="11240"/>
          </w:cols>
          <w:pgMar w:left="320" w:top="121" w:right="339" w:bottom="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power equipment that we refer to as chore products which includes field and brush mowers, pressure washers, water pumps, and battery-powered zero-turn mowers. We classify our products into three categories based on similar range of power output geared for varying end customer uses: Residential products, Commercial &amp; Industrial (C&amp;I) products and Other products &amp; services. The following summary outlines our portfolio of products, including their key attributes and customer applications.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residential automatic standby generators range in output from 7.5kW to 150kW, operate on natural gas, liquid propane or diesel, and are permanently installed with an automatic transfer switch, which we also manufacture. Air-cooled engine residential standby generators range in outputs from 7.5kW to 24kW and serve as an emergency backup for small to medium-sized homes. Liquid-cooled engine generators serve as emergency backup for larger homes and small businesses and range in output from 22kW to 150kW. We also provide a remote monitoring system with various options for home standby generators called </w:t>
      </w:r>
      <w:r>
        <w:rPr>
          <w:rFonts w:ascii="Times New Roman" w:cs="Times New Roman" w:eastAsia="Times New Roman" w:hAnsi="Times New Roman"/>
          <w:sz w:val="18"/>
          <w:szCs w:val="18"/>
          <w:i w:val="1"/>
          <w:iCs w:val="1"/>
          <w:color w:val="auto"/>
        </w:rPr>
        <w:t>Mobile Link</w:t>
      </w:r>
      <w:r>
        <w:rPr>
          <w:rFonts w:ascii="Times New Roman" w:cs="Times New Roman" w:eastAsia="Times New Roman" w:hAnsi="Times New Roman"/>
          <w:sz w:val="18"/>
          <w:szCs w:val="18"/>
          <w:color w:val="auto"/>
        </w:rPr>
        <w:t>™. This remote monitoring capability is a standard, WiFi-enabled feature on every home standby generator that we offer, and allows our customers to check the status of their generator conveniently online, and also provides the capability to similarly receive maintenance and service alerts. This capability will also give our customers the ability to connect and enroll their generator as a distributed energy resource used in future grid services applications. Our remote monitoring platform also allows our distribution partners to monitor their installed base of customers through a feature that we call “</w:t>
      </w:r>
      <w:r>
        <w:rPr>
          <w:rFonts w:ascii="Times New Roman" w:cs="Times New Roman" w:eastAsia="Times New Roman" w:hAnsi="Times New Roman"/>
          <w:sz w:val="18"/>
          <w:szCs w:val="18"/>
          <w:i w:val="1"/>
          <w:iCs w:val="1"/>
          <w:color w:val="auto"/>
        </w:rPr>
        <w:t>Fleet</w:t>
      </w:r>
      <w:r>
        <w:rPr>
          <w:rFonts w:ascii="Times New Roman" w:cs="Times New Roman" w:eastAsia="Times New Roman" w:hAnsi="Times New Roman"/>
          <w:sz w:val="18"/>
          <w:szCs w:val="18"/>
          <w:color w:val="auto"/>
        </w:rPr>
        <w:t>”, enabling them to offer a more proactive experience to service a customer’s generator.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2020, we introduced the industry's largest air-cooled generator - a 24kW machine that adds to our broad product offering and increases our competitive advantage in the marketplace. The new generator is the first to be bundled with the Company's new PWRview™ Automatic Transfer Switch, equipped with the PWRview™ Home Energy Management System (HEMS). PWRview™ gives the homeowner insights into their daily home energy consumption, enabling power-saving decisions that can reduce electricity bills and help to offset the purchase cost of the generator over the product's lifespan.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a broad product line of portable and inverter generators that range in size from 800W to 17.5kW. These products serve as an emergency home backup source of electricity and are also used for construction and recreational purposes. Our portable generators are targeted at homeowners, with price points ranging between the consumer value end of the market through the premium homeowner market; at professional contractors, starting at the value end through the premium contractor segment; and at the recreational market with our inverter generator products, which are quieter than traditional portable generators. In addition, we offer manual transfer switches to supplement our portable generator product offering.</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2019 we entered the energy storage and monitoring markets through the acquisitions of Neurio Technology Inc. and Pika Energy, Inc. Following these acquisitions and leveraging their technologies, we introduced a line of clean energy products marketed under the Generac brand and using the names PWRcell™ and PWRview™. This clean energy solution consists of a system of batteries, an inverter, PV optimizers, power electronic controls, energy monitoring and management hardware &amp; software, and other components. These systems capture and store electricity from solar panels or other power sources and help reduce home energy costs while also protecting homes from shorter duration power outages, and range in size from 9kWh up to 36kWh of storage capacity. We introduced several new products during 2020 and we continue to develop an innovative pipeline of additional clean energy products and solutions that we expect will be coming to market over the next year. These new products further enhance our competitive position and differentiation in the energy storage, monitoring and management markets, and focus on whole-house storage solutions with load management capabilities that eventually could contribute to energy independence.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provide a broad product line of outdoor power equipment referred to as chore products, which are used for the property maintenance needs of larger-acreage residences, commercial properties, municipalities and farms. These products include trimmers, field and brush mowers, log splitters, stump grinders, chipper shredders, lawn and leaf vacuums, pressure washers and water pumps. During 2020, we further expanded our broad lineup of chore products by entering the commercial battery-powered turf care market through the acquisition of Mean Green Products, LLC. This acquisition also supports our goals to integrate and develop new battery-powered solutions by accelerating the electrification of our higher-powered lineup of chore products. Chore products are largely sold in North America through online catalogs, retail hardware stores and outdoor power equipment dealers primarily under the DR® brand name.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products comprised 62.6%, 51.9% and 51.5%, respectively, of total net sales in 2020, 2019 and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&amp; Industrial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full line of C&amp;I generators that are increasingly being fueled by cleaner sources of energy such as natural gas, liquid propane, and Bi-Fuel™, as well as other more traditional fuels such as diesel. We believe we have one of the broadest product offerings in the industry with power outputs ranging from 10kW up to 3,250kW.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light-commercial standby generators include a full range of affordable systems from 22kW to 150kW and related transfer switches, providing three-phase power sufficient for most small and mid-sized businesses such as grocery stores, convenience stores, restaurants, gas stations, pharmacies, retail banks, small health care facilities and other small-footprint retail applications. Our light-commercial generators run on a variety of fuels including natural gas, liquid propane and diesel fuel.</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design and manufacture a broad product line of modelized and configured stationary generators and related transfer switches for various industrial standby, continuous-duty and prime rated applications. Our single-engine industrial generators range in output from 10kW up to 3,250kW, include stationary and containerized packages, and include our MPS technology that extends our product range up to much larger multi-megawatt systems through an integrated paralleling configuration. Over the past several years, we have introduced larger and higher-powered gaseous-fueled generators, with the highest output of 750kW for a single-engine set currently to date, with future plans to expand these cleaner-fuel generators into larger applications of 1,000kW and beyond. We offer a variety of fuel options for our industrial generators, including natural gas, liquid propane or Bi-Fuel™. Bi-Fuel™ generators provide our customers the flexibility to operate these generators on multiple fuel sources and extended run times. Our industrial standby generators are primarily used as emergency backup for larger applications in the healthcare, telecom, datacom, commercial office, retail, municipal and manufacturing markets. In recent years, we've had a strategic effort aimed at utilizing our gaseous-fueled generators in "beyond standby" applications including distributed generation and micro-grid projects.</w:t>
      </w:r>
    </w:p>
    <w:p>
      <w:pPr>
        <w:sectPr>
          <w:pgSz w:w="11900" w:h="16838" w:orient="portrait"/>
          <w:cols w:equalWidth="0" w:num="1">
            <w:col w:w="11240"/>
          </w:cols>
          <w:pgMar w:left="320" w:top="121" w:right="339" w:bottom="119"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Our MPS technology combines the power of several smaller generators to produce the output of a larger generator, providing our customers with redundancy and scalability in a cost-effective manner. For larger industrial applications, our MPS products offer customers an efficient, affordable way to scale their standby power needs, while offering superior reliability given their built-in redundancy which allows individual units to be taken off-line for routine maintenance while retaining coverage for critical circuits.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offer a full line of industrial transfer switches to meet varying needs from light industrial applications all the way to the most demanding critical installations. Generac’s industry-leading feature set and flexible platforms offer a variety of switching technologies for customized solutions to meet any project needs. During 2020, we introduced the first of our new TX Series transfer switches, which are an ideal solution for an array of applications with its extensive capabilities and ease of installation. This new generation of transfer switches should help us increase our spec rate, which should ultimately help us win more projects.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a broad product line of light towers and mobile generators, which provide temporary lighting and power for various end markets, such as road and commercial construction, energy, mining, military and special events. We manufacture commercial mobile pumps and dust-suppression equipment for a wide variety of applications. We also manufacture various gaseous-engine control systems and accessories, which are sold to gas-engine manufacturers and aftermarket customers.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C&amp;I products comprised 28.3%, 39.5% and 40.6% respectively, of total net sales in 2020, 2019 and 2018.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Products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“Other Products and Services” category primarily consists of aftermarket service parts and product accessories sold to our customers, the amortization of extended warranty deferred revenue, and the service offerings in various parts of our business, including integration, project management, remote monitoring services, and energy monitoring services.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included in this “Other” category are revenues from Enbala Power Networks Inc., which was acquired during the fourth quarter of 2020. Enbala accelerates our entrance into the market for grid services involving distributed energy optimization and control software used by utilities and energy retailers that enable the connection of distributed energy resources (known as DERs) to help support the operational stability of the world’s power grids. These DER assets, which can include residential and C&amp;I natural gas generators, PWRcell™ energy storage systems, and load management devices, can be connected to Enbala’s software platform and aggregated into a decentralized and virtual power network to provide flexible capacity to address peaks in electricity demand, variability in supply due to increasing use of renewables, and where resiliency is needed as a result of power outages.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products and services comprised 9.1%, 8.6% and 7.9%, respectively, of total net sales in 2020, 2019 and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Channels and Customers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distribute our products through a variety of different distribution channels to increase awareness of our product categories and brands, and to ensure our products reach a broad, global customer base. This omni-channel distribution network includes independent residential dealers, industrial distributors and dealers, national and regional retailers, e-commerce partners, electrical/HVAC/solar wholesalers (including certain private label arrangements), catalogs, equipment rental companies, equipment distributors, and solar installers. We also sell direct to certain national and regional account customers, which include utilities and energy retailers, as well as to individual consumers, who are the end users of our products.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global distribution network is a competitive advantage that has strengthened over the years as a result of adding, expanding and developing the various distribution channels through which we sell our products. We offer a broad set of tools, programs, factory support, and sales leads to help our distribution partners be successful. Our network is well balanced with no single customer providing more than 6% of our sales in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over 7,000 strong, we have the industry's largest network of factory direct independent generator dealers in North America.</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residential/light commercial dealer network sells, installs and services our residential and light commercial products to end users. We have increased our level of investment in recent years by focusing on a variety of initiatives to more effectively market and sell our home standby products and better align our dealer network with Generac. These initiatives have helped to improve lead quality and develop our dealers, thereby increasing close rates and lowering our cost per lead.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in 2020, we have been leveraging these practices to assist in growing our base of solar contractors that install our complete energy storage systems. In addition, we have been developing distribution relationships with national solar providers to offer our storage equipment in their portfolio of products and services.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industrial network consists of a combination of primary distributors as well as a support network of dealers serving the global market. Over the past several years, we have been expanding our dealer network globally through acquisitions and organic means, in order to expand our international sales opportunities. The industrial distributors and dealers provide industrial and commercial end users with ongoing sales, installation and product support. Our industrial distributors and dealers help maintain the local relationships with commercial electrical contractors, specifying engineers and national account regional buying offices. We also sell to certain Engineering, Procurement and Construction (EPC) companies that manage more complex power generation projects.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retail distribution network includes thousands of locations across the globe and includes a variety of regional and national home improvement chains, retailers, clubs, buying groups, hardware stores and farm supply stores. These physical retail locations are supplemented by a growing presence of e-commerce retailers, along with a number of catalog retailers. This network primarily sells our residential standby, portable and light-commercial generators, as well as our other engine powered tools. The placement of our products at retail locations drives significant awareness for our brands and the automatic home standby product category.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wholesaler network distributes our residential and light-commercial generators and energy storage systems. The channel consists of selling branches of both national and local distribution houses for electrical, HVAC and solar products on a wholesale basis, which in turn typically sell to electrical dealers and solar installers who are not in our dealer network.</w:t>
      </w:r>
    </w:p>
    <w:p>
      <w:pPr>
        <w:sectPr>
          <w:pgSz w:w="11900" w:h="16838" w:orient="portrait"/>
          <w:cols w:equalWidth="0" w:num="1">
            <w:col w:w="11240"/>
          </w:cols>
          <w:pgMar w:left="320" w:top="121" w:right="339" w:bottom="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On a selective basis, we have established private label and licensing arrangements with third party partners to provide residential, light-commercial and industrial generators. These partners include leading home equipment, electrical equipment and construction machinery companies, each of which provides access to incremental channels of distribution for our products.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distribution for our C&amp;I mobile products includes international, national, regional and specialty equipment rental companies, equipment distributors and construction companies, which primarily serve non-residential building construction, road construction, energy markets and special events. In addition, international acquisitions have provided access to numerous independent distributors in over 150 countries.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sell direct to certain national and regional account customers that are the end users of our products covering a number of end market verticals, including telecommunication, retail, banking, energy, utilities, healthcare, convenience stores, grocery stores and other light commercial applications. Additionally, our residential products are sold direct to individual consumers, who are the end users of the product. In the grid services space, our Enbala business sells software and power direct to utilities and energy retailers.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been executing on our strategic plan called "Power Our Future", which serves as the framework for the significant investments we have made to capitalize on the long-term growth prospects of Generac. Our strategic plan centers around a number of key mega-trends that we believe will drive significant secular growth opportunities for our business. "Grid 2.0," climate change, the abundance of natural gas globally, an aging infrastructure, and 5G telecommunications are all major themes that we believe will drive future long-term growth. The onset of the COVID-19 pandemic in early 2020 has led to a new and emerging trend that we refer to as "Home as a Sanctuary," where millions of people are working, learning, shopping, entertaining, and in general, spending more time at home, which has resulted in a significant increased awareness for backup power security and willingness to invest more in home improvement projects. As we continue to move our strategic plan into the future, we are focused on a number of initiatives that are driven by the following four key objectives: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Growing the residential power solutions market. </w:t>
      </w:r>
      <w:r>
        <w:rPr>
          <w:rFonts w:ascii="Times New Roman" w:cs="Times New Roman" w:eastAsia="Times New Roman" w:hAnsi="Times New Roman"/>
          <w:sz w:val="18"/>
          <w:szCs w:val="18"/>
          <w:color w:val="auto"/>
        </w:rPr>
        <w:t>This encompasses the still underpenetrated market for home standby generators along with the emerging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for energy storage, monitoring and management systems. As the leader in the home standby generator market, it is incumbent upon us to continue to drive growth and increase the penetration rate of these products in households across the world. Central to this strategy is to increase the awareness, availability and affordability of home standby generators. Ongoing power outage activity due to more severe weather and an aging electrical grid, combined with expanding and developing our residential/light commercial dealer base and overall distribution in affected regions, are key drivers in elevating the awareness of home standby generators over the long term. We intend to continue to supplement these key growth drivers by focusing on a variety of strategic initiatives targeted toward generating increased sales leads, improving close rates and reducing the total overall cost of a home standby system. In addition, we intend to continue to focus on innovation in this growing product category and introduce new products and solutions into the marketplace. With only approximately 5.0% penetration of the addressable market of homes in the United States (which we define as single-family detached, owner-occupied households with a home value of over $125,000, as defined by the U.S. Census Bureau's 2019 American Housing Survey for the United States), we believe there are significant opportunities to further penetrate the residential standby generator market both domestically and internationally.</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early 2020, we launched our PWRcell™ energy storage system into the market and began to significantly ramp up our shipment volumes for these products. We expect the market for clean energy products to grow significantly as the energy landscape continues to change and favor on-site renewable power, and homeowners increasingly appreciate the improved payback and resiliency provided by these systems. We expect to further advance our growing capabilities for energy storage systems including product development, sourcing, distribution, and marketing, as well as leveraging our significant competencies developed over the past two decades to grow the residential standby generator market to accelerate our market position in the emerging residential energy storage, monitoring and management markets.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Gaining market share and entering new markets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continue to sharpen our focus on improving our share of the power equipment markets in which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participate around the world by emphasizing our innovation and continually expanding our product lines and services. We design and build a wide range of products from stationary, portable, and mobile generators, light towers, field and brush mowers and trimmers, pressure washers, pumps, and other engine powered equipment. We have many advantages over our competitors with strengths in our engineering, sourcing and operations capabilities as well as a global distribution network that we believe can be leveraged further for continued market share gains. We are also focused on expanding our addressable market opportunities by entering new markets, be it with new products or new geographies around the world.</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Lead with natural gas power generation products. </w:t>
      </w:r>
      <w:r>
        <w:rPr>
          <w:rFonts w:ascii="Times New Roman" w:cs="Times New Roman" w:eastAsia="Times New Roman" w:hAnsi="Times New Roman"/>
          <w:sz w:val="18"/>
          <w:szCs w:val="18"/>
          <w:color w:val="auto"/>
        </w:rPr>
        <w:t>We will attempt to gain incremental market share within commercial and industrial markets through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leading position in the growing market for cleaner burning, more cost effective natural gas fueled standby power solutions. Demand for these products continues to represent an increasing portion of the overall C&amp;I market, which we believe will continue to increase at a faster rate than traditional diesel fueled generators as a result of their lower capital investment and operating costs. Given the abundance of natural gas as a global source for base-load power, we also intend to explore new gaseous generator related market opportunities, including increasing our product capabilities for applications beyond standby generation including continuous-duty, prime rated, distributed generation, demand response, micro grids and overall use as a distributed energy resource in areas where grid stability or capacity is needed. We plan to do this by leveraging our deep technical capabilities for gaseous-fueled products, leading position for natural gas standby generators and growing market acceptance for these products. As part of this strategy, we plan to continue to expand our natural gas product offering into larger power nodes to take advantage of the continuing shift from diesel to natural gas generators.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Connect to monitor and manage energy technology products. </w:t>
      </w:r>
      <w:r>
        <w:rPr>
          <w:rFonts w:ascii="Times New Roman" w:cs="Times New Roman" w:eastAsia="Times New Roman" w:hAnsi="Times New Roman"/>
          <w:sz w:val="18"/>
          <w:szCs w:val="18"/>
          <w:color w:val="auto"/>
        </w:rPr>
        <w:t>We will work to continue to diversify our business model from primarily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centric” to a systems and services provider through connectivity solutions and subscription based applications deployed enterprise wide. This includes an important emphasis on improving the end-user experience, helping customers to lower utility costs and to help offset the purchase cost of our equipment over the product's lifespan. A critical focus continues to be increasing the connection with our products to unlock opportunities and revenue streams. We have developed and acquired tools and programs that add value to dealers, utilities, energy retailers and end-users that will result in recurring revenue from subscriptions and parts. We leverage data obtained from connected devices by developing predictive analytics that result in continuously improving product quality, sales processes and tools, energy optimization, aftermarket penetration, customer experience and alignment with dealers. Finally, we will continue to build or acquire energy management capabilities to monetize an ecosystem of devices that relate to energy use, storage, generation, control and optimization, including capitalizing on the future ability of these devices to be used as distributed energy resources in grid services applications around the world to help support the operational stability of electrical grids.</w:t>
      </w:r>
    </w:p>
    <w:p>
      <w:pPr>
        <w:sectPr>
          <w:pgSz w:w="11900" w:h="16838" w:orient="portrait"/>
          <w:cols w:equalWidth="0" w:num="1">
            <w:col w:w="11240"/>
          </w:cols>
          <w:pgMar w:left="320" w:top="337" w:right="339" w:bottom="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Expansion globally is a core element to the success of each of our strategic objectives. The acquisitions completed over the past several years that now comprise our International segment have significantly increased our global presence by adding product, manufacturing and distribution capabilities that serve local markets around the world, and have resulted in us becoming a leading global player for backup power and mobile power equipment. As we look forward, we intend to leverage our increased international footprint attained from these acquisitions to serve the significant global markets for power generation, energy storage, monitoring and management, and grid services outside the U.S. and Canada.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 Business Drivers and Trends” for additional drivers that influence demand for our products and other trends affecting the markets that we serve.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numerous manufacturing plants, distribution facilities and inventory warehouses located throughout the world. We store finished goods at third-party logistics providers in the United States that accommodate material storage and rapid response requirements of our customers. See “Item 2 – Properties” for additional details regarding the locations and activities of our principal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recent years, we have added and continue to add manufacturing capacity through investments in automation, improved utilization and the expansion of our manufacturing footprint through organic means as well as through acquisitions. We believe we will have sufficient capacity to achieve our business goals for the near-to-intermediate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focus on power generation equipment, energy storage systems, grid services solutions and other power products drives technological innovation, specialized engineering and manufacturing competencies. Research and development (R&amp;D) is a core competency and includes a staff of over 500 engineers working on numerous projects at various facilities worldwide. These activities are focused on developing new technologies and product enhancements, as well as maintaining product competitiveness by reducing manufacturing costs, improving safety characteristics, reliability and performance while ensuring compliance with regulatory standards. We have over 35 years of experience using natural gas engines and have developed specific expertise with fuel systems and emissions technology. In the residential and light commercial markets, we have developed proprietary engines, cooling packages, controls, fuel systems and emissions systems. The Pika Energy and Neurio Technologies acquisitions have provided significant resources and expertise in the energy storage and energy monitoring markets, which has been leveraged to further advance the competencies in these areas as well as an increased focus on energy management. This includes advanced capabilities with power electronics and battery management software, along with proprietary inverter technologies and hardware and software for energy monitoring and management. We also have engineering and product management resources focused on evaluating and developing alternative technologies that could become commercially viable options for de-carbonized power generation over the long term. We believe that our expertise in energy technology solutions provides us with the capability to develop new products and services that will allow continued diversification in our end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committed to research and development, and we rely on a combination of patents and trademarks to establish and protect our proprietary rights. Our patents protect certain features and technologies we have developed for use in our products including fuel systems, air flow, electronics and controls, noise reduction, air-cooled engines, and load management. We believe the existence of these patents and trademarks, along with our ongoing processes to register additional patents and trademarks, protect our intellectual property rights and enhance our brands and competitive position. We also use proprietary manufacturing processes that require customized equipment. With our continuous focus on research and development, we expect to develop new intellectual property on an ongoing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 of Raw Materials, Components and Equipment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raw material inputs are steel, copper and aluminum, all of which are purchased from third parties and, in many cases, as part of machined or manufactured components. In certain instances, we purchase from third-party suppliers complete equipment and systems. Within the clean energy market, we expect batteries to be a significant supply chain input for our energy storage systems. We have developed an extensive network of reliable suppliers in the United States and around the world. We believe our Strategic Global Sourcing function is a competitive strength and continuously evaluates the quality and cost structure of our purchased components and equipment and assesses the capabilities of our supply chain. Components and equipment are sourced accordingly based on this evaluation. Our supplier quality engineers conduct on-site audits of major supply chain partners and help to maintain the reliability of critical sourced components and equipment.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for power generation equipment, energy storage systems, grid services solutions and other engine powered products is competitive. We face competition from a variety of large diversified industrial companies as well as smaller generator manufacturers, along with mobile equipment, engine powered tools, solar inverter, battery storage and grid services providers, both domestic and internationally.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Specifically in the generator market, most of the traditional participants compete on a more focused basis, targeting specific applications within their larger diversified product mix. We are the only significant market participant with a primary focus on power equipment with a key emphasis on standby, portable and mobile generators with broad capabilities across the residential, light-commercial and industrial markets. We believe that our engineering capabilities and core focus on generators provide us with manufacturing flexibility and enables us to maintain a first-mover advantage over our competition for product innovation. We also believe our broad product offering, diverse omni-channel distribution model and strong factory support provide additional advantages as well.</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 recent years has been evolving its business model toward more of a focus on clean energy products, solutions and services, which has introduced a new set of competitors.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337" w:right="339" w:bottom="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primary competitors across our main product classes is as follows: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Residential products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Kohler, Briggs &amp; Stratton, Cummins, Honda, Champion, Techtronics International, Husqvarna, Ariens, LG Chem, Tesla, Enphase,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Solar Edge, along with a number of smaller domestic and foreign competitors; certain of which also have broad operations in other manufacturing businesses.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C&amp;I products </w:t>
      </w:r>
      <w:r>
        <w:rPr>
          <w:rFonts w:ascii="Times New Roman" w:cs="Times New Roman" w:eastAsia="Times New Roman" w:hAnsi="Times New Roman"/>
          <w:sz w:val="18"/>
          <w:szCs w:val="18"/>
          <w:color w:val="auto"/>
        </w:rPr>
        <w:t>– Caterpillar, Cummins, Kohler, IGSA, Wacker, MultiQuip, Terex, Doosan, Briggs &amp; Stratton (Allmand), Atlas Copco, Himoinsa, and FG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Wilson; certain of which focus on the market for diesel generators as they are also diesel engine manufacturers. Also, we compete against other regional packagers that serve local markets throughout the world.</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products </w:t>
      </w:r>
      <w:r>
        <w:rPr>
          <w:rFonts w:ascii="Times New Roman" w:cs="Times New Roman" w:eastAsia="Times New Roman" w:hAnsi="Times New Roman"/>
          <w:sz w:val="18"/>
          <w:szCs w:val="18"/>
          <w:color w:val="auto"/>
        </w:rPr>
        <w:t>– Relative to service parts and extended warranty revenue, all of the above named companies are primary competitors. Relative to grid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optimization software, Autogrid, Energy Hub, along with other grid service solution providers.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 continuously evolving market, we believe our scale and broad capabilities make us well positioned to remain competitive. We compete primarily on the basis of brand reputation, quality, reliability, pricing, innovative features, breadth of product offering, product availability and factory support.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People" is one of the foundational elements to our “Powering Our Future” strategy and is a corporate value as well. We foster a culture of diversity and engagement to strengthen our company while supporting individual achievement, inclusivity and good corporate citizenship globally. We believe our success is directly tied to our employees’ personal and professional growth. We care about the safety and well-being of our employees, their families, and our communities.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examples of key human capital programs and initiatives that we are focused on include:</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Health, wellness and safety </w:t>
      </w:r>
      <w:r>
        <w:rPr>
          <w:rFonts w:ascii="Times New Roman" w:cs="Times New Roman" w:eastAsia="Times New Roman" w:hAnsi="Times New Roman"/>
          <w:sz w:val="18"/>
          <w:szCs w:val="18"/>
          <w:color w:val="auto"/>
        </w:rPr>
        <w:t>– Employee health and safety is the Company’s top priority. Generac’s Healthy &amp; Thriving Total Rewards are based on the four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pillars of balance, security, well-being and community. These programs are designed to meet the varied and evolving needs of our diverse workforce. We maintain an employee wellness program, incentivize healthy-living activities, provide emergency paid COVID-19 leave benefits to help employees care for themselves and their families, and we develop and administer company-wide policies to ensure the safety of each employee and compliance with government agency and other standards.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Diversity and inclusion </w:t>
      </w:r>
      <w:r>
        <w:rPr>
          <w:rFonts w:ascii="Times New Roman" w:cs="Times New Roman" w:eastAsia="Times New Roman" w:hAnsi="Times New Roman"/>
          <w:sz w:val="18"/>
          <w:szCs w:val="18"/>
          <w:color w:val="auto"/>
        </w:rPr>
        <w:t>– At Generac, people with diverse backgrounds and points of view work together to support our customers around the globe.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inclusive workplace, our employees embrace diversity in all forms, celebrate differences, and treat others with equity and respect. We have hosted a series of culture-changing listening and learning sessions, championed Unconscious Bias training for our employees, launched employee-led Business Employee Resource Groups (BERG) to facilitate networking and connections with peers and leadership, and partner with community job agencies representing disabled clients and workforce release programs to provide job opportunities to those who face barriers to employment.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Talent development &amp; employee engagement </w:t>
      </w:r>
      <w:r>
        <w:rPr>
          <w:rFonts w:ascii="Times New Roman" w:cs="Times New Roman" w:eastAsia="Times New Roman" w:hAnsi="Times New Roman"/>
          <w:sz w:val="18"/>
          <w:szCs w:val="18"/>
          <w:color w:val="auto"/>
        </w:rPr>
        <w:t>– We prioritize and invest in creating opportunities to help employees build careers at Generac. We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career events as well as partner with local educational resources to offer on the job learning, collaborative work experiences and formal learning programs on continuous improvement and project management skills to support progressions and advancement of our workforce. Further, we maintain an ongoing global employee engagement initiative with targeted action plans by region, function, and business group. Action plans and their progress are measured by global employee engagement surveys.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we had 6,797 employees (6,452 full time and 345 part-time and temporary employees). Of those, 3,705 employees were directly involved in manufacturing at our manufacturing facilities.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Domestically, we have had an “open shop” bargaining agreement for the past 50 years. The current agreement, which expires October 17, 2021, covers our Eagle, Wisconsin facility. Additionally, our plants in Mexico, Italy and Spain are operated under various local or national union groups. Our other facilities are not unionized.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including Environmental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manufacturing company, our operations are subject to a variety of federal, state, local and foreign laws and regulations covering environmental, health and safety matters. Applicable laws and regulations include those governing, among other things, emissions to air, discharges to water, noise and employee safety, as well as the generation, handling, storage, transportation, treatment, and disposal of waste and other materials. In addition, our products are subject to various laws and regulations relating to, among other things, emissions and fuel requirements, as well as labeling, storage, transport, and marketing.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sold in the United States are regulated by the U.S. Environmental Protection Agency (EPA), California Air Resources Board (CARB) and various other state and local air quality management districts. These governing bodies continue to pass regulations that require us to meet more stringent emission standards, and all of our engines and engine-driven products are regulated within the United States and its territories. In addition, certain products in the United States are subject to safety standards as established by various other standards and rule making bodies, or state and local agencies, including the U.S. Consumer Product Safety Commission (CPSC).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Similarly, other countries have varying degrees of regulation for our products, depending upon product application and fuel types.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principal executive offices are located at S45 W29290 Highway 59, Waukesha, Wisconsin, 53189 and the Company’s telephone number is</w:t>
      </w:r>
    </w:p>
    <w:p>
      <w:pPr>
        <w:spacing w:after="0" w:line="27" w:lineRule="exact"/>
        <w:rPr>
          <w:sz w:val="20"/>
          <w:szCs w:val="20"/>
          <w:color w:val="auto"/>
        </w:rPr>
      </w:pPr>
    </w:p>
    <w:p>
      <w:pPr>
        <w:jc w:val="both"/>
        <w:ind w:firstLine="8"/>
        <w:spacing w:after="0" w:line="253" w:lineRule="auto"/>
        <w:tabs>
          <w:tab w:leader="none" w:pos="4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544-4811. The Company’s website is www.generac.com. The Company’s annual reports on Form 10-K, quarterly reports on Form 10-Q, current reports on Form 8-K, and amendments to those reports are available free of charge through the “Investor Relations” portion of the Company’s web site, as soon as reasonably practicable after they are filed with the Securities and Exchange Commission (SEC). The information provided on these websites is not part of this report and is therefore not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ectPr>
          <w:pgSz w:w="11900" w:h="16838" w:orient="portrait"/>
          <w:cols w:equalWidth="0" w:num="1">
            <w:col w:w="11240"/>
          </w:cols>
          <w:pgMar w:left="320" w:top="121" w:right="339" w:bottom="0" w:gutter="0" w:footer="0" w:header="0"/>
        </w:sectPr>
      </w:pPr>
    </w:p>
    <w:bookmarkStart w:id="9" w:name="page10"/>
    <w:bookmarkEnd w:id="9"/>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Age</w:t>
            </w:r>
          </w:p>
        </w:tc>
        <w:tc>
          <w:tcPr>
            <w:tcW w:w="6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Aaron P. Jagdfeld</w:t>
            </w:r>
          </w:p>
        </w:tc>
        <w:tc>
          <w:tcPr>
            <w:tcW w:w="18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49</w:t>
            </w:r>
          </w:p>
        </w:tc>
        <w:tc>
          <w:tcPr>
            <w:tcW w:w="6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York A. Ragen</w:t>
            </w:r>
          </w:p>
        </w:tc>
        <w:tc>
          <w:tcPr>
            <w:tcW w:w="18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49</w:t>
            </w:r>
          </w:p>
        </w:tc>
        <w:tc>
          <w:tcPr>
            <w:tcW w:w="6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Russell S. Minick</w:t>
            </w:r>
          </w:p>
        </w:tc>
        <w:tc>
          <w:tcPr>
            <w:tcW w:w="18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60</w:t>
            </w:r>
          </w:p>
        </w:tc>
        <w:tc>
          <w:tcPr>
            <w:tcW w:w="6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Chief Marketing Officer</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Tom Pettit</w:t>
            </w:r>
          </w:p>
        </w:tc>
        <w:tc>
          <w:tcPr>
            <w:tcW w:w="18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52</w:t>
            </w:r>
          </w:p>
        </w:tc>
        <w:tc>
          <w:tcPr>
            <w:tcW w:w="6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Operations Officer</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 Wilde</w:t>
            </w:r>
          </w:p>
        </w:tc>
        <w:tc>
          <w:tcPr>
            <w:tcW w:w="18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46</w:t>
            </w:r>
          </w:p>
        </w:tc>
        <w:tc>
          <w:tcPr>
            <w:tcW w:w="6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Executive Vice President, Industrial, Americas</w:t>
            </w: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Patrick Forsythe</w:t>
            </w:r>
          </w:p>
        </w:tc>
        <w:tc>
          <w:tcPr>
            <w:tcW w:w="1800" w:type="dxa"/>
            <w:vAlign w:val="bottom"/>
          </w:tcPr>
          <w:p>
            <w:pPr>
              <w:ind w:left="1240"/>
              <w:spacing w:after="0" w:line="198" w:lineRule="exact"/>
              <w:rPr>
                <w:sz w:val="20"/>
                <w:szCs w:val="20"/>
                <w:color w:val="auto"/>
              </w:rPr>
            </w:pPr>
            <w:r>
              <w:rPr>
                <w:rFonts w:ascii="Times New Roman" w:cs="Times New Roman" w:eastAsia="Times New Roman" w:hAnsi="Times New Roman"/>
                <w:sz w:val="18"/>
                <w:szCs w:val="18"/>
                <w:color w:val="auto"/>
              </w:rPr>
              <w:t>53</w:t>
            </w:r>
          </w:p>
        </w:tc>
        <w:tc>
          <w:tcPr>
            <w:tcW w:w="604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Chief Technical Officer</w:t>
            </w: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Raj Kanuru</w:t>
            </w:r>
          </w:p>
        </w:tc>
        <w:tc>
          <w:tcPr>
            <w:tcW w:w="18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50</w:t>
            </w:r>
          </w:p>
        </w:tc>
        <w:tc>
          <w:tcPr>
            <w:tcW w:w="6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432"/>
        </w:trPr>
        <w:tc>
          <w:tcPr>
            <w:tcW w:w="2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Aaron P. Jagdfeld </w:t>
      </w:r>
      <w:r>
        <w:rPr>
          <w:rFonts w:ascii="Times New Roman" w:cs="Times New Roman" w:eastAsia="Times New Roman" w:hAnsi="Times New Roman"/>
          <w:sz w:val="18"/>
          <w:szCs w:val="18"/>
          <w:color w:val="auto"/>
        </w:rPr>
        <w:t>has served as our Chief Executive Officer since September 2008, as a director since November 2006 and was named Chairman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2016. Prior to becoming Chief Executive Officer, Mr. Jagdfeld worked for Generac for 15 years. He began his career in the finance department in 1994 and became our Chief Financial Officer in 2002. In 2007, he was appointed President and was responsible for sales, marketing, engineering and product development. Prior to joining Generac, Mr. Jagdfeld worked in the audit practice of the Milwaukee, Wisconsin office of Deloitte and Touche. Mr. Jagdfeld holds a Bachelor of Business Administration in Accounting from the University of Wisconsin-Whitewater.</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York A. Ragen </w:t>
      </w:r>
      <w:r>
        <w:rPr>
          <w:rFonts w:ascii="Times New Roman" w:cs="Times New Roman" w:eastAsia="Times New Roman" w:hAnsi="Times New Roman"/>
          <w:sz w:val="18"/>
          <w:szCs w:val="18"/>
          <w:color w:val="auto"/>
        </w:rPr>
        <w:t>has served as our Chief Financial Officer since September 2008. Prior to becoming Chief Financial Officer, Mr. Ragen held Director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and Vice President of Finance positions at Generac. Prior to joining Generac in 2005, Mr. Ragen was Vice President, Corporate Controller at APW Ltd., a spin-off from Applied Power Inc., now known as Enerpac Tool Group. Mr. Ragen began his career at Arthur Andersen in the Milwaukee, Wisconsin office audit practice. Mr. Ragen holds a Bachelor of Business Administration in Accounting from the University of Wisconsin-Whitewater.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Russell S. Minick </w:t>
      </w:r>
      <w:r>
        <w:rPr>
          <w:rFonts w:ascii="Times New Roman" w:cs="Times New Roman" w:eastAsia="Times New Roman" w:hAnsi="Times New Roman"/>
          <w:sz w:val="18"/>
          <w:szCs w:val="18"/>
          <w:color w:val="auto"/>
        </w:rPr>
        <w:t>began serving as our Chief Marketing Officer in August 2016. In addition to his CMO responsibilities, Mr. Minick was appointed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our Energy Technology business in January 2021. Prior to these appointments, he served as our Executive Vice President, Residential Products since October 2011, with this responsibility being expanded in January 2014 to Executive Vice President, North America. Prior to joining Generac, Mr. Minick was President &amp; CEO of Home Care Products for Electrolux from 2006 to 2011, President of The Gunlocke Company at HNI Corporation from 2003 to 2006, Senior Vice President of Sales, Marketing and Product Development at True Temper Sports from 2002 to 2003, and General Manager of Extended Warranty Operations for Ford Motor Company from 1998 to 2002. Mr. Minick is a graduate of the University of Northern Iowa, and holds a degree in marketing.</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Tom Pettit </w:t>
      </w:r>
      <w:r>
        <w:rPr>
          <w:rFonts w:ascii="Times New Roman" w:cs="Times New Roman" w:eastAsia="Times New Roman" w:hAnsi="Times New Roman"/>
          <w:sz w:val="18"/>
          <w:szCs w:val="18"/>
          <w:color w:val="auto"/>
        </w:rPr>
        <w:t>began serving as our Chief Operations Officer in February 2020. From 2017 until February 2020, Mr. Pettit was Executive Vice President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Integrated Supply Chain Officer of nVent Electric plc, a leading global provider of electrical connection and protection solutions and a former subsidiary of Pentair plc (“Pentair”), a global industrial company. Mr. Pettit previously served as the Operations Vice President of Pentair from 2015 until 2017, and as the Chief Operating Officer for BioScrip, Inc., a provider of infusion and home care management solutions, from 2014 until 2015. Mr. Pettit holds a B.S. in General Engineering from West Point Military Academy and an MBA from the University of Hawaii.</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Erik Wilde </w:t>
      </w:r>
      <w:r>
        <w:rPr>
          <w:rFonts w:ascii="Times New Roman" w:cs="Times New Roman" w:eastAsia="Times New Roman" w:hAnsi="Times New Roman"/>
          <w:sz w:val="18"/>
          <w:szCs w:val="18"/>
          <w:color w:val="auto"/>
        </w:rPr>
        <w:t>began serving as our Executive Vice President, Industrial, Americas in July 2016. Mr. Wilde was Vice President and General Manager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Mining Division for Komatsu America Corp., a manufacturer of construction, mining, and compact construction equipment, from 2013 until he joined Generac. Prior to that role, he held leadership positions as Vice President of the ICT Business Division and Product Marketing at Komatsu America Corp. beginning in 2005. Mr. Wilde holds a Bachelor of Business Administration in Management from Boise State University and an M.B.A. from the Keller Graduate School of Management.</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Patrick Forsythe </w:t>
      </w:r>
      <w:r>
        <w:rPr>
          <w:rFonts w:ascii="Times New Roman" w:cs="Times New Roman" w:eastAsia="Times New Roman" w:hAnsi="Times New Roman"/>
          <w:sz w:val="18"/>
          <w:szCs w:val="18"/>
          <w:color w:val="auto"/>
        </w:rPr>
        <w:t>has served as our Chief Technical Officer since January 2021. He previously served as our Executive Vice President of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Engineering since July 2015. Prior to re-joining Generac, Mr. Forsythe was Vice President, Global Engineering &amp; Technology of Hayward Industries from 2008 to 2015, Vice President, Global Engineering at Ingersoll Rand Company (and the acquired Doosan Infracore International) from 2004 to 2008, and Director of Engineering at Ingersoll Rand Company from 2002 to 2004. Prior to 2002, Mr. Forsythe worked in various engineering management capacities with Generac from 1995 to 2002. Mr. Forsythe holds a Higher National Diploma (HND) in Mechanical Engineering from the University of Ulster (United Kingdom), a B.S. in Mechanical Engineering, and an M.S. in Manufacturing Management &amp; Technology from The Open University (United Kingdom).</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Raj Kanuru </w:t>
      </w:r>
      <w:r>
        <w:rPr>
          <w:rFonts w:ascii="Times New Roman" w:cs="Times New Roman" w:eastAsia="Times New Roman" w:hAnsi="Times New Roman"/>
          <w:sz w:val="18"/>
          <w:szCs w:val="18"/>
          <w:color w:val="auto"/>
        </w:rPr>
        <w:t>is our Executive Vice President, General Counsel &amp; Secretary and is the Company’s principal legal and compliance officer, roles that he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since joining Generac in 2013. Prior to joining Generac, Mr. Kanuru served as in-house counsel at Caterpillar Inc. for almost 14 years within various leadership roles, including in the Securities, Regulatory and Tax group, at Caterpillar Financial, and in Caterpillar’s Energy &amp; Transportation group. From 2009 to 2013, Mr. Kanuru served as Vice President, General Counsel and Secretary of Progress Rail Services Inc., and its subsidiaries (a Caterpillar company). He began his legal career as a senior associate in the tax consulting practice of Arthur Andersen LLP. Mr. Kanuru holds a Bachelor of Science in Finance degree from Birmingham-Southern College and received his Juris Doctor degree from the University of Alabama.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following risks. These risks could materially affect our business, results of operations or financial condition, cause the trading price of our common stock to decline materially or cause our actual results to differ materially from those expected or those expressed in any forward-looking statements made by us. These risks are not exclusive, and additional risks to which we are subject include, but are not limited to, the factors mentioned under “Forward-Looking Statements” and the risks of our businesses described elsewhere in this Annual Report.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COVID-19</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duration and scope of the impacts of the COVID-19 pandemic are uncertain and may continue to adversely affect our operations, supply chain, distribution, and demand for certain of our products and services.</w:t>
      </w:r>
    </w:p>
    <w:p>
      <w:pPr>
        <w:sectPr>
          <w:pgSz w:w="11900" w:h="16862" w:orient="portrait"/>
          <w:cols w:equalWidth="0" w:num="1">
            <w:col w:w="11240"/>
          </w:cols>
          <w:pgMar w:left="320" w:top="337" w:right="339" w:bottom="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The global outbreak of COVID-19 has created significant uncertainty within the global markets that we serve. We have operations, customers and suppliers in countries significantly impacted by COVID-19. Governmental authorities around the world have taken a variety of measures to slow the spread of COVID-19, including travel bans or restrictions, increased border controls or closures, quarantines, shelter-in-place orders and business shutdowns and such authorities may impose additional restrictions in the future. We have also taken actions to protect our employees and to mitigate the spread of COVID-19 within our business. There can be no assurance that the measures implemented by governmental authorities or our own actions will be effective or achieve their desired results in a timely fashion.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impact of COVID-19 on the global economy and our customers, as well as recent volatility in oil prices, has negatively impacted demand for certain of our products and is expected to continue to do so in the future. Its effects could also result in disruptions to our manufacturing operations and supply chain, which could negatively impact our ability to meet customer demand. Our forward-looking statements assume that our production facilities, supply chain and distribution partners continue to operate during the pandemic. To date, we have been able to operate the majority of our facilities given our status as an essential operation. If we were to encounter a significant work stoppage, disruption, or outbreak due to COVID-19 at one or more of our locations or suppliers, we may not be able to satisfy customer demand for a period of time.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the impact of COVID-19 on the economy, demand for our products and impacts to our operations, including the measures taken by governmental authorities to address it, may precipitate or exacerbate other risks and/or uncertainties, including specifically many of the risk factors set forth in this Annual Report, including risks related to the fair market value of intangible assets that could lead to an impairment, which may have a significant impact on the Company's operating results and financial condition, although we are unable to predict the extent or nature of these impacts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the majority of our products is significantly affected by unpredictable power outage activity that can lead to substantial variations in, and uncertainties regarding, our financial results from period to period.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of our products are subject to consumer buying patterns, and demand for the majority of our products is affected by power outage events caused by thunderstorms, hurricanes, ice storms, blackouts, public safety power shutoffs, and other power grid reliability issues. The impact of these outage events on our sales can vary depending on the location, frequency and severity of the outages. Sustained periods without major power disruptions can lead to reduced consumer awareness of the benefits of standby and portable generator products and can result in reduced sales growth rates and excess inventory. There are smaller, more localized power outages that occur frequently that drive a baseline level of demand for back-up power solutions. The lack of major power outage events and fluctuations to the baseline levels of power outage activity are part of managing our business, and these fluctuations could have an adverse effect on our net sales and profits. Despite their unpredictable nature, we believe power disruptions create awareness and accelerate adoption for our home standby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for our products is significantly affected by durable goods spending by consumers and businesses, and other macroeconomic conditions.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is affected by general economic conditions, and uncertainty or adverse changes such as the prolonged downturn in U.S. residential investment and the impact of more stringent credit standards could lead to a decline in demand for our products and pressure to reduce our prices. Our sales of light-commercial and industrial generators are affected by conditions in the non-residential construction sector and by the capital investment trends for small and large businesses and municipalities. If these businesses and municipalities cannot access credit markets or do not utilize discretionary funds to purchase our products as a result of the economy or other factors, our business could suffer and our ability to realize benefits from our strategy of increasing sales in the light-commercial and industrial sectors through, among other things, our focus on innovation and product development, including natural gas engine and modular technology, could be adversely affected. In addition, consumer confidence and home remodeling expenditures have a significant impact on sales of our residential products, and prolonged periods of weakness in consumer durable goods spending could have a material impact on our business. Typically, we do not have contracts with our customers which call for committed volume, and we cannot guarantee that our current customers will continue to purchase our products at the same level, if at all. If general economic conditions or consumer confidence were to worsen, or if the non-residential construction sector or rate of capital investments were to decline, our net sales and profits would likely be adversely affected. Additionally, timing of capital spending by our national account customers can vary from quarter-to-quarter based on capital availability and internal capital spending budgets. Also, the availability of renewable energy mandates and investment tax credits and other subsidies can have an impact on the demand for energy storage systems.</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Decreases in the availability and quality, or increases in the cost, of raw materials, key components and labor we use to make our products could materially reduce our earnings.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principal raw materials that we use to produce our products are steel, copper and aluminum. We also source a significant number of component parts from third parties that we utilize to manufacture our products. The prices of those raw materials and components are susceptible to significant fluctuations due to trends in supply and demand, commodity prices, currencies, transportation costs, government regulations and tariffs, price controls, economic conditions and other unforeseen circumstances beyond our control. We do not have long-term supply contracts in place to ensure the raw materials and components we use are available in necessary amounts or at fixed prices. If we are unable to mitigate raw material or component price increases through product design improvements, price increases to our customers, manufacturing productivity improvements, or hedging transactions, our profitability could be adversely affected. Also, our ability to continue to obtain quality materials and components is subject to the continued reliability and viability of our suppliers, including in some cases, suppliers who are the sole source of certain important components. If we are unable to obtain adequate, cost efficient or timely deliveries of required raw materials and components, or sufficient labor resources while we ramp up production to meet higher levels of demand, we may be unable to manufacture sufficient quantities of products on a timely basis. This could cause us to lose sales, incur additional costs, delay new product introductions or suffer harm to our reputation.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industry in which we compete is highly competitive, and our failure to compete successfully could adversely affect our results of operations and financial condition.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markets that are highly competitive. Some of our competitors have established brands and are larger in size or are divisions of large diversified companies which have substantially greater financial resources than we do. Some of our competitors may be willing to reduce prices and accept lower margins in order to compete with us. In addition, we could face new competition from large international or domestic companies with established</w:t>
      </w:r>
    </w:p>
    <w:p>
      <w:pPr>
        <w:sectPr>
          <w:pgSz w:w="11900" w:h="16838" w:orient="portrait"/>
          <w:cols w:equalWidth="0" w:num="1">
            <w:col w:w="11240"/>
          </w:cols>
          <w:pgMar w:left="320" w:top="337" w:right="339" w:bottom="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industrial brands that enter our end markets. Demand for our products may also be affected by our ability to respond to changes in design and functionality, to respond to downward pricing pressure, and to provide shorter lead times for our products than our competitors. If we are unable to respond successfully to these competitive pressures, we could lose market share, which could have an adverse impact on our results. For further information, see “Item 1— Business—Competition”.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subject to technological change, and our failure to continue developing new and improved products and to bring these products rapidly to market could have an adverse impact on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products, or refinements and improvements to our existing products, may have technical failures, delayed introductions, higher than expected production costs or may not be well accepted by our customers. If we are not able to anticipate, identify, develop and market high quality products in line with technological advancements that respond to changes in customer preferences, demand for our products could decline and our operating results could be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independent dealers and distribution partners, and the loss of these dealers and distribution partners, or of any of our sales arrangements with significant private label, national, retail or equipment rental customers, would adversely affect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direct sales force and manufacturer sales representatives, we depend on the services of independent distributors and dealers to sell our products and provide service and aftermarket support to our end customers. We also rely upon our distribution channels to drive awareness for our product categories and our brands. In addition, we sell our products to end users through private label arrangements with leading home equipment, electrical equipment and construction machinery companies; arrangements with top retailers and equipment rental companies; and our direct national accounts with telecommunications and industrial customers. Our distribution agreements and any contracts we have with large national, retail and other customers are typically not exclusive, and many of the distributors with whom we do business offer competitors’ products and services. Impairment of our relationships with our distributors, dealers or large customers, loss of a substantial number of these distributors or dealers or of one or more large customers, or an increase in our distributors' or dealers' sales of our competitors' products to our customers or of our large customers' purchases of our competitors' products could materially reduce our sales and profits. Also, our ability to successfully realize our growth strategy is dependent in part on our ability to identify, attract and retain new distributors at all layers of our distribution platform, including increasing the number of energy storage distributors, and we cannot be certain that we will be successful in these efforts. For further information, see “Item 1—Business—Distribution Channels and Customers”.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if we fail to adequately protect our intellectual property rights or if third parties claim that we are in violation of their intellectual property rights.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our intellectual property rights to be important assets, and seek to protect them through a combination of patent, trademark, copyright and trade secret laws, as well as licensing and confidentiality agreements. These protections may not be adequate to prevent third parties from using our intellectual property without our authorization, breaching any confidentiality agreements with us, copying or reverse engineering our products, or developing and marketing products that are substantially equivalent to or superior to our own. The unauthorized use of our intellectual property by others could reduce our competitive advantage and harm our business. Not only are intellectual property-related proceedings burdensome and costly, but they could span years to resolve and we might not ultimately prevail. We cannot guarantee that any patents, issued or pending, will provide us with any competitive advantage or will not be challenged by third parties. Moreover, the expiration of our patents may lead to increased competition with respect to certain products.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cannot be certain that we do not or will not infringe third parties' intellectual property rights. Any such claim, even if it is without merit, may be expensive and time-consuming to defend, subject us to damages, cause us to cease making, using or selling certain products that incorporate the disputed intellectual property, require us to redesign our products, divert management time and attention, and/or require us to enter into costly royalty or licensing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costs and liabilities as a result of product liability claims.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face a risk of exposure to product liability claims in the event that the use of our products is alleged to have resulted in injury or other damage. Although we currently maintain product liability insurance coverage, we may not be able to obtain such insurance on acceptable terms in the future, if at all, or obtain insurance that will provide adequate coverage against potential claims. Product liability claims can be expensive to defend and can divert the attention of management and other personnel for long periods of time, regardless of the ultimate outcome. A significant unsuccessful product liability defense could have a material adverse effect on our financial condition and results of operations. In addition, we believe our business depends on the strong brand reputation we have developed. If our reputation is damaged, we may face difficulty in maintaining our market share and pricing with respect to some of our products, which could reduce our sales and profitability.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unable to determine the specific impact of changes in selling prices or changes in volumes or mix of our products on our net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wide range of products that we sell, the level of customization for many of our products, the frequent rollout of new products, the different accounting systems utilized, and the fact that we do not apply pricing changes uniformly across our entire portfolio of products, we are unable to determine with specificity the effect of volume or mix changes or changes in selling prices on our net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changes affecting international trade could adversely impact the demand for our products and our competitive position.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government policies on foreign trade and investment can affect the demand for our products, impact the competitive position of our products or prevent us from being able to sell products in certain countries. Our business benefits from free trade agreements, and efforts to withdraw from, or substantially modify such agreements, in addition to the implementation of more restrictive trade policies, such as more detailed inspections, higher tariffs, import or export licensing requirements, exchange controls or new barriers to entry, could have a material adverse effect on our results of operations, financial condition or cash flows. For example, starting in 2018 and continuing, we are experiencing increased tariffs on many of our products and product components, although these tariffs did not ultimately have a material adverse effect on our results due to the implementation of various mitigation efforts and temporary exclusions in conjunction with our supply chain and end market partners.</w:t>
      </w:r>
    </w:p>
    <w:p>
      <w:pPr>
        <w:sectPr>
          <w:pgSz w:w="11900" w:h="16838" w:orient="portrait"/>
          <w:cols w:equalWidth="0" w:num="1">
            <w:col w:w="11240"/>
          </w:cols>
          <w:pgMar w:left="320" w:top="121" w:right="339" w:bottom="114"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United Kingdom’s exit from European Union (EU) membership has caused and may continue to cause significant volatility in global stock markets, currency exchange rate fluctuations and global economic uncertainty. Although it is unknown what the terms of the United Kingdom’s future relationship with the EU will be, it is possible that there will be greater restrictions on imports and exports between the United Kingdom and EU and increased regulatory complexities. Any of these factors could adversely impact customer demand, our relationships with customers and suppliers and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key members of our senior management team or key employees could disrupt our operations and harm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in part, on the efforts of certain key individuals, including the members of our senior management team, who have significant experience in the power products industry. If, for any reason, our senior executives do not continue to be active in management, or if our key employees leave our company, our business, financial condition or results of operations could be adversely affected. Failure to continue to attract these individuals at reasonable compensation levels could have a material adverse effect on our business, liquidity and results of operations. Although we do not anticipate that we will have to replace any of these individuals in the near future, the loss of the services of any of our key employees could disrupt our operations and have a material adverse effect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caused by labor disputes or organized labor activities could harm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from time to time experience union organizing activities in our non-union facilities. Disputes with the current labor union or new union organizing activities could lead to work slowdowns or stoppages and make it difficult or impossible for us to meet scheduled delivery times for product shipments to our customers, which could result in loss of business. In addition, union activity could result in higher labor costs, which could harm our financial condition, results of operations and competitive position. A work stoppage or limitations on production at our facilities for any reason could have an adverse effect on our business, results of operations and financial condition. In addition, many of our suppliers have unionized work forces. Strikes or work stoppages experienced by our customers or suppliers could have an adverse effect on our business, results of operations and financial condition.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material disruptions to our manufacturing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seek to operate our facilities in compliance with applicable rules and regulations and take measures to minimize the risks of disruption at our facilities, a material disruption at one of our manufacturing facilities could prevent us from meeting customer demand, reduce our sales and/or negatively impact our financial results. Any of our manufacturing facilities, or any of our equipment within an otherwise operational facility, could cease operations unexpectedly due to a number of events, including:</w:t>
      </w:r>
    </w:p>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or information technology infrastructure failure;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transportation infrastructure including roads, bridges, railroad tracks and container ports;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floods, tornadoes, earthquakes, disease, pandemics, acts of violence, or other catastrophes;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problems.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significant portion of our manufacturing and production facilities are located in Wisconsin within a 100-mile radius of each other. We could experience prolonged periods of reduced production due to unforeseen events occurring in or around our manufacturing facilities in Wisconsin. In the event of a business interruption at our facilities, in particular our Wisconsin facilities, we may be unable to shift manufacturing capabilities to alternate locations, accept materials from suppliers or meet customer shipment needs, among other severe consequences. Such an event could have a material and adverse impact on our financial condition and results of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vulnerable to supply disruptions from single-sourced suppliers.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single-source certain types of parts in our product designs. Any delay in our suppliers’ deliveries may impair our ability to deliver products to our customers. A wide variety of factors could cause such delays including, but not limited to, lack of capacity, economic downturns, availability of credit, logistical challenges, trade restrictions, weather events, disease or natural disasters.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all of the anticipated benefits of our acquisitions or those benefits may take longer to realize than expected. We may also encounter significant unexpected difficulties in integrating acquired businesses.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realize the anticipated benefits of our acquisitions will depend, to a large extent, on our ability to integrate the acquired businesses with our business. The integration of independent businesses is a complex, costly and time-consuming process. Further, integrating and managing businesses with international operations may pose challenges not previously experienced by our management. As a result, we may be required to devote significant management attention and resources to integrating the business practices and operations of any acquired businesses with ours. The integration process may disrupt our business and, if implemented ineffectively, could preclude realization of the full benefits expected by us. Our failure to meet the challenges involved in integrating an acquired business into our existing operations or otherwise to realize the anticipated benefits of the transaction could cause an interruption of, or a loss of momentum in, our activities and could adversely affect our results of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overall integration of our acquired businesses may result in material unanticipated problems, expenses, liabilities, competitive responses, loss of customer relationships, and diversion of management's attention, and may cause our stock price to decline. The difficulties of combining the operations of acquired businesses with ours include, among others:</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 larger company;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employee morale and retaining key management and other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newly applicable foreign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two business cultures, which may prove to be incompatible;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faulty assumptions underlying expectations regarding the integration process;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customers and attracting new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corporate and administrative infrastructures and eliminating duplicative operations;</w:t>
      </w:r>
    </w:p>
    <w:p>
      <w:pPr>
        <w:sectPr>
          <w:pgSz w:w="11900" w:h="16838" w:orient="portrait"/>
          <w:cols w:equalWidth="0" w:num="1">
            <w:col w:w="11240"/>
          </w:cols>
          <w:pgMar w:left="320" w:top="121" w:right="339" w:bottom="0" w:gutter="0" w:footer="0" w:header="0"/>
        </w:sectPr>
      </w:pPr>
    </w:p>
    <w:bookmarkStart w:id="13" w:name="page14"/>
    <w:bookmarkEnd w:id="13"/>
    <w:p>
      <w:pPr>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ongoing business concerns and performance shortfalls as a result of the diversion of management's attention to the acquisition;</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issues in integrating information technology, communications and other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applicable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tax costs or inefficiencies associated with integrating the operations of the combined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expenses or delays associated with the acquisition;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comparing financial reports due to differing financial and/or internal reporting systems;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necessary modifications to internal financial control standards to comply with the Sarbanes-Oxley Act of 2002 and the rules and regulations promulgated thereunder.</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these factors will be outside of our control and any one of them could result in increased costs, decreases in the amount of expected revenues and diversion of management's time and energy, which could materially impact our business, financial condition and results of operations. In addition, even if the operations of our acquired businesses are integrated successfully with our operations, we may not realize the full benefits of the transaction, including the synergies, cost savings or sales or growth opportunities that we expect. These benefits may not be achieved within the anticipated time frame, or at all. Or, additional unanticipated costs may be incurred in the integration of our businesses. All of these factors could cause dilution to our earnings per share, decrease or delay the expected accretive effect of the acquisition, and cause a decrease in the price of our common stock. As a result, we cannot assure you that the combination of our acquisitions with our business will result in the realization of the full benefits anticipated from the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purchased components are sourced in foreign countries, exposing us to additional risks that may not exist in the United States.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source a significant portion of our purchased components overseas, primarily in Asia and Europe. Our international sourcing subjects us to a number of potential risks in addition to the risks associated with third-party sourcing generally. Such risks include:</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or changes in political and economic conditions;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regulatory environments;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import and export duties;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foreign customs and tariffs;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rate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unrest;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logistical challenges, including extended container port congestion, and higher logistics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challenges;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restraints and burdensome taxes.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factors may have an adverse effect on our ability to efficiently and cost effectively source our purchased components overseas. In particular, if the U.S. dollar were to depreciate significantly against the currencies in which we purchase raw materials from foreign suppliers, our cost of goods sold could increase materially, which would adversely affect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legal and regulatory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U.S. corporation that conducts business in a variety of foreign countries, we are subject to the Foreign Corrupt Practices Act and a variety of anti-corruption laws worldwide. A determination that we violated any of these laws may affect our business and operations adversely.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Foreign Corrupt Practices Act (FCPA) generally prohibits U.S. companies and their intermediaries from making improper payments to foreign officials for the purpose of obtaining or keeping business. The United Kingdom Bribery Act (UKBA) prohibits domestic and foreign bribery of the private sector as well as public officials. Any determination that we have violated any anti-corruption laws could have a material adverse effect on our financial position, operating results and cash flows.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various environmental, health and safety laws and regulations, and non-compliance with or liabilities under such laws and regulations could result in substantial costs, fines, sanctions and claims.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are subject to a variety of foreign, federal, state and local environmental, health and safety laws and regulations including those governing, among other things, emissions to air; discharges to water; noise; and the generation, handling, storage, transportation, treatment and disposal of waste and other materials. In addition, under federal and state environmental laws, we could be required to investigate, remediate and/or monitor the effects of the release or disposal of materials both at sites associated with past and present operations and at third-party sites where wastes generated by our operations were disposed. This liability may be imposed retroactively and whether or not we caused, or had any knowledge of, the existence of these materials and may result in our paying more than our fair share of the related costs. We could also be subject to a recall action by regulatory authorities. Violations of or liabilities under such laws and regulations could result in substantial costs, fines and civil or criminal proceedings or personal injury and workers' compensation claims.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are subject to substantial government regulation.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products are subject to extensive statutory and regulatory requirements governing, among other things, emissions, noise, labeling, transport, product content, and data privacy, including standards imposed by the EPA, CARB and other regulatory agencies around the world. Also, as we increase our connectivity with our products and customers, we may be required to comply with additional data privacy and cybersecurity regulations. These laws are constantly evolving and many are becoming increasingly stringent. Changes in applicable laws or regulations, or in the enforcement thereof, could require us to redesign our products and could adversely affect our business or financial condition in the future. Developing and marketing products to meet such new requirements could result in substantial additional costs that may be difficult to recover in some markets. In some cases, we may be required to modify our products or develop new products to comply with new regulations, particularly those relating to air emissions and carbon monoxide. Typically, additional costs associated with significant compliance modifications are passed on to the market. While we have been able to meet previous deadlines and requirements, failure to comply with other existing and future regulatory standards could adversely affect our position in the markets we serve.</w:t>
      </w:r>
    </w:p>
    <w:p>
      <w:pPr>
        <w:sectPr>
          <w:pgSz w:w="11900" w:h="16838" w:orient="portrait"/>
          <w:cols w:equalWidth="0" w:num="1">
            <w:col w:w="11240"/>
          </w:cols>
          <w:pgMar w:left="320" w:top="121" w:right="339" w:bottom="0" w:gutter="0" w:footer="0" w:header="0"/>
        </w:sectPr>
      </w:pPr>
    </w:p>
    <w:bookmarkStart w:id="14" w:name="page15"/>
    <w:bookmarkEnd w:id="14"/>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Failures or security breaches of our networks or information technology systems could have an adverse effect on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heavily on information technology (IT) both in our products and services for customers and in our IT systems used to run our business. Further, we collect and store sensitive information in our data centers and on our networks. Government agencies and security experts have warned about growing risks of hackers, cyber-criminals, malicious insiders and other actors targeting confidential information and all types of IT systems. These actors may engage in fraudulent activities, theft of confidential or proprietary information and sabotage or ransomware.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IT systems, our connected products, and our confidential information may be vulnerable to damage or intrusion from a variety of attacks including computer viruses, worms or other malicious software programs. The risk of such attacks may increase as we integrate newly acquired companies or develop new connected products and related software. These attacks pose a risk to the security of our products, systems and networks and those of our customers, suppliers and third-party service providers, as well as to the confidentiality of our information and the integrity and availability of our data. While we attempt to mitigate these risks through board oversight, controls, due diligence, employee training and communication, third party intrusion testing, system hardening, email and web filters, regular patching, surveillance, encryption, and other measures, we remain vulnerable to information security threats.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Despite the precautions we take, an intrusion or infection of our systems or connected products could result in the disruption of our business, or a loss of proprietary or confidential information. Similarly, an attack on our IT systems or connected products could result in theft or disclosure of trade secrets or other intellectual property, a breach of confidential customer or employee information, or product failure or misuse. Any such events could have an adverse impact on sales, harm our reputation and cause us to incur legal liability and increased costs to address such events and related security concerns. As the threats evolve and become more potent, we may incur additional costs to secure the products that we sell, as well as our data and infrastructure of networks and devices.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capital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indebtedness which could adversely affect our cash flow and our ability to make payments on our indebtedness.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2020 we had total indebtedness of $885.2 million. Our level of indebtedness increases the possibility that we may be unable to generate cash sufficient to pay, when due, the principal of, interest on or other amounts due in respect of our indebtedness. While we maintain interest rate swaps covering a portion of our outstanding debt, our interest expense could increase if interest rates increase because debt under our credit facilities bears interest at a variable rate based on LIBOR or other base rate. In connection with our term loan amendment in December 2019, language was added to the agreement to include a benchmark replacement rate, selected by the administrative agent and the borrower, as a replacement to LIBOR that would take affect at the time LIBOR ceases. The Company plans to work with its lenders in the near future to amend other LIBOR based debt agreements to add a replacement rate should the use of LIBOR cease. If we do not have sufficient earnings to service our debt, we may be required to refinance all or part of our existing debt, sell assets, borrow more money or sell securities, none of which we can guarantee we will be able to do.</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facilities restrict our current and future operations, particularly our ability to respond to changes in our business or to take certain actions.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credit facilities contain, and any future indebtedness of ours or our subsidiaries would likely contain, a number of restrictive covenants that impose operating and financial restrictions on us and our subsidiaries, including limitations on our ability to engage in acts that may be in our best long-term interests. These restrictions set limitations on, among other things, our ability to:</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additional debt or guarantees or issue 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redemptions and repurchases, with respect to capital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or make redemptions and repurchases of, subordinated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capital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asset sales, sale/leaseback transactions and transactions with affiliates;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business conducted by us or our subsidiaries;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terms of subordinated debt.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operating and financial restrictions in our credit facilities and any future financing agreements may adversely affect our ability to finance future operations or capital needs or to engage in other business activities. A breach of any of the restrictive covenants in our credit facilities would result in a default. If any such default occurs, the lenders under our credit facilities may elect to declare all outstanding borrowings, together with accrued interest and other fees, to be immediately due and payable, or enforce their security interest, any of which would result in an event of default. The lenders will also have the right in these circumstances to terminate any commitments they have to provide further borrowings. Our existing credit facilities do not contain any financial maintenance covenants.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to finance our growth strategy or to refinance our existing credit facilities, and we may not be able to obtain it on acceptable terms, or at all, which may limit our ability to grow.</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require additional financing to expand our business. Financing may not be available to us or may be available to us only on terms that are not favorable. The terms of our senior secured credit facilities limit our ability to incur additional debt. In addition, economic conditions, including a downturn</w:t>
      </w:r>
    </w:p>
    <w:p>
      <w:pPr>
        <w:sectPr>
          <w:pgSz w:w="11900" w:h="16846" w:orient="portrait"/>
          <w:cols w:equalWidth="0" w:num="1">
            <w:col w:w="11240"/>
          </w:cols>
          <w:pgMar w:left="320" w:top="553" w:right="339" w:bottom="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in the credit markets, could impact our ability to finance our growth on acceptable terms or at all. If we are unable to raise additional funds or obtain capital on acceptable terms, we may have to delay, modify or abandon some or all of our growth strategies. In the future, if we are unable to refinance our credit facilities on acceptable terms, our liquidity could be adversely affected.</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total assets include goodwill and other indefinite-lived intangibles. If we determine these have become impaired, our net income could be materially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cost over the fair market value of net assets acquired in business combinations. Indefinite-lived intangibles are comprised of certain tradenames. At December 31, 2020, goodwill and other indefinite-lived intangibles totaled $983.6 million. We review goodwill and other intangibles at least annually for impairment and any excess in carrying value over the estimated fair value is charged to the statement of comprehensive income. Future impairment may result from, among other things, deterioration in the performance of an acquired business or product line, adverse market conditions and changes in the competitive landscape, adverse changes in applicable laws or regulations, including changes that restrict the activities of an acquired business or product line, and a variety of other circumstances including any of the risk factors noted above. A reduction in net income resulting from the write-down or impairment of goodwill or indefinite-lived intangibles could have a material adverse effect on our financial statements. Refer to the Critical Accounting Policies in Item 7 of this Annual Report on Form 10-K for further information regarding the Company’s process for evaluating its goodwill for impairment.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or lease manufacturing, distribution, R&amp;D, and office facilities globally totaling over five million square feet. We also have inventory warehouses that accommodate material storage and rapid response requirements of our customers. The following table provides information about our principal facilities exceeding 20,000 square feet: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Segment</w:t>
            </w:r>
          </w:p>
        </w:tc>
      </w:tr>
      <w:tr>
        <w:trPr>
          <w:trHeight w:val="20"/>
        </w:trPr>
        <w:tc>
          <w:tcPr>
            <w:tcW w:w="3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0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Waukesha, WI</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w:t>
            </w:r>
          </w:p>
        </w:tc>
        <w:tc>
          <w:tcPr>
            <w:tcW w:w="10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headquarters, R&amp;D</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Eagle, WI</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office, training</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Whitewater, WI</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office, distribution</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Oshkosh, WI</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office, warehouse, R&amp;D</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Berlin, WI</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office, warehouse, R&amp;D</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Jefferson, WI</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office, distribution, R&amp;D</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Janesville, WI</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Various WI</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Warehouse</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Stockton, CA</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office, warehouse</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Hamilton, OH</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office, warehouse, R&amp;D</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Maquoketa, IA</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Storage, rental property</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South Burlington, VT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Office</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 City, Mexico</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sales, distribution, warehouse, office, R&amp;D</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Hidalgo, Mexico</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sales, distribution, warehouse, office, R&amp;D</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Milan, Italy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sales, distribution, warehouse, office, R&amp;D</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Casole d’Elsa, Italy</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office, warehouse, R&amp;D</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Balsicas, Spain</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office, warehouse, R&amp;D</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Foshan, China</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office, warehouse, R&amp;D</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Saint-Nizier-sous-Charlieu, France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office, warehouse</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Ribeirao Preto, Brazil</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office, warehouse</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Stoke-on-Trent, United Kingdom</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office, warehouse</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Sydney, Australia</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Sales, office, warehouse</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Fellbach, Germany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office, warehouse</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Celle, Germany</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office, warehouse, R&amp;D</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Charzyno, Poland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West Bengal, India</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warehouse</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countries represented above, the Company has other operations or sales offices in the United Arab Emirates, Romania, Russia, Canada, Colombia and the Dominican Republic.</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2020, substantially all of our domestically-owned and a portion of our internationally-owned properties are subject to collateral provisions under our senior secured credit facilities.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legal proceedings primarily involving product liability, employment matters and general commercial disputes arising in the ordinary course of our business. As of December 31, 2020, we believe that there is no litigation pending that would have a material effect on our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21" w:right="339" w:bottom="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are traded on the New York Stock Exchange (NYSE) under the symbol “GNRC.”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repurchase activity for the three months ended December 31, 2020, which consisted of the withholding of shares upon the vesting of restricted stock awards to pay related withholding taxes on behalf of the recipient: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As Part Of</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That May</w:t>
            </w: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Yet Be Purchased</w:t>
            </w:r>
          </w:p>
        </w:tc>
      </w:tr>
      <w:tr>
        <w:trPr>
          <w:trHeight w:val="216"/>
        </w:trPr>
        <w:tc>
          <w:tcPr>
            <w:tcW w:w="46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4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46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Programs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Or Programs</w:t>
            </w:r>
          </w:p>
        </w:tc>
      </w:tr>
      <w:tr>
        <w:trPr>
          <w:trHeight w:val="209"/>
        </w:trPr>
        <w:tc>
          <w:tcPr>
            <w:tcW w:w="46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10/01/20 - 10/31/20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250,000,000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11/01/20 - 11/30/20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217.12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250,000,000</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12/01/20 - 12/31/20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217.29</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250,000,000</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217.17</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equity compensation plan information, refer to Note 17, “Share Plans,” to the consolidated financial statements in Item 8 of this Annual Report on Form 10-K. For information on the Company’s stock repurchase plans, refer to Note 13, “Stock Repurchase Programs,”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line graph below compares the cumulative total stockholder return on our common stock with the cumulative total return of the Standard &amp; Poor’s S&amp;P 500 Index, the S&amp;P MidCap 400 Index and the Russell 2000 Index for the five-year period ended December 31, 2020. The graph and table assume that $100 was invested on December 31, 2015 in each of our common stock, the S&amp;P 500 Index, the S&amp;P MidCap 400 Index and the Russell 2000 Index, and that all dividends were reinvested. Cumulative total stockholder returns for our common stock, the S&amp;P 500 Index, the S&amp;P MidCap 400 Index and the Russell 2000 Index are based on our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128270</wp:posOffset>
            </wp:positionV>
            <wp:extent cx="6858000" cy="3591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00"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Company / Market / Peer Group</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12/31/2015</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12/31/2016</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12/31/2017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12/31/2018</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12/31/2019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12/31/2020</w:t>
            </w:r>
          </w:p>
        </w:tc>
        <w:tc>
          <w:tcPr>
            <w:tcW w:w="100" w:type="dxa"/>
            <w:vAlign w:val="bottom"/>
          </w:tcPr>
          <w:p>
            <w:pPr>
              <w:spacing w:after="0"/>
              <w:rPr>
                <w:sz w:val="20"/>
                <w:szCs w:val="20"/>
                <w:color w:val="auto"/>
              </w:rPr>
            </w:pPr>
          </w:p>
        </w:tc>
      </w:tr>
      <w:tr>
        <w:trPr>
          <w:trHeight w:val="209"/>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Generac Holdings Inc.</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763.89</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S&amp;P 500 Index - Total Returns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111.96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136.40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130.42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171.49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203.04</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MidCap 400 Index</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120.74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124.80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179.00</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Russell 2000 Index</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121.31</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139.08</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155.35</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186.36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ectPr>
          <w:pgSz w:w="11900" w:h="16838" w:orient="portrait"/>
          <w:cols w:equalWidth="0" w:num="1">
            <w:col w:w="11240"/>
          </w:cols>
          <w:pgMar w:left="320" w:top="117" w:right="339" w:bottom="0" w:gutter="0" w:footer="0" w:header="0"/>
        </w:sectPr>
      </w:pPr>
    </w:p>
    <w:bookmarkStart w:id="17" w:name="page18"/>
    <w:bookmarkEnd w:id="17"/>
    <w:p>
      <w:pPr>
        <w:jc w:val="both"/>
        <w:ind w:left="40"/>
        <w:spacing w:after="0" w:line="282" w:lineRule="auto"/>
        <w:rPr>
          <w:sz w:val="20"/>
          <w:szCs w:val="20"/>
          <w:color w:val="auto"/>
        </w:rPr>
      </w:pPr>
      <w:r>
        <w:rPr>
          <w:rFonts w:ascii="Times New Roman" w:cs="Times New Roman" w:eastAsia="Times New Roman" w:hAnsi="Times New Roman"/>
          <w:sz w:val="18"/>
          <w:szCs w:val="18"/>
          <w:color w:val="auto"/>
        </w:rPr>
        <w:t>As of February 17, 2021, there were 206 registered holders of record of Generac’s common stock. A substantially greater number of holders of Generac common stock are “street name” or beneficial holders, whose shares are held of record by banks, brokers and other financial institutions.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40"/>
        <w:spacing w:after="0" w:line="255" w:lineRule="auto"/>
        <w:rPr>
          <w:sz w:val="20"/>
          <w:szCs w:val="20"/>
          <w:color w:val="auto"/>
        </w:rPr>
      </w:pPr>
      <w:r>
        <w:rPr>
          <w:rFonts w:ascii="Times New Roman" w:cs="Times New Roman" w:eastAsia="Times New Roman" w:hAnsi="Times New Roman"/>
          <w:sz w:val="18"/>
          <w:szCs w:val="18"/>
          <w:color w:val="auto"/>
        </w:rPr>
        <w:t>We do not have plans to pay dividends on our common stock in the foreseeable future. However, in the future, subject to factors such as general economic and business conditions, our financial condition and results of operations, our capital requirements, our future liquidity and capitalization, and other such factors that our Board of Directors may deem relevant, we may change this policy and choose to pay dividends. Our ability to pay dividends on our common stock is currently limited by the terms of our senior secured credit facilities and may be further restricted by any future indebtedness we incur. Dividends from, and cash generated by our subsidiaries will be our principal sources of cash to repay indebtedness, fund operations, repurchase shares of common stock and pay dividends. Accordingly, our ability to pay dividends to our stockholders is dependent on the earnings and distributions of funds from our subsidiaries.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left="40"/>
        <w:spacing w:after="0" w:line="282" w:lineRule="auto"/>
        <w:rPr>
          <w:sz w:val="20"/>
          <w:szCs w:val="20"/>
          <w:color w:val="auto"/>
        </w:rPr>
      </w:pPr>
      <w:r>
        <w:rPr>
          <w:rFonts w:ascii="Times New Roman" w:cs="Times New Roman" w:eastAsia="Times New Roman" w:hAnsi="Times New Roman"/>
          <w:sz w:val="18"/>
          <w:szCs w:val="18"/>
          <w:color w:val="auto"/>
        </w:rPr>
        <w:t>For information on securities authorized for issuance under our equity compensation plans, refer to “Item 12 - Security Ownership of Certain Beneficial Owners and Management and Related Stockholder Matters,” which is incorporated herein by reference.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left="40"/>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“Item 1 – Business,” the consolidated financial statements and the related notes thereto in Item 8 of this Annual Report on Form 10-K. This discussion contains forward-looking statements, based on current expectations and related to future events and our future financial performance, that involve risks and uncertainties. Our actual results may differ materially from those anticipated in these forward-looking statements as a result of many factors, including those set forth under “Item 1A - Risk Factors.”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40"/>
        <w:spacing w:after="0" w:line="282" w:lineRule="auto"/>
        <w:rPr>
          <w:sz w:val="20"/>
          <w:szCs w:val="20"/>
          <w:color w:val="auto"/>
        </w:rPr>
      </w:pPr>
      <w:r>
        <w:rPr>
          <w:rFonts w:ascii="Times New Roman" w:cs="Times New Roman" w:eastAsia="Times New Roman" w:hAnsi="Times New Roman"/>
          <w:sz w:val="18"/>
          <w:szCs w:val="18"/>
          <w:color w:val="auto"/>
        </w:rPr>
        <w:t>We are a leading global designer and manufacturer of a wide range of energy technology solutions. The Company provides power generation equipment, energy storage systems, grid services solutions, and other power products serving the residential, light commercial and industrial markets.</w:t>
      </w:r>
    </w:p>
    <w:p>
      <w:pPr>
        <w:spacing w:after="0" w:line="162" w:lineRule="exact"/>
        <w:rPr>
          <w:sz w:val="20"/>
          <w:szCs w:val="20"/>
          <w:color w:val="auto"/>
        </w:rPr>
      </w:pPr>
    </w:p>
    <w:p>
      <w:pPr>
        <w:jc w:val="both"/>
        <w:ind w:left="40"/>
        <w:spacing w:after="0" w:line="252" w:lineRule="auto"/>
        <w:rPr>
          <w:sz w:val="20"/>
          <w:szCs w:val="20"/>
          <w:color w:val="auto"/>
        </w:rPr>
      </w:pPr>
      <w:r>
        <w:rPr>
          <w:rFonts w:ascii="Times New Roman" w:cs="Times New Roman" w:eastAsia="Times New Roman" w:hAnsi="Times New Roman"/>
          <w:sz w:val="18"/>
          <w:szCs w:val="18"/>
          <w:color w:val="auto"/>
        </w:rPr>
        <w:t>Power generation and storage is a key focus of the Company, which differentiates us from our competitors who also have broad operations outside of the power equipment market. As the only significant market participant with a primary focus on these products, we maintain one of the leading market positions in the power equipment market in North America and an expanding presence internationally. We believe we have one of the widest ranges of products in the marketplace, including residential, commercial and industrial standby generators; as well as portable and mobile generators used in a variety of applications. A key strategic focus for the Company in recent years has been leveraging our leading position in the growing market for cleaner burning, more cost-effective natural gas fueled generators to expand into applications beyond standby power, allowing us to participate in distributed generation projects. The Company in recent years has been evolving its business model to also focus on clean energy products, solutions, and services. In 2019, we began providing energy storage systems as a clean energy solution for residential use that capture and store electricity from solar panels or other power sources and help reduce home energy costs while also protecting homes from shorter-duration power outages. During 2020, we entered the market for grid services involving distributed energy optimization and control software that helps support the operational stability of the world's power grids. We have also been focused on connecting the equipment we manufacture to the users of that equipment, helping to drive additional value to our customers and our distribution partners over the product lifecycle. The strategic focus on expanding the connectivity of our products will broaden our monitoring capabilities and also enable the increasing utilization of this equipment as distributed energy resources as the nascent market for grid-services expands over the next several years. Overall, as the traditional centralized utility model evolves over time, we believe that a cleaner, more decentralized grid infrastructure will build-out, and Generac's energy technology solutions are strategically positioned to participate in this future "Grid 2.0".</w:t>
      </w:r>
    </w:p>
    <w:p>
      <w:pPr>
        <w:spacing w:after="0" w:line="196" w:lineRule="exact"/>
        <w:rPr>
          <w:sz w:val="20"/>
          <w:szCs w:val="20"/>
          <w:color w:val="auto"/>
        </w:rPr>
      </w:pPr>
    </w:p>
    <w:p>
      <w:pPr>
        <w:jc w:val="both"/>
        <w:ind w:left="40"/>
        <w:spacing w:after="0" w:line="282" w:lineRule="auto"/>
        <w:rPr>
          <w:sz w:val="20"/>
          <w:szCs w:val="20"/>
          <w:color w:val="auto"/>
        </w:rPr>
      </w:pPr>
      <w:r>
        <w:rPr>
          <w:rFonts w:ascii="Times New Roman" w:cs="Times New Roman" w:eastAsia="Times New Roman" w:hAnsi="Times New Roman"/>
          <w:sz w:val="18"/>
          <w:szCs w:val="18"/>
          <w:color w:val="auto"/>
        </w:rPr>
        <w:t>In addition to power generation and storage solutions, other products that we design and manufacture include light towers which provide temporary lighting for various end markets, and a broad and growing product line of outdoor power equipment for residential and commercial use.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229" w:lineRule="exact"/>
        <w:rPr>
          <w:sz w:val="20"/>
          <w:szCs w:val="20"/>
          <w:color w:val="auto"/>
        </w:rPr>
      </w:pPr>
    </w:p>
    <w:p>
      <w:pPr>
        <w:jc w:val="both"/>
        <w:ind w:left="40"/>
        <w:spacing w:after="0" w:line="258" w:lineRule="auto"/>
        <w:rPr>
          <w:sz w:val="20"/>
          <w:szCs w:val="20"/>
          <w:color w:val="auto"/>
        </w:rPr>
      </w:pPr>
      <w:r>
        <w:rPr>
          <w:rFonts w:ascii="Times New Roman" w:cs="Times New Roman" w:eastAsia="Times New Roman" w:hAnsi="Times New Roman"/>
          <w:sz w:val="18"/>
          <w:szCs w:val="18"/>
          <w:color w:val="auto"/>
        </w:rPr>
        <w:t>The global outbreak of COVID-19 was declared a pandemic by the World Health Organization in March 2020 and has negatively affected the global economy, disrupted global supply chains and created significant market volatility and uncertainty. Our management team has been very proactive in addressing the impact of COVID-19 on our business. The situation continues to evolve, and we are working to ensure employee safety, monitor customer demand, proactively address supply chain or production challenges, and support our communities during this challenging time. We manufacture and provide essential products and services to a variety of critical infrastructure customers around the globe, and as a result, substantially all of our operations</w:t>
      </w:r>
    </w:p>
    <w:p>
      <w:pPr>
        <w:sectPr>
          <w:pgSz w:w="11900" w:h="16838" w:orient="portrait"/>
          <w:cols w:equalWidth="0" w:num="1">
            <w:col w:w="11280"/>
          </w:cols>
          <w:pgMar w:left="280" w:top="121" w:right="339" w:bottom="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and production activities have, to-date, been operational. We have implemented changes in our work practices, maintaining a safe working environment for production and office employees at our facilities, while enabling other employees to productively work from home.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further extent of the impact of COVID-19 on our business is dependent on future developments, including the duration of the pandemic, our ability to operate during the pandemic, actions taken by domestic and foreign governments to contain the spread of the virus, and the related length of its impact on the global economy and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COVID-19 pandemic has created significant uncertainty within various global markets that we serve. Several areas of our business have been and may continue to be negatively impacted, in particular our Commercial and Industrial (C&amp;I) products around the world. The decline in oil prices has impacted our C&amp;I mobile products demand significantly as national rental customers are deferring their capital spending. C&amp;I stationary product shipments through our North American distributor channel and our Telecom customers have slowed during 2020 due to declines in quoting activity. Additionally, the COVID-19 pandemic has caused a broad-based sharp drop in global demand for our C&amp;I products in our International segment, which magnified the slower economic growth and geopolitical headwinds that were already being experienced by our international business. Given the magnitude of the downturn in demand for C&amp;I products, we initiated a number of meaningful cost-cutting actions for this part of our business during the second quarter of 2020 to better align our cost structure with customer demand. We are continuing to monitor these negative impacts on our C&amp;I product demand closely and may implement additional measures in response.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regard to our Residential products, historical experience and our current year results have shown that demand for Residential products can decouple from broader economic trends as these products are largely driven by power outages. The aging and underinvested electrical grid in the U.S. continues to be more vulnerable to elevated power outages across the country. As the vast majority of U.S. citizens are spending much more time at home due to the pandemic, it is becoming more essential to have a backup power strategy, especially as homeowners are doing more critical activities like working and learning from home. In addition, with California emerging as a major market for back-up power and our entrance into clean energy, these incremental growth drivers have helped to more than offset the impact of lower consumer spending due to COVID-19.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and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COVID-19 pandemic, governmental authorities have implemented and are continuing to implement numerous and constantly evolving measures to try to contain the virus, such as travel bans and restrictions, limits on gatherings, quarantines, and business shutdowns. While we are deemed an essential, critical infrastructure business and our facilities currently remain operational, this continues to be a fluid process and subject to change. We have experienced and may continue to experience increased employee absences at several of our production facilities. If we were to encounter a significant work stoppage, disruption, or COVID-19 outbreak at one or more of our locations or suppliers, we may not be able to satisfy customer demand for a period of time.</w:t>
      </w:r>
    </w:p>
    <w:p>
      <w:pPr>
        <w:spacing w:after="0" w:line="18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COVID-19 pandemic has disrupted the global supply chain and we are continually monitoring scheduled material receipts to mitigate any delays. To date, we have not experienced significant impacts or interruptions to our supply chain as a result of the COVID-19 pandemic, but this could be subject to change if one or more of our suppliers can no longer operate in this environment. We have maintained business continuity by utilizing safety stock inventory levels and executing air freight strategies. The COVID-19 pandemic has also impacted the global logistics network. Although we have experienced inbound and outbound logistics delays and increased costs in moving shipments across several regions, the impact to our business thus far has not been significant. This could change if freight carriers are delayed or not able to operate.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COVID-19 outbreak has created uncertain market conditions, we believe our business model, current cash balance, projected cash flow generation, and availability under our ABL credit facility provide us with a strong balance sheet and liquidity position. This financial strength allows us, notwithstanding unforeseen impacts of the current COVID-19 pandemic, to remain focused on our strategic plan and provides the flexibility to continue to invest in future growth opportunities.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Drivers and Operational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operating our business and monitoring its performance, we pay attention to a number of business drivers and trends as well as operational factors. The statements in this section are based on our current expectations.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Drivers and Trends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performance is affected by the demand for reliable power generation products, energy storage systems, grid services solutions, and other power products by our customer base. This demand is influenced by several important drivers and trends affecting our industry, including the following:</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Key Mega-trends: </w:t>
      </w:r>
      <w:r>
        <w:rPr>
          <w:rFonts w:ascii="Times New Roman" w:cs="Times New Roman" w:eastAsia="Times New Roman" w:hAnsi="Times New Roman"/>
          <w:sz w:val="18"/>
          <w:szCs w:val="18"/>
          <w:color w:val="auto"/>
        </w:rPr>
        <w:t>There are some important mega-trends that we believe represent major themes that will drive significant secular growth opportunities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our business over the long term. “Grid 2.0”, which is the evolution of the traditional electrical utility model, includes the decentralization and de-carbonization of the grid and a migration toward distributed energy resources that is expected to drive demand for a variety of clean energy and grid services solutions going forward. Attitudes around global warming and climate change are shifting, which includes the expectation of more severe weather driving increased power outage activity. Natural gas is expected to be a key fuel of the future with the abundance of supply globally leading to increasing demand for natural gas generators in applications beyond standby power. The legacy infrastructure is in need of a major investment cycle to rebuild and upgrade aging networks and systems including transportation, water and power. The wireless telecommunications infrastructure is shifting to the next generation “5G” architecture, which will enable new technologies requiring significant improvement in network uptime through backup power solutions.</w:t>
      </w:r>
    </w:p>
    <w:p>
      <w:pPr>
        <w:spacing w:after="0" w:line="18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The onset of the COVID-19 pandemic in early 2020 has led to a new and emerging mega-trend that we refer to as “Home as a Sanctuary,” where millions of people are working, learning, shopping, entertaining, and in general, spending more time at home. As working adults spend much more time working from home and school-age children learning from home, they become more sensitive to power outages due to lost productivity. These trends combined with ongoing elevated power outage activity has led to a significant increased awareness, importance and need for backup power security. As a result of</w:t>
      </w:r>
    </w:p>
    <w:p>
      <w:pPr>
        <w:sectPr>
          <w:pgSz w:w="11900" w:h="16838" w:orient="portrait"/>
          <w:cols w:equalWidth="0" w:num="1">
            <w:col w:w="11240"/>
          </w:cols>
          <w:pgMar w:left="320" w:top="121" w:right="339" w:bottom="0" w:gutter="0" w:footer="0" w:header="0"/>
        </w:sectPr>
      </w:pPr>
    </w:p>
    <w:bookmarkStart w:id="19" w:name="page20"/>
    <w:bookmarkEnd w:id="19"/>
    <w:p>
      <w:pPr>
        <w:ind w:right="580"/>
        <w:spacing w:after="0" w:line="282" w:lineRule="auto"/>
        <w:rPr>
          <w:sz w:val="20"/>
          <w:szCs w:val="20"/>
          <w:color w:val="auto"/>
        </w:rPr>
      </w:pPr>
      <w:r>
        <w:rPr>
          <w:rFonts w:ascii="Times New Roman" w:cs="Times New Roman" w:eastAsia="Times New Roman" w:hAnsi="Times New Roman"/>
          <w:sz w:val="18"/>
          <w:szCs w:val="18"/>
          <w:color w:val="auto"/>
        </w:rPr>
        <w:t>spending more time at home, homeowners are also investing more into home improvement projects and outdoor project activity, which is leading to increased and broad-based demand for home standby generators as well as chore products used in a variety of property maintenance applications.</w:t>
      </w:r>
    </w:p>
    <w:p>
      <w:pPr>
        <w:spacing w:after="0" w:line="1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Increasing penetration opportunity. </w:t>
      </w:r>
      <w:r>
        <w:rPr>
          <w:rFonts w:ascii="Times New Roman" w:cs="Times New Roman" w:eastAsia="Times New Roman" w:hAnsi="Times New Roman"/>
          <w:sz w:val="17"/>
          <w:szCs w:val="17"/>
          <w:color w:val="auto"/>
        </w:rPr>
        <w:t>Many potential customers are still not aware of the costs and benefits of automatic backup power solutions.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 that penetration rates for home standby generators are still only approximately 5.0% of the addressable market of homes in the United States. The decision to purchase backup power for many light-commercial buildings such as convenience stores, restaurants and gas stations is more return-on-investment driven and, as a result, these applications have relatively lower penetration rates as compared to buildings used in code-driven or mission critical applications such as hospitals, wastewater treatment facilities, 911 call centers, data centers and certain industrial locations. The emergence of lower cost, cleaner burning natural gas fueled generators has helped to increase the penetration of standby generators over the past decade in the light-commercial market. In addition, the installed base of backup power for telecommunications infrastructure is still increasing due to a variety of factors, including the impending rollout of next-generation 5G wireless networks enabling new technologies and the growing importance for critical communications being transmitted over wireless networks. We believe by expanding our distribution network, continuing to develop our product lines, and targeting our marketing efforts, we can continue to build awareness and increase penetration for our standby generators for residential, commercial and industrial purposes.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Effect of large scale and baseline power disruptions. </w:t>
      </w:r>
      <w:r>
        <w:rPr>
          <w:rFonts w:ascii="Times New Roman" w:cs="Times New Roman" w:eastAsia="Times New Roman" w:hAnsi="Times New Roman"/>
          <w:sz w:val="18"/>
          <w:szCs w:val="18"/>
          <w:color w:val="auto"/>
        </w:rPr>
        <w:t>Power disruptions are an important driver of customer awareness for back-up power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historically influenced demand for generators, both in the United States and internationally. Increased frequency and duration of major power outage events, that have a broader impact beyond a localized level, increases product awareness and may drive consumers to accelerate their purchase of a standby or portable generator during the immediate and subsequent period, which we believe may last for six to twelve months following a major power outage event for standby generators. For example, there have been a number of major outage events that occurred over the past decade that drove strong demand for portable and home standby generators, and the increased awareness of these products contributed to strong revenue growth in both the year they occurred along with the following subsequent year. Major power disruptions are unpredictable by nature and, as a result, our sales levels and profitability may fluctuate from period to period. In addition, there are smaller, more localized power outages that occur frequently across the United States that drive the baseline level of demand for back-up power solutions. The level of baseline power outage activity occurring across the United States can also fluctuate, and may cause our financial results to fluctuate from year to year.</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Energy storage and monitoring markets developing quickly. </w:t>
      </w:r>
      <w:r>
        <w:rPr>
          <w:rFonts w:ascii="Times New Roman" w:cs="Times New Roman" w:eastAsia="Times New Roman" w:hAnsi="Times New Roman"/>
          <w:sz w:val="18"/>
          <w:szCs w:val="18"/>
          <w:color w:val="auto"/>
        </w:rPr>
        <w:t>During 2019, we entered the rapidly developing energy storage, monitoring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markets with the acquisitions of Pika Energy and Neurio Technologies, along with the subsequent introduction of complete energy storage systems - marketed under the names PWRcell™ and PWRview™. We believe the electric utility landscape will undergo significant changes in the decade ahead as a result of rising utility rates, grid instability and power quality issues, environmental concerns, and the continuing performance and cost improvements in renewable energy and batteries. On-site power generation from solar, wind, geothermal, and natural gas generators is projected to become more prevalent as will the need to monitor, manage, and store this power – potentially developing into a significant market opportunity. The capabilities provided by Pika and Neurio have enabled us to bring an efficient and intelligent energy-savings solution to the energy storage and monitoring markets, which enabled us to quickly ramp shipments for these clean energy solutions during 2020, and we believe will position Generac as a key participant going forward. Although different from the emergency backup power space, we believe this market will develop similarly as the home standby generator market has over the past two decades given both products can provide power resiliency to homeowners. We expect to further advance our growing capabilities for energy storage systems including product development, sourcing, distribution, and marketing, as we leverage our significant competencies in the residential standby generator market to accelerate our market position in the emerging residential energy storage, monitoring and management markets.</w:t>
      </w:r>
    </w:p>
    <w:p>
      <w:pPr>
        <w:spacing w:after="0" w:line="200" w:lineRule="exact"/>
        <w:rPr>
          <w:sz w:val="20"/>
          <w:szCs w:val="20"/>
          <w:color w:val="auto"/>
        </w:rPr>
      </w:pP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California market for backup power increasing. </w:t>
      </w:r>
      <w:r>
        <w:rPr>
          <w:rFonts w:ascii="Times New Roman" w:cs="Times New Roman" w:eastAsia="Times New Roman" w:hAnsi="Times New Roman"/>
          <w:sz w:val="18"/>
          <w:szCs w:val="18"/>
          <w:color w:val="auto"/>
        </w:rPr>
        <w:t>Over the past two years, utilities in the state of California have executed a number of Public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Shutoff (PSPS) events in large portions of their service areas. These events were pro-active measures to prevent their equipment from potentially causing catastrophic wildfires during the dry and windy season of the year. The occurrence of these events, along with the utilities warning these actions could continue in the future as they upgrade their transmission and distribution infrastructure, have resulted in significant awareness and increased demand for our generators in California, where penetration rates of home standby generators still stand at only approximately 1%. We have a significant focus on expanding distribution in California and are working together with local regulators, inspectors, and gas utilities to increase their bandwidth and sense of urgency around approving and providing the infrastructure necessary for home standby and other backup power products. Our efforts in this part of the country will also be helpful in developing the market for energy storage and monitoring where the installed base of solar and other renewable sources of electricity are some of the highest in the U.S., and the regulatory environment is increasingly mandating renewable energy on new construction applications.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Impact of residential investment cycle. </w:t>
      </w:r>
      <w:r>
        <w:rPr>
          <w:rFonts w:ascii="Times New Roman" w:cs="Times New Roman" w:eastAsia="Times New Roman" w:hAnsi="Times New Roman"/>
          <w:sz w:val="18"/>
          <w:szCs w:val="18"/>
          <w:color w:val="auto"/>
        </w:rPr>
        <w:t>The market for residential generators and energy storage systems is also affected by the residential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cycle and overall consumer confidence and sentiment. When homeowners are confident of their household income, the value of their home and overall net worth, they are more likely to invest in their home. These trends can have an impact on demand for residential generators and energy storage systems. Trends in the new housing market, highlighted by residential housing starts, can also impact demand for these products. Demand for outdoor power equipment is also impacted by several of these factors, as well as weather precipitation patterns. Finally, the existence of renewable energy mandates and investment tax credits and other subsidies can also have an impact on the demand for energy storage systems.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Impact of business capital investment and other economic cycles. </w:t>
      </w:r>
      <w:r>
        <w:rPr>
          <w:rFonts w:ascii="Times New Roman" w:cs="Times New Roman" w:eastAsia="Times New Roman" w:hAnsi="Times New Roman"/>
          <w:sz w:val="18"/>
          <w:szCs w:val="18"/>
          <w:color w:val="auto"/>
        </w:rPr>
        <w:t>The global market for our commercial and industrial products is affected by different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investment cycles, which can vary across the numerous regions around the world in which we participate. These markets include non-residential building construction, durable goods and infrastructure spending, as well as investments in the exploration and production of oil &amp; gas, as businesses or organizations either add new locations or make investments to upgrade existing locations or equipment. These trends can have a material impact on demand for these products. The capital investment cycle may differ for the various commercial and industrial end markets that we serve including light commercial, retail, office, telecommunications, industrial, data centers, healthcare, construction, oil &amp; gas and municipal infrastructure, among others. The market for these products is also affected by general economic and geopolitical conditions as well as credit availability in the geographic regions that we serve.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factors that can affect our results of operations, which we attempt to mitigate through factors we can control, including continued product development, expanded distribution, pricing, cost control and hedging. Certain operational and other factors that affect our business include the following:</w:t>
      </w:r>
    </w:p>
    <w:p>
      <w:pPr>
        <w:sectPr>
          <w:pgSz w:w="11900" w:h="16838" w:orient="portrait"/>
          <w:cols w:equalWidth="0" w:num="1">
            <w:col w:w="11240"/>
          </w:cols>
          <w:pgMar w:left="320" w:top="121" w:right="339" w:bottom="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Effect of commodity, currency and component price fluctuations. </w:t>
      </w:r>
      <w:r>
        <w:rPr>
          <w:rFonts w:ascii="Times New Roman" w:cs="Times New Roman" w:eastAsia="Times New Roman" w:hAnsi="Times New Roman"/>
          <w:sz w:val="18"/>
          <w:szCs w:val="18"/>
          <w:color w:val="auto"/>
        </w:rPr>
        <w:t>Industry-wide price fluctuations of key commodities, such as steel, copper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aluminum, along with other components we use in our products, as well as changes in labor costs required to produce our products, can have a material impact on our results of operations. Acquisitions in recent years have further expanded our commercial and operational presence outside of the United States. These international acquisitions, along with our existing global supply chain, expose us to fluctuations in foreign currency exchange rates and regulatory tariffs that can also have a material impact on our results of operations.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historically attempted to mitigate the impact of any inflationary pressures through improved product design and sourcing, manufacturing efficiencies, price increases and select hedging transactions. Our results are also influenced by changes in fuel prices in the form of freight rates, which in some cases are accepted by our customers and in other cases are paid by us.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Although there is demand for our products throughout the year, in each of the past five years, approximately 19% to 21% of our net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in the first quarter, 22% to 25% in the second quarter, 26% to 28% in the third quarter and 27% to 31% in the fourth quarter, with different seasonality depending primarily on the occurrence, timing and severity of major power outage activity in each year. Major outage activity is unpredictable by nature and, as a result, our sales levels and profitability may fluctuate from period to period. The seasonality experienced during a major power outage, and for the subsequent quarters following the event, will vary relative to other periods where no major outage events occurred.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2020, elevated power outage activity and the emergence of the "Home as a Sanctuary" trend driven by the COVID-19 pandemic led to a significant increase in demand for home standby generators. This increased demand has resulted in extended lead times for these products as of December 31, 2020, and as a result, our net sales during 2021 are expected to be more level-loaded throughout the year relative to historical seasonal patterns.</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Factors influencing interest expense. </w:t>
      </w:r>
      <w:r>
        <w:rPr>
          <w:rFonts w:ascii="Times New Roman" w:cs="Times New Roman" w:eastAsia="Times New Roman" w:hAnsi="Times New Roman"/>
          <w:sz w:val="18"/>
          <w:szCs w:val="18"/>
          <w:color w:val="auto"/>
        </w:rPr>
        <w:t>Interest expense can be impacted by a variety of factors, including market fluctuations in LIBOR,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periods, interest rate swap agreements, repayments or borrowings of indebtedness, and amendments to our credit agreements. In connection with our term loan amendment in December 2019, language was added to the agreement to include a benchmark replacement rate, selected by the administrative agent and the borrower, as a replacement to LIBOR that would take affect at the time LIBOR ceases. We plan to work with our lenders in the future to amend other LIBOR based debt agreements to add a replacement rate should the use of LIBOR cease. Interest expense decreased during 2020 compared to 2019, primarily due to lower LIBOR rates and lower outstanding borrowings. Refer to Note 12, “Credit Agreements,” to the consolidated financial statements in Item 8 of this Annual Report on Form 10-K for further information.</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Factors influencing provision for income taxes and cash income taxes paid. </w:t>
      </w:r>
      <w:r>
        <w:rPr>
          <w:rFonts w:ascii="Times New Roman" w:cs="Times New Roman" w:eastAsia="Times New Roman" w:hAnsi="Times New Roman"/>
          <w:sz w:val="18"/>
          <w:szCs w:val="18"/>
          <w:color w:val="auto"/>
        </w:rPr>
        <w:t>On December 22, 2017, the U.S. government enacted the Tax Cuts and Jobs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which significantly changed how the U.S. taxes corporations. Since enactment, the U.S. Treasury Department (Treasury) issued several new regulations and other guidance which we have incorporated into our final tax calculations.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2020, we had approximately $102 million of tax-deductible goodwill and intangible asset amortization remaining from our acquisition by CCMP Capital Advisors, LLC in 2006. This remaining balance will fully amortize in our 2021 tax return, resulting in approximately $26 million of cash tax savings during 2021. Beginning in 2022, this tax amortization will no longer exist, resulting in a higher cash tax obligation on a go-forward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Net Sales and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net sales primarily consist of product sales to our customers. This includes sales of our power generation equipment, energy storage systems, and other power products to the residential, light commercial and industrial markets, as well as service parts to our dealer network. Net sales also include shipping and handling charges billed to customers, with the related freight costs included in cost of goods sold. Additionally, we offer other services, including extended warranties, remote monitoring, grid optimization, installation and maintenance services. However, these services accounted for less than two percent of our net sales for the year ended December 31, 2020. Refer to Note 2, “Summary of Accounting Policies - Revenue Recognition,” to the consolidated financial statements in Item 8 of this Annual Report on Form 10-K for further information on our revenue streams and related revenue recognition accounting policies.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dependent on any one channel or customer for our net sales, with no single customer representing more than 6% of our sales, and our top ten customers representing less than 24% of our net sales for the year ended December 31,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principal elements of costs of goods sold are component parts, raw materials, freight, factory overhead and labor. Component parts and raw materials comprised approximately 75% of costs of goods sold for the year ended December 31, 2020. The principal component parts are engines, alternators, and batteries. We design and manufacture air-cooled engines for certain of our generators up to 24kW, along with certain liquid-cooled, natural gas engines. We source engines for certain of our smaller products and all of our diesel products. For certain natural gas engines, we source the base engine block, and then add a significant amount of value engineering, sub-systems and other content to the point that we are recognized as the original equipment manufacturer (OEM) of those engines. We design and manufacture many of the alternators for our units. We also manufacture other generator components where we believe we have a design and cost advantage. We source component parts from an extensive global network of reliable, high quality suppliers. In some cases, these relationships are proprietary.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raw materials used in the manufacturing process that are sourced are steel, copper and aluminum. We are susceptible to fluctuations in the cost of these commodities, impacting our costs of goods sold. We seek to mitigate the impact of commodity prices on our business through a continued focus on global sourcing, product design improvements, manufacturing efficiencies, price increases and select hedging transactions. We are also impacted by foreign currency fluctuations given our global supply chain. There is typically a lag between raw material price fluctuations and their effect on our costs of goods sold.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sources of costs include our manufacturing and warehousing facilities, factory overhead, labor and shipping costs. Factory overhead includes utilities, insurance, support personnel, depreciation, general supplies, support and maintenance. Although we attempt to maintain a flexible manufacturing cost structure, our margins can be impacted when we cannot timely adjust labor and manufacturing costs to match fluctuations in net sales.</w:t>
      </w:r>
    </w:p>
    <w:p>
      <w:pPr>
        <w:sectPr>
          <w:pgSz w:w="11900" w:h="16838" w:orient="portrait"/>
          <w:cols w:equalWidth="0" w:num="1">
            <w:col w:w="11240"/>
          </w:cols>
          <w:pgMar w:left="320" w:top="119" w:right="339" w:bottom="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expenses consist of costs incurred to support our sales, marketing, distribution, service parts, engineering, information systems, human resources, accounting, finance, risk management, legal and tax functions, among others. These expenses include personnel costs such as salaries, bonuses, employee benefit costs, taxes, and share-based compensation cost, and are classified into three categories: selling and service, research and development, and general and administrative. Additionally, the amortization expense related to our finite-lived intangible assets is included within operating expenses.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and service. </w:t>
      </w:r>
      <w:r>
        <w:rPr>
          <w:rFonts w:ascii="Times New Roman" w:cs="Times New Roman" w:eastAsia="Times New Roman" w:hAnsi="Times New Roman"/>
          <w:sz w:val="18"/>
          <w:szCs w:val="18"/>
          <w:color w:val="auto"/>
        </w:rPr>
        <w:t>Our selling and service expenses consist primarily of personnel expense, marketing expense, standard assurance warranty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sales expenses. Our personnel expense recorded in selling and services expenses includes the expense of our sales force responsible for our broad customer base and other personnel involved in the marketing, sales and service of our products. Standard warranty expense, which is recorded at the time of sale, is estimated based on historical trends. Our marketing expenses include direct mail costs, printed material costs, product display costs, market research expenses, trade show expenses, media advertising, promotional expenses and co-op advertising costs. Marketing expenses are generally related to the launch of new product offerings, participation in trade shows and other events, opportunities to create market awareness for our products, and general brand awareness marketing efforts.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Our research and development expenses support numerous projects covering all of our product lines. They also support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connectivity, remote monitoring, and energy monitoring initiatives. We operate engineering facilities with extensive capabilities at many locations globally and employ over 500 personnel with focus on new product development, existing product improvement and cost containment. We are committed to research and development, and rely on a combination of patents and trademarks to establish and protect our proprietary rights. Our research and development costs are expensed as incurred.</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include personnel costs for general and administrative employees; accounting,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professional services fees; information technology costs; insurance; travel and entertainment expense; and other corporate expenses.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intangibles. </w:t>
      </w:r>
      <w:r>
        <w:rPr>
          <w:rFonts w:ascii="Times New Roman" w:cs="Times New Roman" w:eastAsia="Times New Roman" w:hAnsi="Times New Roman"/>
          <w:sz w:val="18"/>
          <w:szCs w:val="18"/>
          <w:color w:val="auto"/>
        </w:rPr>
        <w:t>Our amortization of intangibles expense includes the straight-line amortization of finite-lived tradenames, customer lists,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 and technology, and other intangibles assets.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income includes the interest expense on our outstanding borrowings, amortization of debt financing costs and original issue discount, and cash flows related to interest rate swap agreements. Other (expense) income also includes other financial items such as losses on extinguishment of debt, loss on pension settlement, and investment income earned on our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detailed discussion of the year-over-year changes from the Company's fiscal 2018 to fiscal 2019 can be found in the Management's Discussion and Analysis section of the Company's fiscal 2019 Annual Report on Form 10-K filed February 25,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2020 compared to year ended December 31, 2019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 of operations data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0" w:type="dxa"/>
            <w:vAlign w:val="bottom"/>
          </w:tcPr>
          <w:p>
            <w:pPr>
              <w:spacing w:after="0"/>
              <w:rPr>
                <w:sz w:val="20"/>
                <w:szCs w:val="20"/>
                <w:color w:val="auto"/>
              </w:rPr>
            </w:pPr>
          </w:p>
        </w:tc>
        <w:tc>
          <w:tcPr>
            <w:tcW w:w="9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2,485,200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2,204,336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280,864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1,527,546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1,406,584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120,962</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159,902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service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217,683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80,251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68,394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11,857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119,644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110,868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8,776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32,280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28,644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106,943</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(52,556)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19,641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126,584</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98,973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67,299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31,674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94,910</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-1215.6%</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350,576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252,007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98,569</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The following sets forth our reportable segment information for the periods indicated:</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Net Sales by Segment</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18"/>
                <w:szCs w:val="18"/>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2,088,808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1,742,898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345,910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396,392</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461,438</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(65,046)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2,485,200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2,204,336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280,864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tcPr>
          <w:p>
            <w:pPr>
              <w:spacing w:after="0"/>
              <w:rPr>
                <w:sz w:val="24"/>
                <w:szCs w:val="24"/>
                <w:color w:val="auto"/>
              </w:rPr>
            </w:pPr>
          </w:p>
        </w:tc>
        <w:tc>
          <w:tcPr>
            <w:tcW w:w="26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 by Segment</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18"/>
                <w:szCs w:val="18"/>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563,394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428,667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134,727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20,379</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25,448</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(5,069)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Adjusted EBITDA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583,773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454,115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129,658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product class information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Net Sales by Product Class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18"/>
                <w:szCs w:val="18"/>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products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1,556,501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1,143,723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412,778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 products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871,595</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(169,844)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2,485,200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2,204,336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280,864</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increase in Domestic segment sales for the year ended December 31, 2020 was primarily due to strong growth in shipments of home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standby generators and portable generators as elevated outage activity and nationwide stay-at-home orders heightened consumer awareness of power reliability concerns. Chore products sold directly to consumers were also strong during the current year as homeowners increased outdoor project activity. In addition, shipments of the PWRcell™ energy storage system had a strong impact on growth as we expanded our presence in the rapidly developing solar-plus-storage market. This broad-based residential products growth was partially offset by continued weakness in sales of C&amp;I mobile products due to the ongoing impacts from the COVID-19 pandemic, as well as lower shipments of C&amp;I products to national telecom customers as compared to a strong prior year comparison.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International segment sales for the year ended December 31, 2020 was primarily driven by a broad-based sharp drop in global demand caused by the COVID-19 pandemic and its impact on the C&amp;I power generation market in certain key regions of the world, which magnified the slower economic growth and geopolitical headwinds already being experienced prior to the pandemic. However, the year-over-year decline in the fourth quarter was at a notably lesser rate relative to recent quarters as certain regions are beginning to show signs of recovery.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contribution from non-annualized recent acquisitions for the year ended December 31, 2020 was $32.4 million.</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income attributable to Generac Holdings Inc. </w:t>
      </w:r>
      <w:r>
        <w:rPr>
          <w:rFonts w:ascii="Times New Roman" w:cs="Times New Roman" w:eastAsia="Times New Roman" w:hAnsi="Times New Roman"/>
          <w:sz w:val="18"/>
          <w:szCs w:val="18"/>
          <w:color w:val="auto"/>
        </w:rPr>
        <w:t>Net income attributable to Generac Holdings Inc. was $350.6 million as compared to $252.0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period. The current year net income includes $11.5 million of pre-tax charges taken in the second quarter of 2020 relating to business optimization, restructuring, and other costs to address the impact of the COVID-19 pandemic and the decline in oil prices on end markets for our products. The cost reduction actions taken include certain headcount reductions, non-cash asset write-downs, and other charges. The charges, which primarily relate to C&amp;I products, consist of $6.3 million classified within costs of goods sold and $5.2 million classified within operating expenses.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margin for the year ended December 31, 2020 was 38.5% compared to 36.2% for the year ended December 31, 2019.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increase in gross profit margin reflected a favorable sales mix towards significantly higher shipments of residential products, along with a lower mix of C&amp;I products. The current year period includes the impact of the aforementioned $6.3 million of charges classified within costs of goods sold.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$53.0 million, or 12.4%, as compared to the prior year. The current year period includes the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aforementioned $5.2 million of charges classified within operating expenses. In addition, the increase in operating expenses was primarily driven by higher variable expenses from the significant increase in sales volume, incremental spend related to clean energy products and the impact of acquisitions, higher employee costs, and additional intangible amortization. These increases were partially offset by a reduction in operating expenses as a result of the restructuring actions initiated in the second quarter of 2020 and an overall reduction in controllable operating expenses.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w:t>
      </w:r>
      <w:r>
        <w:rPr>
          <w:rFonts w:ascii="Times New Roman" w:cs="Times New Roman" w:eastAsia="Times New Roman" w:hAnsi="Times New Roman"/>
          <w:sz w:val="18"/>
          <w:szCs w:val="18"/>
          <w:color w:val="auto"/>
        </w:rPr>
        <w:t>The decrease in other expense, net was driven by a reduction in interest expense due to lower LIBOR rates and lower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in the current year, as well as a $10.9 million pre-tax settlement charge related to the termination of the Company’s domestic pension plan in the fourth quarter of 2019.</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effective income tax rates for the years ended December 31, 2020 and 2019 were 22.2% and 21.1%,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the effective tax rate is primarily due to a reduction in the prior year U.S. state income tax expense, which did not repeat in the current year, as well as higher earnings in the current year, which dilute the impact of discrete tax benefits.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is defined in, and there is a reconciliation of net income to Adjusted EBITDA attributable to the Company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"Non-GAAP Measures - Adjusted EBITDA" included below in Item 7 of this Annual Report on Form 10-K. Adjusted EBITDA margins for the Domestic segment for the year ended December 31, 2020 were 27.0% of net sales as compared to 24.6% of net sales for the year ended December 31, 2019. Adjusted EBITDA margin in the current year benefited from favorable sales mix and higher operating leverage from the significant revenue growth, partially offset by the aforementioned higher operating expense investments.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margins for the International segment, before deducting for non-controlling interests, for the year ended December 31, 2020 were 5.1% of net sales as compared to 5.5% of net sales for the year ended December 31, 2019. Decreased operating leverage on lower sales volumes was the primary contributor to the margin decline, partially offset by lower operating expenses as a result of the restructuring activities initiated in the second quarter of 2020.</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net income. </w:t>
      </w:r>
      <w:r>
        <w:rPr>
          <w:rFonts w:ascii="Times New Roman" w:cs="Times New Roman" w:eastAsia="Times New Roman" w:hAnsi="Times New Roman"/>
          <w:sz w:val="18"/>
          <w:szCs w:val="18"/>
          <w:color w:val="auto"/>
        </w:rPr>
        <w:t>Adjusted Net Income is defined in, and there is a reconciliation of net income to Adjusted Net Income attributable to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"Non-GAAP Measures - Adjusted Net Income" included below in Item 7 of this Annual Report on Form 10-K. Adjusted Net Income of $412.2 million for the year ended December 31, 2020 increased 29.7% from $317.8 million for the year ended December 31, 2019, due to the factors outlined above together with an increase in the cash income tax rate from 15.0% in 2019 to 17.9% in 2020.</w:t>
      </w:r>
    </w:p>
    <w:p>
      <w:pPr>
        <w:sectPr>
          <w:pgSz w:w="11900" w:h="16838" w:orient="portrait"/>
          <w:cols w:equalWidth="0" w:num="1">
            <w:col w:w="11240"/>
          </w:cols>
          <w:pgMar w:left="320" w:top="121" w:right="339" w:bottom="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Position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primary cash requirements include payment for our raw material and component supplies, salaries &amp; benefits, facility and lease costs, operating expenses, interest and principal payments on our debt and capital expenditures. We finance our operations primarily through cash flow generated from operations and, if necessary, borrowings under our ABL credit facility (ABL Facility).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credit agreements originally provided for a $1.2 billion term loan B credit facility (Term Loan) and include a $300.0 million uncommitted incremental term loan facility. The Term Loan currently matures on December 13, 2026 and bears interest at rates based upon either a base rate plus an applicable margin of 0.75% or adjusted LIBOR rate plus an applicable margin of 1.75%. The Term Loan does not require an Excess Cash Flow payment if our secured leverage ratio is maintained below 3.75 to 1.00 times. As of December 31, 2020, our secured leverage ratio was 1.12 to 1.00 times, and we were in compliance with all covenants of the Term Loan. There are no financial maintenance covenants on the Term Loan.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credit agreements also provide for the $300.0 million ABL Facility, which matures on June 12, 2023. As of December 31, 2020, there was no outstanding balance under the ABL Facility, leaving $299.6 million of availability, net of outstanding letters of credit. We were in compliance with all covenants of the ABL Facility as of December 31, 2020.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2020, we had $954.7 million of liquidity comprised of $655.1 million of cash and cash equivalents and $299.6 million available under our ABL Facility. Additionally, we have no maturities on our Term Loan until December 2026. We believe we have a strong liquidity position that allows us, notwithstanding unforeseen impacts of the current COVID-19 pandemic, to execute our strategic plan and provides the flexibility to continue to invest in future growth opportunities.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2018, our Board of Directors approved a $250.0 million stock repurchase program, which expired in October 2020. In September 2020, the Board of Directors approved another stock repurchase program, which commenced on October 27, 2020, and under which we may repurchase $250.0 million of common stock over 24 months from time to time, in amounts and at prices we deem appropriate, subject to market conditions and other considerations. During the year ended December 31, 2020, no repurchases were made. Since the inception of all stock repurchase programs starting in August 2015, we have repurchased 8,676,706 shares of our common stock for $305.5 million (an average repurchase price of $35.21 per share), all funded with cash on hand.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cash and cash equivalents, cash flow from operations, and availability under our ABL Facility and other short-term lines of credit provide us with sufficient capital to continue to grow our business in the future. We may use a portion of our cash flow to pay interest and principal on our outstanding debt, as well as repurchase shares of our common stock, impacting the amount available for working capital, capital expenditures and other general corporate purposes. As we continue to expand our business, we may require additional capital to fund working capital, capital expenditures or acquisitions.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2020 compared to year ended December 31, 2019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by category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0" w:type="dxa"/>
            <w:vAlign w:val="bottom"/>
          </w:tcPr>
          <w:p>
            <w:pPr>
              <w:spacing w:after="0"/>
              <w:rPr>
                <w:sz w:val="20"/>
                <w:szCs w:val="20"/>
                <w:color w:val="auto"/>
              </w:rPr>
            </w:pPr>
          </w:p>
        </w:tc>
        <w:tc>
          <w:tcPr>
            <w:tcW w:w="9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486,533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308,887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177,646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(124,095)</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(170,078)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45,983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(41,918)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net cash provided by operating activities was primarily driven by higher sales volumes and resulting higher operating earnings in the current year, as well as a significant working capital investment that was made in the prior year which did not repeat in the current year.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2020 primarily represented cash payments of $64.8 million related to the acquisition of businesses and $62.1 million for the purchase of property and equipment. Net cash used in investing activities for the year ended December 31, 2019 primarily consisted of cash payments of $112.0 million related to the acquisition of businesses and $60.8 million for the purchase of property and equipment.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2020 primarily consisted of $282.5 million of debt repayments ($277.7 million of short-term borrowings and $4.8 million of long-term borrowings), $14.9 million of taxes paid related to equity awards, and $4.0 million of contingent consideration for acquired businesses. These payments were partially offset by $257.9 million cash proceeds from borrowings ($257.6 million for short-term borrowings and $0.3 million for long-term borrowings) and $13.1 million of proceeds from the exercise of stock options.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2019 primarily consisted of $112.6 million of debt repayments ($53.1 million of long-term borrowings and $59.5 million of short-term borrowings), $6.4 million of taxes paid related to equity awards, and $5.5 million of contingent consideration for acquired businesses. These payments were partially offset by $75.0 million of cash proceeds from borrowings ($73.3 million for short-term borrowings and $1.7 million for long-term borrowings) and $9.4 million of proceeds from the exercise of stock options.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Facilities</w:t>
      </w:r>
    </w:p>
    <w:p>
      <w:pPr>
        <w:sectPr>
          <w:pgSz w:w="11900" w:h="16838" w:orient="portrait"/>
          <w:cols w:equalWidth="0" w:num="1">
            <w:col w:w="11240"/>
          </w:cols>
          <w:pgMar w:left="320" w:top="121" w:right="339" w:bottom="0" w:gutter="0" w:footer="0" w:header="0"/>
        </w:sectPr>
      </w:pPr>
    </w:p>
    <w:bookmarkStart w:id="24" w:name="page25"/>
    <w:bookmarkEnd w:id="24"/>
    <w:p>
      <w:pPr>
        <w:spacing w:after="0" w:line="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12, “Credit Agreements,” to the consolidated financial statements in Item 8 and the “Liquidity and Financial Position” section included in Item 7 of this Annual Report on Form 10-K for information on the senior secured credit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 Compliance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 Loan contains restrictions on the Company’s ability to pay distributions and dividends. Payments can be made to the Company or other parent companies for certain expenses such as operating expenses in the ordinary course, fees and expenses related to any debt or equity offering and to pay franchise or similar taxes. Dividends can be used to repurchase equity interests, subject to limitations in certain circumstances. Additionally, the Term Loan restricts the aggregate amount of dividends and distributions that can be paid and, in certain circumstances, requires pro forma compliance with certain fixed charge coverage ratios or gross leverage ratios, as applicable, in order to pay certain dividends and distributions. The Term Loan also contains other affirmative and negative covenants that, among other things, limit the incurrence of additional indebtedness, liens on property, sale and leaseback transactions, investments, loans and advances, mergers or consolidations, asset sales, acquisitions, transactions with affiliates, prepayments of certain other indebtedness and modifications of our organizational documents. The Term Loan does not contain any financial maintenance covenants.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contains customary events of default, including, among others, nonpayment of principal, interest or other amounts, failure to perform covenants, inaccuracy of representations or warranties in any material respect, cross-defaults with other material indebtedness, certain undischarged judgments, the occurrence of certain ERISA, bankruptcy or insolvency events, or the occurrence of a change in control (as defined in the Term Loan). A bankruptcy or insolvency event of default will cause the obligations under the Term Loan to automatically become immediately due and payable.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ABL Facility also contains covenants and events of default substantially similar to those in the Term Loan, as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expected payments for significant contractual obligations as of December 31, 2020, using the interest rates in effect as of that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Less than 1</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2 - 3 Years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4 - 5 Years</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After 5 Years</w:t>
            </w:r>
          </w:p>
        </w:tc>
        <w:tc>
          <w:tcPr>
            <w:tcW w:w="100" w:type="dxa"/>
            <w:vAlign w:val="bottom"/>
          </w:tcPr>
          <w:p>
            <w:pPr>
              <w:spacing w:after="0"/>
              <w:rPr>
                <w:sz w:val="20"/>
                <w:szCs w:val="20"/>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including current portion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833,990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830,061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 including current portion</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27,371</w:t>
            </w: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2,312</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3,939</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2,517</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18,603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long-term debt and finance lease obligations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111,035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16,553</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34,903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34,641</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24,938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71,706</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19,530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27,654</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12,811</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100" w:type="dxa"/>
            <w:vAlign w:val="bottom"/>
          </w:tcPr>
          <w:p>
            <w:pPr>
              <w:spacing w:after="0"/>
              <w:rPr>
                <w:sz w:val="18"/>
                <w:szCs w:val="18"/>
                <w:color w:val="auto"/>
              </w:rPr>
            </w:pPr>
          </w:p>
        </w:tc>
      </w:tr>
      <w:tr>
        <w:trPr>
          <w:trHeight w:val="249"/>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1,044,102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40,231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68,447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50,111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885,313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firstLine="8"/>
        <w:spacing w:after="0" w:line="282" w:lineRule="auto"/>
        <w:tabs>
          <w:tab w:leader="none" w:pos="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matures on December 13, 2026. The ABL Facility provides for a $300.0 million senior secured ABL revolving credit facility, which matures on June 12, 2023. There was no outstanding balance on the ABL Facility as of December 31,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require capital expenditures for facilities and related improvements, technology, research &amp; development, tooling, equipment, capacity expansion, IT systems &amp; infrastructure and upgrades. Capital expenditures were $62.1 million, $60.8 million, and $47.6 million for the years ended December 31, 2020, 2019 and 2018, respectively, and were funded through cash from operations.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increased demand for our products and in order to expand manufacturing and distribution capacity, we have entered into an agreement to purchase an approximate 420,000 square foot building in Trenton, South Carolina. The transaction funded in February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 arrangement with a finance company to provide floor plan financing for selected dealers. This arrangement provides liquidity for our dealers by financing dealer purchases of products with credit availability from the finance company. We receive payment from the finance company after shipment of product to the dealer, and our dealers are given a longer period of time to pay the finance company. If our dealers do not pay the finance company, we may be required to repurchase the applicable inventory held by the dealer. We do not indemnify the finance company for any credit losses they may incur.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dealer purchases financed under this arrangement accounted for approximately 12% and 11% of net sales for the years ended December 31, 2020 and 2019, respectively. The amount financed by dealers which remained outstanding was $55.6 million and $49.6 million as of December 31, 2020 and 2019,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preparing the financial statements in accordance with U.S. GAAP, management is required to make estimates and assumptions that have an impact on the asset, liability, revenue and expense amounts reported. These estimates can also affect our supplemental information disclosures, including information about contingencies, risk and financial condition. We believe, given current facts and circumstances, that our estimates and assumptions are reasonable, adhere to U.S. GAAP, and are consistently applied. Inherent in the nature of an estimate or assumption is the fact that actual results may differ from estimates and estimates may vary as new facts and circumstances arise. We make routine estimates and judgments in determining net realizable value of accounts receivable, inventories, property and equipment, prepaid expenses, product warranties and other reserves. Management believes our most critical accounting estimates and assumptions are in the following areas: goodwill and other indefinite-lived intangible asset impairment assessment; business combinations and purchase accounting; and income taxes.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Indefinite-Lived 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2, “Summary of Accounting Policies – Goodwill and Other Indefinite-Lived Intangible Assets,” to the consolidated financial statements in Item 8 of this Annual Report on Form 10-K for further information on the Company’s policy regarding the accounting for goodwill and other intangible</w:t>
      </w:r>
    </w:p>
    <w:p>
      <w:pPr>
        <w:sectPr>
          <w:pgSz w:w="11900" w:h="16887" w:orient="portrait"/>
          <w:cols w:equalWidth="0" w:num="1">
            <w:col w:w="11240"/>
          </w:cols>
          <w:pgMar w:left="320" w:top="121" w:right="339" w:bottom="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assets. The Company performed the required annual impairment tests for goodwill and other indefinite-lived intangible assets for the fiscal years 2020, 2019 and 2018, and found no impairment.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preparing a discounted cash flow analysis for purposes of our annual impairment test, we make a number of key estimates and assumptions. We estimate the future cash flows of the business based on historical and forecasted revenues and operating costs. This, in turn, involves further estimates, such as estimates of future growth rates and inflation rates. In addition, we apply a discount rate to the estimated future cash flows for the purpose of the valuation. This discount rate is based on the estimated weighted average cost of capital for the business and may change from year to year. Weighted average cost of capital includes certain assumptions such as market capital structures, market betas, risk-free rate of return and estimated costs of borrowing.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our October 31, 2020 impairment test calculation, the Latin America reporting unit and the Generac Mobile Products reporting unit each had an estimated fair value that exceeded its carrying value by approximately 10%.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value of the Latin America goodwill was $43.6 million. Key financial assumptions utilized to determine the fair value of the reporting unit include revenue growth levels that reflect the impact of the COVID-19 pandemic with an eventual return to normalized revenue growth patterns and profitability from recovering end markets, improving profit margins, a 3% terminal growth rate and an 11.7% discount rate. The reporting unit’s fair value would approximate its carrying value with a 70 basis point increase in the discount rate or a 75 basis point reduction in the sales continuous annual growth rate and terminal growth rate.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value of the Generac Mobile Products goodwill was $48.6 million. Key financial assumptions utilized to determine the fair value of the reporting unit include revenue growth levels that reflect the impact of the COVID-19 pandemic as well as the impact of a decline in oil prices on end markets with an eventual return to normalized revenue growth levels from recovering end markets, improving profit margins, a 3% terminal growth rate and a 14.6% discount rate. The reporting unit’s fair value would approximate its carrying value with a 100 basis point increase in the discount rate or a 100 basis point reduction in the sales continuous annual growth rate and terminal growth rate.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above, a considerable amount of management judgment and assumptions are required in performing the goodwill and indefinite-lived intangible asset impairment tests. While we believe our judgments and assumptions are reasonable, different assumptions could change the estimated fair values. A number of factors, many of which we have no ability to control, could cause actual results to differ from the estimates and assumptions we employed. These factors include:</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negative impact from the COVID-19 pandemic;</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global or regional economic downturn;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the demand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new and enhanced products and services in a timely manner;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action or assessment by a regulator;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efforts by our competitors to gain market share in our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integrate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unplanned changes in the use of assets or entity structure;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divestitures.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management's estimates of future operating results change or if there are changes to other assumptions due to these factors, the estimate of the fair values may change significantly. Such change could result in impairment charges in future periods, which could have a significant impact on our operating results and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and Purchase Accounting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and accordingly, the assets and liabilities of the acquired business are recorded at their respective fair values. The excess of the purchase price over the estimated fair value of assets and liabilities is recorded as goodwill. Assigning fair market values to the assets acquired and liabilities assumed at the date of an acquisition requires knowledge of current market values, the values of assets in use, and often requires the application of judgment regarding estimates and assumptions. While the ultimate responsibility resides with management, for material acquisitions we retain the services of certified valuation specialists to assist with assigning estimated values to certain acquired assets and assumed liabilities, including intangible assets and tangible long-lived assets. Acquired intangible assets, excluding goodwill, are valued using certain discounted cash flow methodologies based on future cash flows specific to the type of intangible asset purchased. This methodology incorporates various estimates and assumptions, the most significant being projected revenue growth rates, profit margins, forecasted cash flows, discount rates and terminal growth rates. Refer to Note 1, “Description of Business,” and Note 3, "Acquisitions," to the consolidated financial statements in Item 8 of this Annual Report on Form 10-K for further information on the Company’s business acquisitions.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Our estimate of income taxes payable, deferred income taxes and the effective tax rate is based on an analysis of many factors including interpretations of federal, state and international income tax laws; the difference between tax and financial reporting bases of assets and liabilities; estimates of amounts currently due or owed in various jurisdictions; and current accounting standards. We review and update our estimates on a quarterly basis as facts and circumstances change and actual results are known.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the deferred tax assets on our balance sheet, we consider whether it is more likely than not that some portion or all of the deferred tax assets will not be realized. The ultimate realization of deferred tax assets is dependent upon the generation of future taxable income during the years in which those temporary differences become deductible. We consider the taxable income in prior carryback years, scheduled reversal of deferred tax liabilities, projected future taxable income and tax planning strategies in making this assessment.</w:t>
      </w:r>
    </w:p>
    <w:p>
      <w:pPr>
        <w:sectPr>
          <w:pgSz w:w="11900" w:h="16838" w:orient="portrait"/>
          <w:cols w:equalWidth="0" w:num="1">
            <w:col w:w="11240"/>
          </w:cols>
          <w:pgMar w:left="320" w:top="121" w:right="339" w:bottom="0" w:gutter="0" w:footer="0" w:header="0"/>
        </w:sectPr>
      </w:pPr>
    </w:p>
    <w:bookmarkStart w:id="26" w:name="page27"/>
    <w:bookmarkEnd w:id="2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15, “Income Taxes,” to the consolidated financial statements in Item 8 of this Annual Report on Form 10-K for further information on the Company’s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information with respect to new accounting pronouncements and the impact of these pronouncements on our consolidated financial statements, refer to Note 2, “Summary of Accounting Policies - New Accounting Pronouncements,” to the consolidated financial statements in Item 8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computation of Adjusted EBITDA attributable to Generac Holdings Inc. is based on the definition of EBITDA contained in our credit agreement, as amended. To supplement our consolidated financial statements presented in accordance with U.S. GAAP, we provide the computation of Adjusted EBITDA attributable to the Company, taking into account certain charges and gains that were recognized during the periods presented.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view Adjusted EBITDA as a key measure of our performance. We present Adjusted EBITDA not only due to its importance for purposes of our credit agreements, but also because it assists us in comparing our performance across reporting periods on a consistent basis as it excludes items that we do not believe are indicative of our core operating performance. Our management uses Adjusted EBITDA:</w:t>
      </w:r>
    </w:p>
    <w:p>
      <w:pPr>
        <w:spacing w:after="0" w:line="176" w:lineRule="exact"/>
        <w:rPr>
          <w:sz w:val="20"/>
          <w:szCs w:val="20"/>
          <w:color w:val="auto"/>
        </w:rPr>
      </w:pPr>
    </w:p>
    <w:p>
      <w:pPr>
        <w:ind w:left="680" w:hanging="321"/>
        <w:spacing w:after="0" w:line="261"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planning purposes, including the preparation of our annual operating budget and developing and refining our internal projections for future periods;</w:t>
      </w: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allocate resources to enhance the financial performance of our business;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benchmark for the determination of the bonus component of compensation for our senior executives under our management incentive plan, as described further in our Proxy Statement;</w:t>
      </w:r>
    </w:p>
    <w:p>
      <w:pPr>
        <w:ind w:left="68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effectiveness of our business strategies and as a supplemental tool in evaluating our performance against our budget for each period; and</w:t>
      </w: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communications with our Board of Directors and investors concerning our financial performance.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Adjusted EBITDA is used by securities analysts, investors and other interested parties in the evaluation of the Company. Management believes the disclosure of Adjusted EBITDA offers an additional financial metric that, when coupled with results prepared in accordance with U.S. generally accepted accounting principles (U.S. GAAP) and the reconciliation to U.S. GAAP results, provides a more complete understanding of our results of operations and the factors and trends affecting our business. We believe Adjusted EBITDA is useful to investors for the following reasons:</w:t>
      </w:r>
    </w:p>
    <w:p>
      <w:pPr>
        <w:spacing w:after="0" w:line="180" w:lineRule="exact"/>
        <w:rPr>
          <w:sz w:val="20"/>
          <w:szCs w:val="20"/>
          <w:color w:val="auto"/>
        </w:rPr>
      </w:pPr>
    </w:p>
    <w:p>
      <w:pPr>
        <w:jc w:val="both"/>
        <w:ind w:left="660" w:hanging="328"/>
        <w:spacing w:after="0" w:line="257"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similar non-GAAP measures are widely used by investors to measure a company's operating performance without regard to items that can vary substantially from company to company depending upon financing and accounting methods, book values of assets, tax jurisdictions, capital structures and the methods by which assets were acquired;</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can use Adjusted EBITDA as a supplemental measure to evaluate the overall operating performance of our Company, including our ability to service our debt and other cash needs; and</w:t>
      </w:r>
    </w:p>
    <w:p>
      <w:pPr>
        <w:ind w:left="660" w:hanging="328"/>
        <w:spacing w:after="0" w:line="26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comparing our Adjusted EBITDA in different historical periods, our investors can evaluate our operating performance excluding the impact of items described below.</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adjustments included in the reconciliation table listed below are provided for under our Term Loan and ABL Facility, and also are presented to illustrate the operating performance of our business in a manner consistent with the presentation used by our management and Board of Directors. These adjustments eliminate the impact of a number of items that:</w:t>
      </w:r>
    </w:p>
    <w:p>
      <w:pPr>
        <w:spacing w:after="0" w:line="176" w:lineRule="exact"/>
        <w:rPr>
          <w:sz w:val="20"/>
          <w:szCs w:val="20"/>
          <w:color w:val="auto"/>
        </w:rPr>
      </w:pPr>
    </w:p>
    <w:p>
      <w:pPr>
        <w:ind w:left="660" w:right="2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consider indicative of our ongoing operating performance, such as non-cash write-downs and other charges, non-cash gains, write-offs relating to the retirement of debt, severance costs and other restructuring-related business optimization expenses;</w:t>
      </w: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to be akin to, or associated with, interest expense, such as administrative agent fees, revolving credit facility commitment fees and letter of credit fees; or</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non-cash in nature, such as share-based compensation expense.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explain in more detail in footnotes (a) through (g) below why we believe these adjustments are useful in calculating Adjusted EBITDA as a measure of our operating performance.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does not represent, and should not be a substitute for, net income or cash flows from operations as determined in accordance with U.S. GAAP. Adjusted EBITDA has limitations as an analytical tool, and you should not consider it in isolation, or as a substitute for analysis of our results as reported under U.S. GAAP. Some of the limitations are:</w:t>
      </w:r>
    </w:p>
    <w:p>
      <w:pPr>
        <w:spacing w:after="0" w:line="17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significant interest expense, or the cash requirements necessary to service interest or principal payments on our debt;</w:t>
      </w: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jc w:val="both"/>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of the adjustments that we use in calculating Adjusted EBITDA, such as non-cash write-downs and other charges, while not involving cash expense, do have a negative impact on the value of our assets as reflected in our consolidated balance sheet prepared in accordance with U.S. GAAP;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ectPr>
          <w:pgSz w:w="11900" w:h="16838" w:orient="portrait"/>
          <w:cols w:equalWidth="0" w:num="1">
            <w:col w:w="11240"/>
          </w:cols>
          <w:pgMar w:left="320" w:top="121" w:right="339"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as noted above, one of our uses of Adjusted EBITDA is as a benchmark for determining elements of compensation for our senior executives. At the same time, some or all of these senior executives have responsibility for monitoring our financial results, generally including the adjustments in calculating Adjusted EBITDA (subject ultimately to review by our Board of Directors in the context of the Board's review of our financial statements). While many of the adjustments (for example, transaction costs and credit facility fees), involve mathematical application of items reflected in our financial statements, others involve a degree of judgment and discretion. While we believe all of these adjustments are appropriate, and while the calculations are subject to review by our Board of Directors in the context of the Board's review of our financial statements, and certification by our Chief Financial Officer in a compliance certificate provided to the lenders under our Term Loan and ABL Facility, this discretion may be viewed as an additional limitation on the use of Adjusted EBITDA as an analytical tool.</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to Adjusted EBITDA attributable to Generac Holdings Inc.: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350,576</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252,007</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 (a)</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(3,358)</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347,218</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252,308</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32,991</w:t>
            </w:r>
          </w:p>
        </w:tc>
        <w:tc>
          <w:tcPr>
            <w:tcW w:w="4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41,544</w:t>
            </w:r>
          </w:p>
        </w:tc>
        <w:tc>
          <w:tcPr>
            <w:tcW w:w="4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40,956</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68,773</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60,767</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47,408</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98,973</w:t>
            </w:r>
          </w:p>
        </w:tc>
        <w:tc>
          <w:tcPr>
            <w:tcW w:w="4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67,299</w:t>
            </w:r>
          </w:p>
        </w:tc>
        <w:tc>
          <w:tcPr>
            <w:tcW w:w="4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69,856</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write-down and other adjustments (b)</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Non-cash share-based compensation expense (c)</w:t>
            </w:r>
          </w:p>
        </w:tc>
        <w:tc>
          <w:tcPr>
            <w:tcW w:w="3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20,882</w:t>
            </w:r>
          </w:p>
        </w:tc>
        <w:tc>
          <w:tcPr>
            <w:tcW w:w="4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16,694</w:t>
            </w:r>
          </w:p>
        </w:tc>
        <w:tc>
          <w:tcPr>
            <w:tcW w:w="4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14,563</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(d)</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926</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on pension settlement (e)</w:t>
            </w:r>
          </w:p>
        </w:tc>
        <w:tc>
          <w:tcPr>
            <w:tcW w:w="3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10,920</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and credit facility fees (f)</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2,151</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2,724</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Business optimization and other charges (g)</w:t>
            </w:r>
          </w:p>
        </w:tc>
        <w:tc>
          <w:tcPr>
            <w:tcW w:w="3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12,158</w:t>
            </w:r>
          </w:p>
        </w:tc>
        <w:tc>
          <w:tcPr>
            <w:tcW w:w="4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1,572</w:t>
            </w:r>
          </w:p>
        </w:tc>
        <w:tc>
          <w:tcPr>
            <w:tcW w:w="4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954</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583,773</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454,115</w:t>
            </w:r>
          </w:p>
        </w:tc>
        <w:tc>
          <w:tcPr>
            <w:tcW w:w="4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424,552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attributable to 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2,358</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4,965</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attributable to Generac Holdings Inc.</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581,415</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449,150</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noncontrolling interests’ share of expenses related to Pramac purchase accounting, including intangible amortization of $4.3 million, $4.2 million, and $4.6 million for the years ended December 31, 2020, 2019, and 2018, respectively.</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following non-cash adjustments: gains/losses on disposal of assets, unrealized mark-to-market adjustments on commodity contracts, transactional foreign currency gains/losses and certain purchase accounting related adjustments. We believe that adjusting net income for these non-cash items is useful for the following reasons:</w:t>
      </w:r>
    </w:p>
    <w:p>
      <w:pPr>
        <w:spacing w:after="0" w:line="17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gains/losses on disposals of assets result from the sale of assets that are no longer useful in our business and therefore represent gains or losses that are not from our core operations;</w:t>
      </w:r>
    </w:p>
    <w:p>
      <w:pPr>
        <w:jc w:val="both"/>
        <w:ind w:left="660" w:hanging="328"/>
        <w:spacing w:after="0" w:line="250"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adjustments for unrealized mark-to-market gains and losses on commodity contracts represent non-cash items to reflect changes in the fair value of forward contracts that have not been settled or terminated. We believe it is useful to adjust net income for these items because the charges do not represent a cash outlay in the period in which the charge is incurred, although Adjusted EBITDA must always be used together with our U.S. GAAP statements of comprehensive income and cash flows to capture the full effect of these contracts on our operating performance;</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accounting adjustments represent non-cash items to reflect fair value at the date of acquisition, and therefore do not reflect our ongoing operations</w:t>
      </w:r>
    </w:p>
    <w:p>
      <w:pPr>
        <w:spacing w:after="0" w:line="18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to account for stock options, restricted stock and other stock awards over their respective vesting period.</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non-cash write-off of original issue discount and deferred financing costs due to voluntary prepayments of Term Loan debt. Refer to Note 12, “Credit Agreements,” to the consolidated financial statements in Item 8 of this Annual Report on Form 10-K for further information on the losses on extinguishment of debt.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pre-tax settlement charges related to the termination of the Company’s domestic pension plan in the fourth quarter of 2019. Refer to Note 16, “Benefit Plans,” to the consolidated financial statements in Item 8 of this Annual Report on Form 10-K for further information regarding the Company’s pension plans.</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2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incurred directly in connection with any investment, as defined in our credit agreement, equity issuance, or debt issuance or refinancing, together with certain fees relating to our senior secured credit facilities, such as administrative agent fees and credit facility commitment fees under our Term Loan and ABL Facility, which we believe to be akin to, or associated with, interest expense and whose inclusion in Adjusted EBITDA is therefore similar to the inclusion of interest expense in that calculation.</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2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Typically, represents severance and non-recurring plant consolidation costs. For the year-ended December 31, 2020, represents severance, non-cash asset write-downs and other charges to address the impact of the COVID-19 pandemic and decline in oil prices on demand for C&amp;I products. These charges represent expenses that are nonrecurring and do not reflect our ongoing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ectPr>
          <w:pgSz w:w="11900" w:h="16838" w:orient="portrait"/>
          <w:cols w:equalWidth="0" w:num="1">
            <w:col w:w="11240"/>
          </w:cols>
          <w:pgMar w:left="320" w:top="121" w:right="339" w:bottom="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To further supplement our consolidated financial statements in accordance with U.S. GAAP, we provide the computation of Adjusted Net Income attributable to the Company, which is defined as net income before noncontrolling interest and provision for income taxes adjusted for the following items: cash income tax expense, amortization of intangible assets, amortization of deferred financing costs and original issue discount related to our debt, intangible impairment charges, certain transaction costs and other purchase accounting adjustments, losses on extinguishment of debt, business optimization expenses, certain other non-cash gains and losses, and adjusted net income attributable to noncontrolling interests, as set forth in the reconciliation table below.</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Adjusted Net Income is used by securities analysts, investors and other interested parties in the evaluation of our company’s operations. Management believes the disclosure of Adjusted Net Income offers an additional financial metric that, when used in conjunction with U.S. GAAP results and the reconciliation to U.S. GAAP results, provides a more complete understanding of our ongoing results of operations, and the factors and trends affecting our business.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adjustments included in the reconciliation table listed below are presented to illustrate the operating performance of our business in a manner consistent with the presentation used by investors and securities analysts. Similar to the Adjusted EBITDA reconciliation, these adjustments eliminate the impact of a number of items we do not consider indicative of our ongoing operating performance or cash flows, such as amortization costs, transaction costs and write-offs relating to the retirement of debt. We also make adjustments to present cash taxes paid as a result of our favorable tax attributes, causing our cash tax rate to be lower than our U.S GAAP tax rate.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 to Adjusted EBITDA, Adjusted Net Income does not represent, and should not be a substitute for, net income or cash flows from operations as determined in accordance with U.S. GAAP. Adjusted Net Income has limitations as an analytical tool, and you should not consider it in isolation, or as a substitute for analysis of our results as reported under U.S. GAAP. Some of the limitations are:</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does not reflect changes in, or cash requirements for, our working capital needs;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amortization is a non-cash charge, the assets being amortized may have to be replaced in the future, and Adjusted Net Income does not reflect any cash requirements for such replacements; and</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Net Income differently than we do, limiting its usefulness as a comparative measure.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to Adjusted Net Income attributable to Generac Holdings Inc.: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350,576</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252,007</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(3,358)</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347,218</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252,308</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98,973</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67,299</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446,191</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319,607</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311,076</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32,280</w:t>
            </w:r>
          </w:p>
        </w:tc>
        <w:tc>
          <w:tcPr>
            <w:tcW w:w="4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28,644</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finance costs and original issue discount</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2,598</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4,712</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926</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pension settlement</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10,920</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and other purchase accounting adjustments (a)</w:t>
            </w:r>
          </w:p>
        </w:tc>
        <w:tc>
          <w:tcPr>
            <w:tcW w:w="3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(1,328)</w:t>
            </w:r>
          </w:p>
        </w:tc>
        <w:tc>
          <w:tcPr>
            <w:tcW w:w="4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874</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optimization and other charges</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12,158</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1,572</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net income before provision for income taxes</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491,899</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367,255</w:t>
            </w:r>
          </w:p>
        </w:tc>
        <w:tc>
          <w:tcPr>
            <w:tcW w:w="4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342,799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income tax expense (b)</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(79,723)</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(47,945)</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(47,064)</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412,176</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319,310</w:t>
            </w:r>
          </w:p>
        </w:tc>
        <w:tc>
          <w:tcPr>
            <w:tcW w:w="4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295,735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1,488</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Generac Holdings Inc.</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412,208</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317,822</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incurred directly in connection with any investment, as defined in our credit agreement, equity issuance or debt issuance or refinancing, and certain purchase accounting adjustments.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2020, 2019, and 2018, the amount is based on a cash income tax rate of 17.9%, 15.0%, and 15.1%, respectively. Cash income tax expense is based on the projected taxable income and corresponding cash taxes payable for the full year after considering the effects of current and deferred income tax items, and is calculated by applying the derived cash tax rate to the period’s pretax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foreign currency exchange rates, commodity prices and interest rates. To reduce the risk from these changes, we use financial instruments from time to time. We do not hold or issue financial instruments for trading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foreign currency exchange risk as a result of transactions denominated in currencies other than the U.S. Dollar, as well as operating businesses in foreign countries. Periodically, we utilize foreign currency forward purchase and sales contracts to manage the volatility associated with certain foreign currency purchases and sales in the normal course of business. Contracts typically have maturities of twelve months or less. Realized gains and losses on transactions denominated in foreign currency are recorded as a component of cost of goods sold in the statements of comprehensive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forty-four foreign currency contracts outstanding as of December 31, 2020 (notional amount in thousands):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Currency</w:t>
      </w:r>
    </w:p>
    <w:p>
      <w:pPr>
        <w:sectPr>
          <w:pgSz w:w="11900" w:h="16838" w:orient="portrait"/>
          <w:cols w:equalWidth="0" w:num="1">
            <w:col w:w="11240"/>
          </w:cols>
          <w:pgMar w:left="320" w:top="121" w:right="339" w:bottom="0" w:gutter="0" w:footer="0" w:header="0"/>
        </w:sectPr>
      </w:pP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Denomination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9855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13335</wp:posOffset>
            </wp:positionV>
            <wp:extent cx="13716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Effective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13335</wp:posOffset>
            </wp:positionV>
            <wp:extent cx="6412230" cy="1257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2230" cy="125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Notional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5715</wp:posOffset>
            </wp:positionV>
            <wp:extent cx="10026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13335</wp:posOffset>
            </wp:positionV>
            <wp:extent cx="9855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ectPr>
          <w:pgSz w:w="11900" w:h="16838" w:orient="portrait"/>
          <w:cols w:equalWidth="0" w:num="5">
            <w:col w:w="1760" w:space="720"/>
            <w:col w:w="1580" w:space="720"/>
            <w:col w:w="1300" w:space="720"/>
            <w:col w:w="1340" w:space="580"/>
            <w:col w:w="2520"/>
          </w:cols>
          <w:pgMar w:left="320" w:top="121" w:right="339" w:bottom="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1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GBP</w:t>
            </w:r>
          </w:p>
        </w:tc>
        <w:tc>
          <w:tcPr>
            <w:tcW w:w="25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10/2/20 - 12/22/20</w:t>
            </w:r>
          </w:p>
        </w:tc>
        <w:tc>
          <w:tcPr>
            <w:tcW w:w="22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10/2/20 - 12/22/20</w:t>
            </w:r>
          </w:p>
        </w:tc>
        <w:tc>
          <w:tcPr>
            <w:tcW w:w="8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9,666</w:t>
            </w:r>
          </w:p>
        </w:tc>
        <w:tc>
          <w:tcPr>
            <w:tcW w:w="16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1/13/21 - 6/28/21</w:t>
            </w:r>
          </w:p>
        </w:tc>
      </w:tr>
      <w:tr>
        <w:trPr>
          <w:trHeight w:val="216"/>
        </w:trPr>
        <w:tc>
          <w:tcPr>
            <w:tcW w:w="1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USD</w:t>
            </w:r>
          </w:p>
        </w:tc>
        <w:tc>
          <w:tcPr>
            <w:tcW w:w="25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11/3/20 - 12/14/20</w:t>
            </w:r>
          </w:p>
        </w:tc>
        <w:tc>
          <w:tcPr>
            <w:tcW w:w="22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11/3/20 - 12/14/20</w:t>
            </w: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4,260</w:t>
            </w:r>
          </w:p>
        </w:tc>
        <w:tc>
          <w:tcPr>
            <w:tcW w:w="1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1/8/21 - 3/12/21</w:t>
            </w: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AUD</w:t>
            </w:r>
          </w:p>
        </w:tc>
        <w:tc>
          <w:tcPr>
            <w:tcW w:w="25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11/24/20 - 12/14/20</w:t>
            </w:r>
          </w:p>
        </w:tc>
        <w:tc>
          <w:tcPr>
            <w:tcW w:w="22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11/24/20 - 12/14/20</w:t>
            </w:r>
          </w:p>
        </w:tc>
        <w:tc>
          <w:tcPr>
            <w:tcW w:w="8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3,400</w:t>
            </w:r>
          </w:p>
        </w:tc>
        <w:tc>
          <w:tcPr>
            <w:tcW w:w="16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1/13/21 - 2/10/21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purchaser of commodities and components manufactured from commodities including steel, aluminum, copper and others. As a result, we are exposed to fluctuating market prices for those commodities. While such materials are typically available from numerous suppliers, commodity raw materials are subject to price fluctuations. We generally buy these commodities and components based upon market prices that are established with the supplier as part of the purchase process. Depending on the supplier, these market prices may reset on a periodic basis based on negotiated lags and calculations. To the extent that commodity prices increase and we do not have firm pricing from our suppliers, or our suppliers are not able to honor such prices, we may experience a decline in our gross margins to the extent we are not able to increase selling prices of our products or obtain manufacturing efficiencies or supply chain savings to offset increases in commodity costs.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Periodically, we engage in certain commodity risk management activities to mitigate the impact of potential price fluctuations on our financial results. These derivatives typically have maturities of less than eighteen months. As of December 31, 2020, we had the following commodity forward contract outstanding (notional amount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Hedged Item</w:t>
            </w:r>
          </w:p>
        </w:tc>
        <w:tc>
          <w:tcPr>
            <w:tcW w:w="34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 Date</w:t>
            </w:r>
          </w:p>
        </w:tc>
        <w:tc>
          <w:tcPr>
            <w:tcW w:w="34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Date</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34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Fixed Price</w:t>
            </w:r>
          </w:p>
        </w:tc>
        <w:tc>
          <w:tcPr>
            <w:tcW w:w="32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10"/>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Copper</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18, 2020</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2021</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661</w:t>
            </w: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$2.215 per LB</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30, 2021</w:t>
            </w:r>
          </w:p>
        </w:tc>
      </w:tr>
      <w:tr>
        <w:trPr>
          <w:trHeight w:val="432"/>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Rates</w:t>
            </w: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all of the outstanding debt under our Term Loan and ABL Facility was subject to floating interest rate risk. As of December 31, 2020, we had the following interest rate swap contracts outstanding (notional amount in thousands of US dollars):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Hedged Item</w:t>
            </w:r>
          </w:p>
        </w:tc>
        <w:tc>
          <w:tcPr>
            <w:tcW w:w="34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 Date</w:t>
            </w:r>
          </w:p>
        </w:tc>
        <w:tc>
          <w:tcPr>
            <w:tcW w:w="34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Date</w:t>
            </w:r>
          </w:p>
        </w:tc>
        <w:tc>
          <w:tcPr>
            <w:tcW w:w="360" w:type="dxa"/>
            <w:vAlign w:val="bottom"/>
          </w:tcPr>
          <w:p>
            <w:pPr>
              <w:spacing w:after="0"/>
              <w:rPr>
                <w:sz w:val="20"/>
                <w:szCs w:val="20"/>
                <w:color w:val="auto"/>
              </w:rPr>
            </w:pPr>
          </w:p>
        </w:tc>
        <w:tc>
          <w:tcPr>
            <w:tcW w:w="1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34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Fixed LIBOR Rate</w:t>
            </w:r>
          </w:p>
        </w:tc>
        <w:tc>
          <w:tcPr>
            <w:tcW w:w="32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09"/>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Interest Rate</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19, 2017</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1, 2020</w:t>
            </w:r>
          </w:p>
        </w:tc>
        <w:tc>
          <w:tcPr>
            <w:tcW w:w="2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125,000</w:t>
            </w:r>
          </w:p>
        </w:tc>
        <w:tc>
          <w:tcPr>
            <w:tcW w:w="19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2.1263%</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1, 2021</w:t>
            </w:r>
          </w:p>
        </w:tc>
      </w:tr>
      <w:tr>
        <w:trPr>
          <w:trHeight w:val="21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Interest Rate</w:t>
            </w:r>
          </w:p>
        </w:tc>
        <w:tc>
          <w:tcPr>
            <w:tcW w:w="3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19, 2017</w:t>
            </w:r>
          </w:p>
        </w:tc>
        <w:tc>
          <w:tcPr>
            <w:tcW w:w="3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2021</w:t>
            </w:r>
          </w:p>
        </w:tc>
        <w:tc>
          <w:tcPr>
            <w:tcW w:w="2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125,000</w:t>
            </w:r>
          </w:p>
        </w:tc>
        <w:tc>
          <w:tcPr>
            <w:tcW w:w="19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2.2733%</w:t>
            </w:r>
          </w:p>
        </w:tc>
        <w:tc>
          <w:tcPr>
            <w:tcW w:w="3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2022</w:t>
            </w:r>
          </w:p>
        </w:tc>
      </w:tr>
      <w:tr>
        <w:trPr>
          <w:trHeight w:val="21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Interest Rate</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19, 2017</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1, 2022</w:t>
            </w:r>
          </w:p>
        </w:tc>
        <w:tc>
          <w:tcPr>
            <w:tcW w:w="2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125,000</w:t>
            </w:r>
          </w:p>
        </w:tc>
        <w:tc>
          <w:tcPr>
            <w:tcW w:w="19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2.3673%</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31, 2023</w:t>
            </w:r>
          </w:p>
        </w:tc>
      </w:tr>
      <w:tr>
        <w:trPr>
          <w:trHeight w:val="21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Interest Rate</w:t>
            </w:r>
          </w:p>
        </w:tc>
        <w:tc>
          <w:tcPr>
            <w:tcW w:w="3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30, 2017</w:t>
            </w:r>
          </w:p>
        </w:tc>
        <w:tc>
          <w:tcPr>
            <w:tcW w:w="3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2020</w:t>
            </w:r>
          </w:p>
        </w:tc>
        <w:tc>
          <w:tcPr>
            <w:tcW w:w="2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125,000</w:t>
            </w:r>
          </w:p>
        </w:tc>
        <w:tc>
          <w:tcPr>
            <w:tcW w:w="19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2.2062%</w:t>
            </w:r>
          </w:p>
        </w:tc>
        <w:tc>
          <w:tcPr>
            <w:tcW w:w="3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2021</w:t>
            </w:r>
          </w:p>
        </w:tc>
      </w:tr>
      <w:tr>
        <w:trPr>
          <w:trHeight w:val="21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Interest Rate</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30, 2017</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1, 2021</w:t>
            </w:r>
          </w:p>
        </w:tc>
        <w:tc>
          <w:tcPr>
            <w:tcW w:w="2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125,000</w:t>
            </w:r>
          </w:p>
        </w:tc>
        <w:tc>
          <w:tcPr>
            <w:tcW w:w="19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2.3717%</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1, 2022</w:t>
            </w:r>
          </w:p>
        </w:tc>
      </w:tr>
      <w:tr>
        <w:trPr>
          <w:trHeight w:val="21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Interest Rate</w:t>
            </w:r>
          </w:p>
        </w:tc>
        <w:tc>
          <w:tcPr>
            <w:tcW w:w="3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30, 2017</w:t>
            </w:r>
          </w:p>
        </w:tc>
        <w:tc>
          <w:tcPr>
            <w:tcW w:w="3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2022</w:t>
            </w:r>
          </w:p>
        </w:tc>
        <w:tc>
          <w:tcPr>
            <w:tcW w:w="2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125,000</w:t>
            </w:r>
          </w:p>
        </w:tc>
        <w:tc>
          <w:tcPr>
            <w:tcW w:w="19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2.5000%</w:t>
            </w:r>
          </w:p>
        </w:tc>
        <w:tc>
          <w:tcPr>
            <w:tcW w:w="3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2023</w:t>
            </w:r>
          </w:p>
        </w:tc>
      </w:tr>
      <w:tr>
        <w:trPr>
          <w:trHeight w:val="21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Interest Rate</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9, 2017</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1, 2020</w:t>
            </w:r>
          </w:p>
        </w:tc>
        <w:tc>
          <w:tcPr>
            <w:tcW w:w="2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125,000</w:t>
            </w:r>
          </w:p>
        </w:tc>
        <w:tc>
          <w:tcPr>
            <w:tcW w:w="19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2.0740%</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1, 2021</w:t>
            </w:r>
          </w:p>
        </w:tc>
      </w:tr>
      <w:tr>
        <w:trPr>
          <w:trHeight w:val="21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Interest Rate</w:t>
            </w:r>
          </w:p>
        </w:tc>
        <w:tc>
          <w:tcPr>
            <w:tcW w:w="3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9, 2017</w:t>
            </w:r>
          </w:p>
        </w:tc>
        <w:tc>
          <w:tcPr>
            <w:tcW w:w="3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2021</w:t>
            </w:r>
          </w:p>
        </w:tc>
        <w:tc>
          <w:tcPr>
            <w:tcW w:w="2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125,000</w:t>
            </w:r>
          </w:p>
        </w:tc>
        <w:tc>
          <w:tcPr>
            <w:tcW w:w="19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2.2367%</w:t>
            </w:r>
          </w:p>
        </w:tc>
        <w:tc>
          <w:tcPr>
            <w:tcW w:w="3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2022</w:t>
            </w:r>
          </w:p>
        </w:tc>
      </w:tr>
      <w:tr>
        <w:trPr>
          <w:trHeight w:val="21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Interest Rate</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9, 2017</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1, 2022</w:t>
            </w:r>
          </w:p>
        </w:tc>
        <w:tc>
          <w:tcPr>
            <w:tcW w:w="2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125,000</w:t>
            </w:r>
          </w:p>
        </w:tc>
        <w:tc>
          <w:tcPr>
            <w:tcW w:w="19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2.2948%</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31, 2023</w:t>
            </w:r>
          </w:p>
        </w:tc>
      </w:tr>
      <w:tr>
        <w:trPr>
          <w:trHeight w:val="21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Interest Rate</w:t>
            </w:r>
          </w:p>
        </w:tc>
        <w:tc>
          <w:tcPr>
            <w:tcW w:w="3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30, 2017</w:t>
            </w:r>
          </w:p>
        </w:tc>
        <w:tc>
          <w:tcPr>
            <w:tcW w:w="3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2020</w:t>
            </w:r>
          </w:p>
        </w:tc>
        <w:tc>
          <w:tcPr>
            <w:tcW w:w="2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125,000</w:t>
            </w:r>
          </w:p>
        </w:tc>
        <w:tc>
          <w:tcPr>
            <w:tcW w:w="19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1.9737%</w:t>
            </w:r>
          </w:p>
        </w:tc>
        <w:tc>
          <w:tcPr>
            <w:tcW w:w="3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2021</w:t>
            </w:r>
          </w:p>
        </w:tc>
      </w:tr>
      <w:tr>
        <w:trPr>
          <w:trHeight w:val="21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Interest Rate</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August 30, 2017</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1, 2021</w:t>
            </w:r>
          </w:p>
        </w:tc>
        <w:tc>
          <w:tcPr>
            <w:tcW w:w="2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125,000</w:t>
            </w:r>
          </w:p>
        </w:tc>
        <w:tc>
          <w:tcPr>
            <w:tcW w:w="19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2.1508%</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1, 2022</w:t>
            </w:r>
          </w:p>
        </w:tc>
      </w:tr>
      <w:tr>
        <w:trPr>
          <w:trHeight w:val="21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Interest Rate</w:t>
            </w:r>
          </w:p>
        </w:tc>
        <w:tc>
          <w:tcPr>
            <w:tcW w:w="3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30, 2017</w:t>
            </w:r>
          </w:p>
        </w:tc>
        <w:tc>
          <w:tcPr>
            <w:tcW w:w="3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2022</w:t>
            </w:r>
          </w:p>
        </w:tc>
        <w:tc>
          <w:tcPr>
            <w:tcW w:w="2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125,000</w:t>
            </w:r>
          </w:p>
        </w:tc>
        <w:tc>
          <w:tcPr>
            <w:tcW w:w="19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2.2998%</w:t>
            </w:r>
          </w:p>
        </w:tc>
        <w:tc>
          <w:tcPr>
            <w:tcW w:w="3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2023</w:t>
            </w:r>
          </w:p>
        </w:tc>
      </w:tr>
      <w:tr>
        <w:trPr>
          <w:trHeight w:val="21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Interest Rate</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4, 2020</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31, 2023</w:t>
            </w:r>
          </w:p>
        </w:tc>
        <w:tc>
          <w:tcPr>
            <w:tcW w:w="2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200,000</w:t>
            </w:r>
          </w:p>
        </w:tc>
        <w:tc>
          <w:tcPr>
            <w:tcW w:w="19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0.9565%</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14, 2026</w:t>
            </w:r>
          </w:p>
        </w:tc>
      </w:tr>
      <w:tr>
        <w:trPr>
          <w:trHeight w:val="21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Interest Rate</w:t>
            </w:r>
          </w:p>
        </w:tc>
        <w:tc>
          <w:tcPr>
            <w:tcW w:w="3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2020</w:t>
            </w:r>
          </w:p>
        </w:tc>
        <w:tc>
          <w:tcPr>
            <w:tcW w:w="3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2023</w:t>
            </w:r>
          </w:p>
        </w:tc>
        <w:tc>
          <w:tcPr>
            <w:tcW w:w="2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100,000</w:t>
            </w:r>
          </w:p>
        </w:tc>
        <w:tc>
          <w:tcPr>
            <w:tcW w:w="19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0.9050%</w:t>
            </w:r>
          </w:p>
        </w:tc>
        <w:tc>
          <w:tcPr>
            <w:tcW w:w="3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14, 2026</w:t>
            </w:r>
          </w:p>
        </w:tc>
      </w:tr>
      <w:tr>
        <w:trPr>
          <w:trHeight w:val="21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Interest Rate</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6, 2020</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31, 2023</w:t>
            </w:r>
          </w:p>
        </w:tc>
        <w:tc>
          <w:tcPr>
            <w:tcW w:w="2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200,000</w:t>
            </w:r>
          </w:p>
        </w:tc>
        <w:tc>
          <w:tcPr>
            <w:tcW w:w="19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0.7770%</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14, 2026</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conjunction with the December 2019 amendment to our Term Loan, we also amended the interest swaps to remove the LIBOR floor, which resulted in minor reductions to our future dated swap rates. At December 31, 2020, the fair value of these interest rate swaps was a liability of $29.9 million. Even after giving effect to these swaps, we are exposed to risks due to changes in interest rates with respect to the portion of our Term Loan and ABL Facility that is not covered by the swaps. A hypothetical change in the LIBOR interest rate of 100 basis points would have changed annual cash interest expense by approximately $3.3 million (or, without the swaps in place, $8.3 million) in 2020.</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on the Company’s foreign currency and commodity forward contracts and interest rate swaps, including amounts charged to the statement of comprehensive income during 2020, 2019, and 2018, refer to Note 5, “Derivative Instruments and Hedging Activities,” and Note 6, “Accumulated Other Comprehensive Loss,” to our consolidated financial statements in Item 8 of this Annual Report on Form 10-K.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Generac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Waukesha, WI</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Generac Holdings Inc. and subsidiaries (the "Company") as of December 31, 2020 and 2019, the related consolidated statements of comprehensive income, stockholders'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83"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w:t>
      </w:r>
    </w:p>
    <w:p>
      <w:pPr>
        <w:sectPr>
          <w:pgSz w:w="11900" w:h="16838" w:orient="portrait"/>
          <w:cols w:equalWidth="0" w:num="1">
            <w:col w:w="11240"/>
          </w:cols>
          <w:pgMar w:left="320" w:top="140" w:right="339" w:bottom="0" w:gutter="0" w:footer="0" w:header="0"/>
        </w:sectPr>
      </w:pPr>
    </w:p>
    <w:bookmarkStart w:id="30" w:name="page31"/>
    <w:bookmarkEnd w:id="30"/>
    <w:p>
      <w:pPr>
        <w:ind w:right="80"/>
        <w:spacing w:after="0" w:line="282" w:lineRule="auto"/>
        <w:rPr>
          <w:sz w:val="20"/>
          <w:szCs w:val="20"/>
          <w:color w:val="auto"/>
        </w:rPr>
      </w:pPr>
      <w:r>
        <w:rPr>
          <w:rFonts w:ascii="Times New Roman" w:cs="Times New Roman" w:eastAsia="Times New Roman" w:hAnsi="Times New Roman"/>
          <w:sz w:val="18"/>
          <w:szCs w:val="18"/>
          <w:color w:val="auto"/>
        </w:rPr>
        <w:t>by the Committee of Sponsoring Organizations of the Treadway Commission and our report dated February 23, 2021, expressed an unqualified opinion on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227"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color w:val="auto"/>
        </w:rPr>
        <w:t xml:space="preserve">As discussed in Note 10 to the financial statements, effective January 1, 2019, the Company adopted FASB Accounting Standards Update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using the modified retrospective approach.</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 Refer to Note 9 to the financial statements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fair value of each reporting unit to its carrying value. The Company’s estimate for each reporting unit is based on the present value of estimated future cash flows attributable to the respective reporting unit. This requires management to make significant estimates and assumptions including estimates of future growth rates, inflation rates and discount rates based on the estimated weighted average cost of capital for the business. Changes in the assumptions could have a significant impact on the fair value, which could result in an impairment charge. The Company performed their annual impairment assessment of its reporting units as of October 31, 2020. In the October 31, 2020 impairment test calculation, the Latin America and Generac Mobile reporting units each had an estimated fair value that exceeded their carrying value by approximately 10%. Because the estimated fair value exceeded the carrying value for each, no impairment was recorded. The carrying value of goodwill for the Company’s Latin America and Generac Mobile reporting units as of the October 31, 2020 impairment assessment was $43.6 million and $48.6 million, respectively.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Key financial assumptions utilized to determine the fair value of the Latin America reporting unit include revenue growth levels that reflect the impact of the COVID-19 pandemic with an eventual return to normalized revenue growth patterns and profitability from recovering end markets, improving profit margins, a 3% terminal growth rate and a 11.7% discount rate. Key financial assumptions utilized to determine the fair value of the Generac Mobile reporting unit include revenue growth levels that reflect the impact of the COVID-19 pandemic as well as the impact of a decline in oil prices on end markets with an eventual return to normalized revenue growth levels from recovering end markets, improving profit margins, a 3% terminal growth rate and a 14.6% discount rate.</w:t>
      </w:r>
    </w:p>
    <w:p>
      <w:pPr>
        <w:spacing w:after="0" w:line="18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principle consideration for our determination that the evaluation of goodwill is a critical audit matter is that there is a high degree of auditor effort, judgment and subjectivity involved in designing and performing procedures to evaluate the reasonableness of management’s key financial assumptions utilized to determine the fair value of the Latin America and Generac Mobile reporting units.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forecasts of future revenue growth rates, improving profit margins, the terminal growth rate and the selection of the discount rate for the Latin America and Generac Mobile reporting units included the following, among others:</w:t>
      </w:r>
    </w:p>
    <w:p>
      <w:pPr>
        <w:spacing w:after="0" w:line="162" w:lineRule="exact"/>
        <w:rPr>
          <w:sz w:val="20"/>
          <w:szCs w:val="20"/>
          <w:color w:val="auto"/>
        </w:rPr>
      </w:pPr>
    </w:p>
    <w:p>
      <w:pPr>
        <w:ind w:left="660" w:right="2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design and effectiveness of the controls over management’s goodwill impairment evaluation, including those over the determination of the fair value of the reporting unit, such as controls related to management’s forecast and the selection of the discount rate.</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the Company’s discounted cash flow model and evaluated the valuation analysis for mathematical accuracy.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Utilized fair value specialists to evaluate whether the valuation techniques applied by management were appropriate.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management’s historical ability to accurately forecast the Company’s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management’s intent and/or ability to take specific actions included in the discounted cash flow model.</w:t>
      </w:r>
    </w:p>
    <w:p>
      <w:pPr>
        <w:spacing w:after="0" w:line="9"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reasonableness of management’s forecasts by comparing the forecasts to (1) historical results, (2) internal communications to the Board of Directors, and (3) forecasted information included in industry reports.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calculated a discount rate and compared it to the rate utilized by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ectPr>
          <w:pgSz w:w="11900" w:h="16838" w:orient="portrait"/>
          <w:cols w:equalWidth="0" w:num="1">
            <w:col w:w="11220"/>
          </w:cols>
          <w:pgMar w:left="320" w:top="121" w:right="359" w:bottom="0" w:gutter="0" w:footer="0" w:header="0"/>
        </w:sectPr>
      </w:pPr>
    </w:p>
    <w:bookmarkStart w:id="31" w:name="page32"/>
    <w:bookmarkEnd w:id="31"/>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Generac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Waukesha, Wisconsin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Generac Holdings Inc. and subsidiaries (the “Company”)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February 23, 2021, expressed an unqualified opinion on those financial statements.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excluded West Coast Energy Systems LLC, which was acquired in July 2020, Mean Green Products, LLC, which was acquired in September 2020, and Enbala Power Networks Inc., which was acquired in October 2020, and whose financial statements constitute 4.7% and 2.6% of net and total assets, respectively, 0.6% of net sales, and (0.3)% of net income of the consolidated financial statements of the Company as of and for the year ended December 31, 2020. Accordingly, our audit did not include the internal control over financial reporting at West Coast Energy Systems LLC, Mean Green Products, LLC and Enbala Power Networks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Generac Holdings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Consolidated Balance Sheets</w:t>
      </w: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(U.S. Dollars in Thousands, Except Share and Per Share Data)</w:t>
      </w:r>
    </w:p>
    <w:p>
      <w:pPr>
        <w:spacing w:after="0" w:line="201"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19685</wp:posOffset>
            </wp:positionV>
            <wp:extent cx="1988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11" w:lineRule="exact"/>
        <w:rPr>
          <w:sz w:val="20"/>
          <w:szCs w:val="20"/>
          <w:color w:val="auto"/>
        </w:rPr>
      </w:pPr>
    </w:p>
    <w:p>
      <w:pPr>
        <w:ind w:left="856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2020</w:t>
      </w:r>
      <w:r>
        <w:rPr>
          <w:sz w:val="20"/>
          <w:szCs w:val="20"/>
          <w:color w:val="auto"/>
        </w:rPr>
        <w:tab/>
      </w:r>
      <w:r>
        <w:rPr>
          <w:rFonts w:ascii="Times New Roman" w:cs="Times New Roman" w:eastAsia="Times New Roman" w:hAnsi="Times New Roman"/>
          <w:sz w:val="18"/>
          <w:szCs w:val="18"/>
          <w:b w:val="1"/>
          <w:bCs w:val="1"/>
          <w:color w:val="auto"/>
        </w:rPr>
        <w:t>2019</w:t>
      </w:r>
    </w:p>
    <w:p>
      <w:pPr>
        <w:sectPr>
          <w:pgSz w:w="11900" w:h="16882" w:orient="portrait"/>
          <w:cols w:equalWidth="0" w:num="1">
            <w:col w:w="11200"/>
          </w:cols>
          <w:pgMar w:left="320" w:top="121" w:right="37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655,128</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322,883</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less allowance for credit losses of $12,001 and $6,968 at December 31, 2020 and</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2019, respectively</w:t>
            </w: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319,538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522,024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1,669,733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1,195,829</w:t>
            </w:r>
          </w:p>
        </w:tc>
      </w:tr>
      <w:tr>
        <w:trPr>
          <w:trHeight w:val="216"/>
        </w:trPr>
        <w:tc>
          <w:tcPr>
            <w:tcW w:w="8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316,976</w:t>
            </w:r>
          </w:p>
        </w:tc>
      </w:tr>
      <w:tr>
        <w:trPr>
          <w:trHeight w:val="216"/>
        </w:trPr>
        <w:tc>
          <w:tcPr>
            <w:tcW w:w="8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lists, net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55,552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 net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85,546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Tradenames, net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148,377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805,284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and other assets</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3,235,423</w:t>
            </w:r>
          </w:p>
        </w:tc>
        <w:tc>
          <w:tcPr>
            <w:tcW w:w="12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2,665,669</w:t>
            </w:r>
          </w:p>
        </w:tc>
      </w:tr>
      <w:tr>
        <w:trPr>
          <w:trHeight w:val="20"/>
        </w:trPr>
        <w:tc>
          <w:tcPr>
            <w:tcW w:w="8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39,282</w:t>
            </w:r>
          </w:p>
        </w:tc>
        <w:tc>
          <w:tcPr>
            <w:tcW w:w="12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58,714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261,977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wages and employee benefits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41,361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132,629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borrowings and finance lease obligations</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497,064</w:t>
            </w:r>
          </w:p>
        </w:tc>
      </w:tr>
      <w:tr>
        <w:trPr>
          <w:trHeight w:val="216"/>
        </w:trPr>
        <w:tc>
          <w:tcPr>
            <w:tcW w:w="8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 and finance lease obligations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837,767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96,328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and other long-term liabilities</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179,955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1,779,012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1,571,591</w:t>
            </w:r>
          </w:p>
        </w:tc>
      </w:tr>
      <w:tr>
        <w:trPr>
          <w:trHeight w:val="216"/>
        </w:trPr>
        <w:tc>
          <w:tcPr>
            <w:tcW w:w="8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61,227</w:t>
            </w:r>
          </w:p>
        </w:tc>
      </w:tr>
      <w:tr>
        <w:trPr>
          <w:trHeight w:val="216"/>
        </w:trPr>
        <w:tc>
          <w:tcPr>
            <w:tcW w:w="8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500,000,000 shares authorized, 72,024,329 and 71,667,726 shares issued</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at December 31, 2020 and 2019, respectively</w:t>
            </w: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498,866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9,173,731 and 9,103,013 shares at December 31, 2020 and 2019, respectively</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(332,164)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(324,551)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Excess purchase price over predecessor basis</w:t>
            </w: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(202,116)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(202,116)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1,084,383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(34,254)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(24,917)</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attributable to Generac Holdings Inc.</w:t>
            </w: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1,390,293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1,032,382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1,390,204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3,235,423</w:t>
            </w:r>
          </w:p>
        </w:tc>
        <w:tc>
          <w:tcPr>
            <w:tcW w:w="12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2,665,669</w:t>
            </w:r>
          </w:p>
        </w:tc>
      </w:tr>
      <w:tr>
        <w:trPr>
          <w:trHeight w:val="20"/>
        </w:trPr>
        <w:tc>
          <w:tcPr>
            <w:tcW w:w="8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Generac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i w:val="1"/>
          <w:iCs w:val="1"/>
          <w:color w:val="auto"/>
        </w:rPr>
        <w:t>(U.S. Dollars 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4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2,485,200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2,204,336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2,023,464</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1,527,546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1,406,584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1,298,424</w:t>
            </w:r>
          </w:p>
        </w:tc>
      </w:tr>
      <w:tr>
        <w:trPr>
          <w:trHeight w:val="20"/>
        </w:trPr>
        <w:tc>
          <w:tcPr>
            <w:tcW w:w="4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957,654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797,752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725,040</w:t>
            </w:r>
          </w:p>
        </w:tc>
      </w:tr>
      <w:tr>
        <w:trPr>
          <w:trHeight w:val="216"/>
        </w:trPr>
        <w:tc>
          <w:tcPr>
            <w:tcW w:w="4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service</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246,373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217,683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191,887</w:t>
            </w: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80,251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50,019</w:t>
            </w: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119,644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103,841</w:t>
            </w: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32,280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22,112</w:t>
            </w:r>
          </w:p>
        </w:tc>
      </w:tr>
      <w:tr>
        <w:trPr>
          <w:trHeight w:val="20"/>
        </w:trPr>
        <w:tc>
          <w:tcPr>
            <w:tcW w:w="424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478,548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425,589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367,859</w:t>
            </w:r>
          </w:p>
        </w:tc>
      </w:tr>
      <w:tr>
        <w:trPr>
          <w:trHeight w:val="20"/>
        </w:trPr>
        <w:tc>
          <w:tcPr>
            <w:tcW w:w="4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479,106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372,163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bookmarkStart w:id="33" w:name="page34"/>
    <w:bookmarkEnd w:id="3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(32,991)</w:t>
            </w:r>
          </w:p>
        </w:tc>
        <w:tc>
          <w:tcPr>
            <w:tcW w:w="3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(41,544)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(40,956)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2,182</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1,893</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(1,332)</w:t>
            </w: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pension settlement</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(2,106)</w:t>
            </w:r>
          </w:p>
        </w:tc>
        <w:tc>
          <w:tcPr>
            <w:tcW w:w="3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(5,710)</w:t>
            </w:r>
          </w:p>
        </w:tc>
      </w:tr>
      <w:tr>
        <w:trPr>
          <w:trHeight w:val="20"/>
        </w:trPr>
        <w:tc>
          <w:tcPr>
            <w:tcW w:w="5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(32,915)</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(52,556)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(46,105)</w:t>
            </w:r>
          </w:p>
        </w:tc>
      </w:tr>
      <w:tr>
        <w:trPr>
          <w:trHeight w:val="209"/>
        </w:trPr>
        <w:tc>
          <w:tcPr>
            <w:tcW w:w="5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446,191</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319,607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311,076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98,973</w:t>
            </w:r>
          </w:p>
        </w:tc>
        <w:tc>
          <w:tcPr>
            <w:tcW w:w="3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67,299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69,856</w:t>
            </w:r>
          </w:p>
        </w:tc>
      </w:tr>
      <w:tr>
        <w:trPr>
          <w:trHeight w:val="20"/>
        </w:trPr>
        <w:tc>
          <w:tcPr>
            <w:tcW w:w="5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347,218</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252,308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241,220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(3,358)</w:t>
            </w:r>
          </w:p>
        </w:tc>
        <w:tc>
          <w:tcPr>
            <w:tcW w:w="3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2,963</w:t>
            </w:r>
          </w:p>
        </w:tc>
      </w:tr>
      <w:tr>
        <w:trPr>
          <w:trHeight w:val="20"/>
        </w:trPr>
        <w:tc>
          <w:tcPr>
            <w:tcW w:w="5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350,576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252,007</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238,257</w:t>
            </w:r>
          </w:p>
        </w:tc>
      </w:tr>
      <w:tr>
        <w:trPr>
          <w:trHeight w:val="197"/>
        </w:trPr>
        <w:tc>
          <w:tcPr>
            <w:tcW w:w="59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4,948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2,210</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gain (loss) on derivatives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(14,285)</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(13,855)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liability adjustment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10,541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r>
        <w:trPr>
          <w:trHeight w:val="20"/>
        </w:trPr>
        <w:tc>
          <w:tcPr>
            <w:tcW w:w="5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(9,337)</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(2,615)</w:t>
            </w:r>
          </w:p>
        </w:tc>
      </w:tr>
      <w:tr>
        <w:trPr>
          <w:trHeight w:val="20"/>
        </w:trPr>
        <w:tc>
          <w:tcPr>
            <w:tcW w:w="59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337,881</w:t>
            </w:r>
          </w:p>
        </w:tc>
        <w:tc>
          <w:tcPr>
            <w:tcW w:w="3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251,204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238,605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(364)</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1,647</w:t>
            </w:r>
          </w:p>
        </w:tc>
      </w:tr>
      <w:tr>
        <w:trPr>
          <w:trHeight w:val="20"/>
        </w:trPr>
        <w:tc>
          <w:tcPr>
            <w:tcW w:w="59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Generac Holdings Inc.</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338,245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251,839</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236,958</w:t>
            </w:r>
          </w:p>
        </w:tc>
      </w:tr>
      <w:tr>
        <w:trPr>
          <w:trHeight w:val="20"/>
        </w:trPr>
        <w:tc>
          <w:tcPr>
            <w:tcW w:w="5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 per common share - basic:</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4.09</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62,280,889</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61,926,986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61,662,031</w:t>
            </w:r>
          </w:p>
        </w:tc>
      </w:tr>
      <w:tr>
        <w:trPr>
          <w:trHeight w:val="216"/>
        </w:trPr>
        <w:tc>
          <w:tcPr>
            <w:tcW w:w="5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 per common share - diluted:</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63,737,734</w:t>
            </w:r>
          </w:p>
        </w:tc>
        <w:tc>
          <w:tcPr>
            <w:tcW w:w="3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62,865,446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62,233,225</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Generac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Statements of Stockholders' Equity</w:t>
      </w:r>
    </w:p>
    <w:p>
      <w:pPr>
        <w:jc w:val="center"/>
        <w:spacing w:after="0"/>
        <w:rPr>
          <w:sz w:val="20"/>
          <w:szCs w:val="20"/>
          <w:color w:val="auto"/>
        </w:rPr>
      </w:pPr>
      <w:r>
        <w:rPr>
          <w:rFonts w:ascii="Times New Roman" w:cs="Times New Roman" w:eastAsia="Times New Roman" w:hAnsi="Times New Roman"/>
          <w:sz w:val="18"/>
          <w:szCs w:val="18"/>
          <w:i w:val="1"/>
          <w:iCs w:val="1"/>
          <w:color w:val="auto"/>
        </w:rPr>
        <w:t>(U.S. Dollars in Thousands, Except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Generac Holdings Inc.</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Excess</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4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gridSpan w:val="2"/>
            <w:vMerge w:val="continue"/>
          </w:tcPr>
          <w:p>
            <w:pPr>
              <w:spacing w:after="0"/>
              <w:rPr>
                <w:sz w:val="14"/>
                <w:szCs w:val="14"/>
                <w:color w:val="auto"/>
              </w:rPr>
            </w:pPr>
          </w:p>
        </w:tc>
        <w:tc>
          <w:tcPr>
            <w:tcW w:w="15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4"/>
                <w:szCs w:val="14"/>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Over</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560" w:type="dxa"/>
            <w:vAlign w:val="bottom"/>
            <w:gridSpan w:val="3"/>
            <w:vMerge w:val="continue"/>
          </w:tcPr>
          <w:p>
            <w:pPr>
              <w:spacing w:after="0"/>
              <w:rPr>
                <w:sz w:val="13"/>
                <w:szCs w:val="13"/>
                <w:color w:val="auto"/>
              </w:rPr>
            </w:pPr>
          </w:p>
        </w:tc>
        <w:tc>
          <w:tcPr>
            <w:tcW w:w="9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820" w:type="dxa"/>
            <w:vAlign w:val="bottom"/>
            <w:gridSpan w:val="2"/>
          </w:tcPr>
          <w:p>
            <w:pPr>
              <w:jc w:val="right"/>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1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8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7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Basis</w:t>
            </w:r>
          </w:p>
        </w:tc>
        <w:tc>
          <w:tcPr>
            <w:tcW w:w="820" w:type="dxa"/>
            <w:vAlign w:val="bottom"/>
            <w:tcBorders>
              <w:bottom w:val="single" w:sz="8" w:color="auto"/>
            </w:tcBorders>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70,820,173</w:t>
            </w: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708</w:t>
            </w: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459,816</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(8,448,874)</w:t>
            </w: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(294,005)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(202,116)</w:t>
            </w:r>
          </w:p>
        </w:tc>
        <w:tc>
          <w:tcPr>
            <w:tcW w:w="2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610,836</w:t>
            </w:r>
          </w:p>
        </w:tc>
        <w:tc>
          <w:tcPr>
            <w:tcW w:w="2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(21,198)</w:t>
            </w:r>
          </w:p>
        </w:tc>
        <w:tc>
          <w:tcPr>
            <w:tcW w:w="2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554,041</w:t>
            </w:r>
          </w:p>
        </w:tc>
        <w:tc>
          <w:tcPr>
            <w:tcW w:w="2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279</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554,320</w:t>
            </w:r>
          </w:p>
        </w:tc>
        <w:tc>
          <w:tcPr>
            <w:tcW w:w="0" w:type="dxa"/>
            <w:vAlign w:val="bottom"/>
          </w:tcPr>
          <w:p>
            <w:pPr>
              <w:spacing w:after="0"/>
              <w:rPr>
                <w:sz w:val="1"/>
                <w:szCs w:val="1"/>
                <w:color w:val="auto"/>
              </w:rPr>
            </w:pPr>
          </w:p>
        </w:tc>
      </w:tr>
      <w:tr>
        <w:trPr>
          <w:trHeight w:val="173"/>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2017</w:t>
            </w:r>
          </w:p>
        </w:tc>
        <w:tc>
          <w:tcPr>
            <w:tcW w:w="78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Unrealized gain on</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interest rate swaps, net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2,924</w:t>
            </w:r>
          </w:p>
        </w:tc>
        <w:tc>
          <w:tcPr>
            <w:tcW w:w="20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2,924</w:t>
            </w:r>
          </w:p>
        </w:tc>
        <w:tc>
          <w:tcPr>
            <w:tcW w:w="200" w:type="dxa"/>
            <w:vAlign w:val="bottom"/>
          </w:tcPr>
          <w:p>
            <w:pPr>
              <w:spacing w:after="0"/>
              <w:rPr>
                <w:sz w:val="12"/>
                <w:szCs w:val="1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2,924</w:t>
            </w:r>
          </w:p>
        </w:tc>
        <w:tc>
          <w:tcPr>
            <w:tcW w:w="0" w:type="dxa"/>
            <w:vAlign w:val="bottom"/>
          </w:tcPr>
          <w:p>
            <w:pPr>
              <w:spacing w:after="0"/>
              <w:rPr>
                <w:sz w:val="1"/>
                <w:szCs w:val="1"/>
                <w:color w:val="auto"/>
              </w:rPr>
            </w:pPr>
          </w:p>
        </w:tc>
      </w:tr>
      <w:tr>
        <w:trPr>
          <w:trHeight w:val="171"/>
        </w:trPr>
        <w:tc>
          <w:tcPr>
            <w:tcW w:w="1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of tax of $1,027</w:t>
            </w: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(5,976)</w:t>
            </w:r>
          </w:p>
        </w:tc>
        <w:tc>
          <w:tcPr>
            <w:tcW w:w="2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(5,976)</w:t>
            </w:r>
          </w:p>
        </w:tc>
        <w:tc>
          <w:tcPr>
            <w:tcW w:w="2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(5,978)</w:t>
            </w:r>
          </w:p>
        </w:tc>
        <w:tc>
          <w:tcPr>
            <w:tcW w:w="0" w:type="dxa"/>
            <w:vAlign w:val="bottom"/>
          </w:tcPr>
          <w:p>
            <w:pPr>
              <w:spacing w:after="0"/>
              <w:rPr>
                <w:sz w:val="1"/>
                <w:szCs w:val="1"/>
                <w:color w:val="auto"/>
              </w:rPr>
            </w:pPr>
          </w:p>
        </w:tc>
      </w:tr>
      <w:tr>
        <w:trPr>
          <w:trHeight w:val="171"/>
        </w:trPr>
        <w:tc>
          <w:tcPr>
            <w:tcW w:w="1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translation adjustment</w:t>
            </w:r>
          </w:p>
        </w:tc>
        <w:tc>
          <w:tcPr>
            <w:tcW w:w="7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issued</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under equity incentive</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plans, net of shares</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withheld for employee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366,245</w:t>
            </w:r>
          </w:p>
        </w:tc>
        <w:tc>
          <w:tcPr>
            <w:tcW w:w="260" w:type="dxa"/>
            <w:vAlign w:val="bottom"/>
          </w:tcPr>
          <w:p>
            <w:pPr>
              <w:spacing w:after="0"/>
              <w:rPr>
                <w:sz w:val="12"/>
                <w:szCs w:val="12"/>
                <w:color w:val="auto"/>
              </w:rPr>
            </w:pP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1,737</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1,741</w:t>
            </w:r>
          </w:p>
        </w:tc>
        <w:tc>
          <w:tcPr>
            <w:tcW w:w="200" w:type="dxa"/>
            <w:vAlign w:val="bottom"/>
          </w:tcPr>
          <w:p>
            <w:pPr>
              <w:spacing w:after="0"/>
              <w:rPr>
                <w:sz w:val="12"/>
                <w:szCs w:val="1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1,741</w:t>
            </w:r>
          </w:p>
        </w:tc>
        <w:tc>
          <w:tcPr>
            <w:tcW w:w="0" w:type="dxa"/>
            <w:vAlign w:val="bottom"/>
          </w:tcPr>
          <w:p>
            <w:pPr>
              <w:spacing w:after="0"/>
              <w:rPr>
                <w:sz w:val="1"/>
                <w:szCs w:val="1"/>
                <w:color w:val="auto"/>
              </w:rPr>
            </w:pPr>
          </w:p>
        </w:tc>
      </w:tr>
      <w:tr>
        <w:trPr>
          <w:trHeight w:val="171"/>
        </w:trPr>
        <w:tc>
          <w:tcPr>
            <w:tcW w:w="1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 and strike price</w:t>
            </w: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Net share settlement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(38,186)</w:t>
            </w: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(1,812)</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(1,812)</w:t>
            </w:r>
          </w:p>
        </w:tc>
        <w:tc>
          <w:tcPr>
            <w:tcW w:w="2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(1,812)</w:t>
            </w:r>
          </w:p>
        </w:tc>
        <w:tc>
          <w:tcPr>
            <w:tcW w:w="0" w:type="dxa"/>
            <w:vAlign w:val="bottom"/>
          </w:tcPr>
          <w:p>
            <w:pPr>
              <w:spacing w:after="0"/>
              <w:rPr>
                <w:sz w:val="1"/>
                <w:szCs w:val="1"/>
                <w:color w:val="auto"/>
              </w:rPr>
            </w:pPr>
          </w:p>
        </w:tc>
      </w:tr>
      <w:tr>
        <w:trPr>
          <w:trHeight w:val="171"/>
        </w:trPr>
        <w:tc>
          <w:tcPr>
            <w:tcW w:w="1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restricted stock awards</w:t>
            </w:r>
          </w:p>
        </w:tc>
        <w:tc>
          <w:tcPr>
            <w:tcW w:w="7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repurchases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(560,000)</w:t>
            </w: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(25,656)</w:t>
            </w:r>
          </w:p>
        </w:tc>
        <w:tc>
          <w:tcPr>
            <w:tcW w:w="14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(25,656)</w:t>
            </w:r>
          </w:p>
        </w:tc>
        <w:tc>
          <w:tcPr>
            <w:tcW w:w="20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(25,656)</w:t>
            </w:r>
          </w:p>
        </w:tc>
        <w:tc>
          <w:tcPr>
            <w:tcW w:w="0" w:type="dxa"/>
            <w:vAlign w:val="bottom"/>
          </w:tcPr>
          <w:p>
            <w:pPr>
              <w:spacing w:after="0"/>
              <w:rPr>
                <w:sz w:val="1"/>
                <w:szCs w:val="1"/>
                <w:color w:val="auto"/>
              </w:rPr>
            </w:pPr>
          </w:p>
        </w:tc>
      </w:tr>
      <w:tr>
        <w:trPr>
          <w:trHeight w:val="126"/>
        </w:trPr>
        <w:tc>
          <w:tcPr>
            <w:tcW w:w="17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Cash dividends paid to</w:t>
            </w: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71"/>
        </w:trPr>
        <w:tc>
          <w:tcPr>
            <w:tcW w:w="1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of subsidiary</w:t>
            </w:r>
          </w:p>
        </w:tc>
        <w:tc>
          <w:tcPr>
            <w:tcW w:w="7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Share-based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14,563</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14,563</w:t>
            </w:r>
          </w:p>
        </w:tc>
        <w:tc>
          <w:tcPr>
            <w:tcW w:w="200" w:type="dxa"/>
            <w:vAlign w:val="bottom"/>
          </w:tcPr>
          <w:p>
            <w:pPr>
              <w:spacing w:after="0"/>
              <w:rPr>
                <w:sz w:val="10"/>
                <w:szCs w:val="10"/>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14,563</w:t>
            </w:r>
          </w:p>
        </w:tc>
        <w:tc>
          <w:tcPr>
            <w:tcW w:w="0" w:type="dxa"/>
            <w:vAlign w:val="bottom"/>
          </w:tcPr>
          <w:p>
            <w:pPr>
              <w:spacing w:after="0"/>
              <w:rPr>
                <w:sz w:val="1"/>
                <w:szCs w:val="1"/>
                <w:color w:val="auto"/>
              </w:rPr>
            </w:pPr>
          </w:p>
        </w:tc>
      </w:tr>
      <w:tr>
        <w:trPr>
          <w:trHeight w:val="171"/>
        </w:trPr>
        <w:tc>
          <w:tcPr>
            <w:tcW w:w="1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compensation</w:t>
            </w: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Pension liability</w:t>
            </w: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adjustment, net of tax</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437</w:t>
            </w:r>
          </w:p>
        </w:tc>
        <w:tc>
          <w:tcPr>
            <w:tcW w:w="2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437</w:t>
            </w: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437</w:t>
            </w:r>
          </w:p>
        </w:tc>
        <w:tc>
          <w:tcPr>
            <w:tcW w:w="0" w:type="dxa"/>
            <w:vAlign w:val="bottom"/>
          </w:tcPr>
          <w:p>
            <w:pPr>
              <w:spacing w:after="0"/>
              <w:rPr>
                <w:sz w:val="1"/>
                <w:szCs w:val="1"/>
                <w:color w:val="auto"/>
              </w:rPr>
            </w:pPr>
          </w:p>
        </w:tc>
      </w:tr>
      <w:tr>
        <w:trPr>
          <w:trHeight w:val="171"/>
        </w:trPr>
        <w:tc>
          <w:tcPr>
            <w:tcW w:w="1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of $154</w:t>
            </w:r>
          </w:p>
        </w:tc>
        <w:tc>
          <w:tcPr>
            <w:tcW w:w="7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Redemption value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(17,970)</w:t>
            </w:r>
          </w:p>
        </w:tc>
        <w:tc>
          <w:tcPr>
            <w:tcW w:w="240" w:type="dxa"/>
            <w:vAlign w:val="bottom"/>
          </w:tcPr>
          <w:p>
            <w:pPr>
              <w:spacing w:after="0"/>
              <w:rPr>
                <w:sz w:val="10"/>
                <w:szCs w:val="10"/>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(17,970)</w:t>
            </w:r>
          </w:p>
        </w:tc>
        <w:tc>
          <w:tcPr>
            <w:tcW w:w="200" w:type="dxa"/>
            <w:vAlign w:val="bottom"/>
          </w:tcPr>
          <w:p>
            <w:pPr>
              <w:spacing w:after="0"/>
              <w:rPr>
                <w:sz w:val="10"/>
                <w:szCs w:val="10"/>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(17,970)</w:t>
            </w:r>
          </w:p>
        </w:tc>
        <w:tc>
          <w:tcPr>
            <w:tcW w:w="0" w:type="dxa"/>
            <w:vAlign w:val="bottom"/>
          </w:tcPr>
          <w:p>
            <w:pPr>
              <w:spacing w:after="0"/>
              <w:rPr>
                <w:sz w:val="1"/>
                <w:szCs w:val="1"/>
                <w:color w:val="auto"/>
              </w:rPr>
            </w:pPr>
          </w:p>
        </w:tc>
      </w:tr>
      <w:tr>
        <w:trPr>
          <w:trHeight w:val="171"/>
        </w:trPr>
        <w:tc>
          <w:tcPr>
            <w:tcW w:w="1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adjustment</w:t>
            </w: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238,257</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238,257</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749</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239,006</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71,186,418</w:t>
            </w: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712</w:t>
            </w: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476,116</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(9,047,060)</w:t>
            </w: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(321,473)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(202,116)</w:t>
            </w:r>
          </w:p>
        </w:tc>
        <w:tc>
          <w:tcPr>
            <w:tcW w:w="2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831,123</w:t>
            </w:r>
          </w:p>
        </w:tc>
        <w:tc>
          <w:tcPr>
            <w:tcW w:w="2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(23,813)</w:t>
            </w:r>
          </w:p>
        </w:tc>
        <w:tc>
          <w:tcPr>
            <w:tcW w:w="2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760,549</w:t>
            </w:r>
          </w:p>
        </w:tc>
        <w:tc>
          <w:tcPr>
            <w:tcW w:w="2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712</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761,261</w:t>
            </w:r>
          </w:p>
        </w:tc>
        <w:tc>
          <w:tcPr>
            <w:tcW w:w="0" w:type="dxa"/>
            <w:vAlign w:val="bottom"/>
          </w:tcPr>
          <w:p>
            <w:pPr>
              <w:spacing w:after="0"/>
              <w:rPr>
                <w:sz w:val="1"/>
                <w:szCs w:val="1"/>
                <w:color w:val="auto"/>
              </w:rPr>
            </w:pPr>
          </w:p>
        </w:tc>
      </w:tr>
      <w:tr>
        <w:trPr>
          <w:trHeight w:val="173"/>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Change in noncontrolling</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80" w:type="dxa"/>
            <w:vAlign w:val="bottom"/>
          </w:tcPr>
          <w:p>
            <w:pPr>
              <w:spacing w:after="0"/>
              <w:rPr>
                <w:sz w:val="10"/>
                <w:szCs w:val="10"/>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71"/>
        </w:trPr>
        <w:tc>
          <w:tcPr>
            <w:tcW w:w="1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share</w:t>
            </w: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Unrealized loss on</w:t>
            </w: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interest rate swaps, net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(13,855)</w:t>
            </w:r>
          </w:p>
        </w:tc>
        <w:tc>
          <w:tcPr>
            <w:tcW w:w="2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(13,855)</w:t>
            </w: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(13,855)</w:t>
            </w:r>
          </w:p>
        </w:tc>
        <w:tc>
          <w:tcPr>
            <w:tcW w:w="0" w:type="dxa"/>
            <w:vAlign w:val="bottom"/>
          </w:tcPr>
          <w:p>
            <w:pPr>
              <w:spacing w:after="0"/>
              <w:rPr>
                <w:sz w:val="1"/>
                <w:szCs w:val="1"/>
                <w:color w:val="auto"/>
              </w:rPr>
            </w:pPr>
          </w:p>
        </w:tc>
      </w:tr>
      <w:tr>
        <w:trPr>
          <w:trHeight w:val="171"/>
        </w:trPr>
        <w:tc>
          <w:tcPr>
            <w:tcW w:w="1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of tax of ($4,877)</w:t>
            </w:r>
          </w:p>
        </w:tc>
        <w:tc>
          <w:tcPr>
            <w:tcW w:w="7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2,210</w:t>
            </w:r>
          </w:p>
        </w:tc>
        <w:tc>
          <w:tcPr>
            <w:tcW w:w="2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2,210</w:t>
            </w:r>
          </w:p>
        </w:tc>
        <w:tc>
          <w:tcPr>
            <w:tcW w:w="2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2,180</w:t>
            </w:r>
          </w:p>
        </w:tc>
        <w:tc>
          <w:tcPr>
            <w:tcW w:w="0" w:type="dxa"/>
            <w:vAlign w:val="bottom"/>
          </w:tcPr>
          <w:p>
            <w:pPr>
              <w:spacing w:after="0"/>
              <w:rPr>
                <w:sz w:val="1"/>
                <w:szCs w:val="1"/>
                <w:color w:val="auto"/>
              </w:rPr>
            </w:pPr>
          </w:p>
        </w:tc>
      </w:tr>
      <w:tr>
        <w:trPr>
          <w:trHeight w:val="171"/>
        </w:trPr>
        <w:tc>
          <w:tcPr>
            <w:tcW w:w="1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translation adjustment</w:t>
            </w: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issued</w:t>
            </w: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under equity incentive</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plans, net of shares</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withheld for employee</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481,308</w:t>
            </w:r>
          </w:p>
        </w:tc>
        <w:tc>
          <w:tcPr>
            <w:tcW w:w="26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6,056</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6,061</w:t>
            </w: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6,061</w:t>
            </w:r>
          </w:p>
        </w:tc>
        <w:tc>
          <w:tcPr>
            <w:tcW w:w="0" w:type="dxa"/>
            <w:vAlign w:val="bottom"/>
          </w:tcPr>
          <w:p>
            <w:pPr>
              <w:spacing w:after="0"/>
              <w:rPr>
                <w:sz w:val="1"/>
                <w:szCs w:val="1"/>
                <w:color w:val="auto"/>
              </w:rPr>
            </w:pPr>
          </w:p>
        </w:tc>
      </w:tr>
      <w:tr>
        <w:trPr>
          <w:trHeight w:val="171"/>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taxes and strike price</w:t>
            </w:r>
          </w:p>
        </w:tc>
        <w:tc>
          <w:tcPr>
            <w:tcW w:w="7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Net share settlement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(55,953)</w:t>
            </w: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(3,078)</w:t>
            </w:r>
          </w:p>
        </w:tc>
        <w:tc>
          <w:tcPr>
            <w:tcW w:w="140" w:type="dxa"/>
            <w:vAlign w:val="bottom"/>
          </w:tcPr>
          <w:p>
            <w:pPr>
              <w:spacing w:after="0"/>
              <w:rPr>
                <w:sz w:val="10"/>
                <w:szCs w:val="10"/>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(3,078)</w:t>
            </w:r>
          </w:p>
        </w:tc>
        <w:tc>
          <w:tcPr>
            <w:tcW w:w="200" w:type="dxa"/>
            <w:vAlign w:val="bottom"/>
          </w:tcPr>
          <w:p>
            <w:pPr>
              <w:spacing w:after="0"/>
              <w:rPr>
                <w:sz w:val="10"/>
                <w:szCs w:val="10"/>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(3,078)</w:t>
            </w:r>
          </w:p>
        </w:tc>
        <w:tc>
          <w:tcPr>
            <w:tcW w:w="0" w:type="dxa"/>
            <w:vAlign w:val="bottom"/>
          </w:tcPr>
          <w:p>
            <w:pPr>
              <w:spacing w:after="0"/>
              <w:rPr>
                <w:sz w:val="1"/>
                <w:szCs w:val="1"/>
                <w:color w:val="auto"/>
              </w:rPr>
            </w:pPr>
          </w:p>
        </w:tc>
      </w:tr>
      <w:tr>
        <w:trPr>
          <w:trHeight w:val="171"/>
        </w:trPr>
        <w:tc>
          <w:tcPr>
            <w:tcW w:w="1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restricted stock awards</w:t>
            </w: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72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4"/>
                <w:szCs w:val="14"/>
                <w:color w:val="auto"/>
              </w:rPr>
              <w:t>Cash dividends paid to</w:t>
            </w:r>
          </w:p>
        </w:tc>
        <w:tc>
          <w:tcPr>
            <w:tcW w:w="7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8"/>
              <w:spacing w:after="0" w:line="144"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4"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8"/>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(285)</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bl>
    <w:p>
      <w:pPr>
        <w:sectPr>
          <w:pgSz w:w="11900" w:h="16900" w:orient="portrait"/>
          <w:cols w:equalWidth="0" w:num="1">
            <w:col w:w="11240"/>
          </w:cols>
          <w:pgMar w:left="320" w:top="140" w:right="339" w:bottom="0" w:gutter="0" w:footer="0" w:header="0"/>
        </w:sectPr>
      </w:pPr>
    </w:p>
    <w:bookmarkStart w:id="34" w:name="page35"/>
    <w:bookmarkEnd w:id="3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noncontrolling interest</w:t>
            </w: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tcBorders>
              <w:lef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of subsidiary</w:t>
            </w: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8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Share-based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16,694</w:t>
            </w:r>
          </w:p>
        </w:tc>
        <w:tc>
          <w:tcPr>
            <w:tcW w:w="960" w:type="dxa"/>
            <w:vAlign w:val="bottom"/>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16,694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16,694</w:t>
            </w:r>
          </w:p>
        </w:tc>
        <w:tc>
          <w:tcPr>
            <w:tcW w:w="0" w:type="dxa"/>
            <w:vAlign w:val="bottom"/>
          </w:tcPr>
          <w:p>
            <w:pPr>
              <w:spacing w:after="0"/>
              <w:rPr>
                <w:sz w:val="1"/>
                <w:szCs w:val="1"/>
                <w:color w:val="auto"/>
              </w:rPr>
            </w:pPr>
          </w:p>
        </w:tc>
      </w:tr>
      <w:tr>
        <w:trPr>
          <w:trHeight w:val="171"/>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compensation</w:t>
            </w:r>
          </w:p>
        </w:tc>
        <w:tc>
          <w:tcPr>
            <w:tcW w:w="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8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Pension liability</w:t>
            </w: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tcBorders>
              <w:lef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adjustment and</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600" w:type="dxa"/>
            <w:vAlign w:val="bottom"/>
            <w:tcBorders>
              <w:left w:val="single" w:sz="8" w:color="CCEEFF"/>
            </w:tcBorders>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10,541</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10,541</w:t>
            </w:r>
          </w:p>
        </w:tc>
        <w:tc>
          <w:tcPr>
            <w:tcW w:w="0" w:type="dxa"/>
            <w:vAlign w:val="bottom"/>
          </w:tcPr>
          <w:p>
            <w:pPr>
              <w:spacing w:after="0"/>
              <w:rPr>
                <w:sz w:val="1"/>
                <w:szCs w:val="1"/>
                <w:color w:val="auto"/>
              </w:rPr>
            </w:pPr>
          </w:p>
        </w:tc>
      </w:tr>
      <w:tr>
        <w:trPr>
          <w:trHeight w:val="171"/>
        </w:trPr>
        <w:tc>
          <w:tcPr>
            <w:tcW w:w="1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settlement, net of tax</w:t>
            </w:r>
          </w:p>
        </w:tc>
        <w:tc>
          <w:tcPr>
            <w:tcW w:w="72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0" w:type="dxa"/>
            <w:vAlign w:val="bottom"/>
            <w:tcBorders>
              <w:left w:val="single" w:sz="8" w:color="CCEEFF"/>
            </w:tcBorders>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8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Redemption value</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171"/>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adjustment</w:t>
            </w:r>
          </w:p>
        </w:tc>
        <w:tc>
          <w:tcPr>
            <w:tcW w:w="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252,007</w:t>
            </w:r>
          </w:p>
        </w:tc>
        <w:tc>
          <w:tcPr>
            <w:tcW w:w="580" w:type="dxa"/>
            <w:vAlign w:val="bottom"/>
            <w:shd w:val="clear" w:color="auto" w:fill="CCEEFF"/>
          </w:tcPr>
          <w:p>
            <w:pPr>
              <w:spacing w:after="0"/>
              <w:rPr>
                <w:sz w:val="12"/>
                <w:szCs w:val="12"/>
                <w:color w:val="auto"/>
              </w:rPr>
            </w:pPr>
          </w:p>
        </w:tc>
        <w:tc>
          <w:tcPr>
            <w:tcW w:w="240" w:type="dxa"/>
            <w:vAlign w:val="bottom"/>
            <w:tcBorders>
              <w:lef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252,007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7"/>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252,233</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8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71,667,726</w:t>
            </w:r>
          </w:p>
        </w:tc>
        <w:tc>
          <w:tcPr>
            <w:tcW w:w="3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2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498,866</w:t>
            </w:r>
          </w:p>
        </w:tc>
        <w:tc>
          <w:tcPr>
            <w:tcW w:w="96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(9,103,013)</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(324,551)</w:t>
            </w:r>
          </w:p>
        </w:tc>
        <w:tc>
          <w:tcPr>
            <w:tcW w:w="32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(202,116)</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$ 1,084,383</w:t>
            </w:r>
          </w:p>
        </w:tc>
        <w:tc>
          <w:tcPr>
            <w:tcW w:w="580" w:type="dxa"/>
            <w:vAlign w:val="bottom"/>
            <w:vMerge w:val="restart"/>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(24,917)</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1,032,382</w:t>
            </w:r>
          </w:p>
        </w:tc>
        <w:tc>
          <w:tcPr>
            <w:tcW w:w="2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469</w:t>
            </w: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$ 1,032,851</w:t>
            </w:r>
          </w:p>
        </w:tc>
        <w:tc>
          <w:tcPr>
            <w:tcW w:w="0" w:type="dxa"/>
            <w:vAlign w:val="bottom"/>
          </w:tcPr>
          <w:p>
            <w:pPr>
              <w:spacing w:after="0"/>
              <w:rPr>
                <w:sz w:val="1"/>
                <w:szCs w:val="1"/>
                <w:color w:val="auto"/>
              </w:rPr>
            </w:pPr>
          </w:p>
        </w:tc>
      </w:tr>
      <w:tr>
        <w:trPr>
          <w:trHeight w:val="173"/>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600" w:type="dxa"/>
            <w:vAlign w:val="bottom"/>
            <w:tcBorders>
              <w:left w:val="single" w:sz="8" w:color="CCEEFF"/>
            </w:tcBorders>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8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Accounting standard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vMerge w:val="restart"/>
          </w:tcPr>
          <w:p>
            <w:pPr>
              <w:jc w:val="right"/>
              <w:ind w:right="451"/>
              <w:spacing w:after="0"/>
              <w:rPr>
                <w:sz w:val="20"/>
                <w:szCs w:val="20"/>
                <w:color w:val="auto"/>
              </w:rPr>
            </w:pPr>
            <w:r>
              <w:rPr>
                <w:rFonts w:ascii="Times New Roman" w:cs="Times New Roman" w:eastAsia="Times New Roman" w:hAnsi="Times New Roman"/>
                <w:sz w:val="14"/>
                <w:szCs w:val="14"/>
                <w:color w:val="auto"/>
              </w:rPr>
              <w:t>(1,147)</w:t>
            </w:r>
          </w:p>
        </w:tc>
        <w:tc>
          <w:tcPr>
            <w:tcW w:w="240" w:type="dxa"/>
            <w:vAlign w:val="bottom"/>
          </w:tcPr>
          <w:p>
            <w:pPr>
              <w:spacing w:after="0"/>
              <w:rPr>
                <w:sz w:val="10"/>
                <w:szCs w:val="10"/>
                <w:color w:val="auto"/>
              </w:rPr>
            </w:pPr>
          </w:p>
        </w:tc>
        <w:tc>
          <w:tcPr>
            <w:tcW w:w="3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(1,147)</w:t>
            </w:r>
          </w:p>
        </w:tc>
        <w:tc>
          <w:tcPr>
            <w:tcW w:w="0" w:type="dxa"/>
            <w:vAlign w:val="bottom"/>
          </w:tcPr>
          <w:p>
            <w:pPr>
              <w:spacing w:after="0"/>
              <w:rPr>
                <w:sz w:val="1"/>
                <w:szCs w:val="1"/>
                <w:color w:val="auto"/>
              </w:rPr>
            </w:pPr>
          </w:p>
        </w:tc>
      </w:tr>
      <w:tr>
        <w:trPr>
          <w:trHeight w:val="171"/>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adoption impact</w:t>
            </w:r>
          </w:p>
        </w:tc>
        <w:tc>
          <w:tcPr>
            <w:tcW w:w="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8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Unrealized loss on</w:t>
            </w: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tcBorders>
              <w:lef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rate swaps, net of</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60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(14,285)</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(14,285)</w:t>
            </w:r>
          </w:p>
        </w:tc>
        <w:tc>
          <w:tcPr>
            <w:tcW w:w="0" w:type="dxa"/>
            <w:vAlign w:val="bottom"/>
          </w:tcPr>
          <w:p>
            <w:pPr>
              <w:spacing w:after="0"/>
              <w:rPr>
                <w:sz w:val="1"/>
                <w:szCs w:val="1"/>
                <w:color w:val="auto"/>
              </w:rPr>
            </w:pPr>
          </w:p>
        </w:tc>
      </w:tr>
      <w:tr>
        <w:trPr>
          <w:trHeight w:val="171"/>
        </w:trPr>
        <w:tc>
          <w:tcPr>
            <w:tcW w:w="1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of ($4,826)</w:t>
            </w:r>
          </w:p>
        </w:tc>
        <w:tc>
          <w:tcPr>
            <w:tcW w:w="72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0" w:type="dxa"/>
            <w:vAlign w:val="bottom"/>
            <w:tcBorders>
              <w:left w:val="single" w:sz="8" w:color="CCEEFF"/>
            </w:tcBorders>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8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0"/>
                <w:szCs w:val="10"/>
                <w:color w:val="auto"/>
              </w:rPr>
            </w:pPr>
          </w:p>
        </w:tc>
        <w:tc>
          <w:tcPr>
            <w:tcW w:w="6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4,948</w:t>
            </w: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4,948</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4,919</w:t>
            </w:r>
          </w:p>
        </w:tc>
        <w:tc>
          <w:tcPr>
            <w:tcW w:w="0" w:type="dxa"/>
            <w:vAlign w:val="bottom"/>
          </w:tcPr>
          <w:p>
            <w:pPr>
              <w:spacing w:after="0"/>
              <w:rPr>
                <w:sz w:val="1"/>
                <w:szCs w:val="1"/>
                <w:color w:val="auto"/>
              </w:rPr>
            </w:pPr>
          </w:p>
        </w:tc>
      </w:tr>
      <w:tr>
        <w:trPr>
          <w:trHeight w:val="171"/>
        </w:trPr>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translation adjustment</w:t>
            </w:r>
          </w:p>
        </w:tc>
        <w:tc>
          <w:tcPr>
            <w:tcW w:w="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8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issued</w:t>
            </w: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tcBorders>
              <w:lef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under equity incentive</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tcBorders>
              <w:lef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plans, net of shares</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tcBorders>
              <w:lef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withheld for employee</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356,603</w:t>
            </w:r>
          </w:p>
        </w:tc>
        <w:tc>
          <w:tcPr>
            <w:tcW w:w="3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96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240" w:type="dxa"/>
            <w:vAlign w:val="bottom"/>
            <w:tcBorders>
              <w:left w:val="single" w:sz="8" w:color="CCEEFF"/>
            </w:tcBorders>
            <w:shd w:val="clear" w:color="auto" w:fill="CCEEFF"/>
          </w:tcPr>
          <w:p>
            <w:pPr>
              <w:spacing w:after="0"/>
              <w:rPr>
                <w:sz w:val="12"/>
                <w:szCs w:val="12"/>
                <w:color w:val="auto"/>
              </w:rPr>
            </w:pPr>
          </w:p>
        </w:tc>
        <w:tc>
          <w:tcPr>
            <w:tcW w:w="3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5,797</w:t>
            </w:r>
          </w:p>
        </w:tc>
        <w:tc>
          <w:tcPr>
            <w:tcW w:w="0" w:type="dxa"/>
            <w:vAlign w:val="bottom"/>
          </w:tcPr>
          <w:p>
            <w:pPr>
              <w:spacing w:after="0"/>
              <w:rPr>
                <w:sz w:val="1"/>
                <w:szCs w:val="1"/>
                <w:color w:val="auto"/>
              </w:rPr>
            </w:pPr>
          </w:p>
        </w:tc>
      </w:tr>
      <w:tr>
        <w:trPr>
          <w:trHeight w:val="171"/>
        </w:trPr>
        <w:tc>
          <w:tcPr>
            <w:tcW w:w="1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taxes and strike price</w:t>
            </w:r>
          </w:p>
        </w:tc>
        <w:tc>
          <w:tcPr>
            <w:tcW w:w="72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8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Net share settlement of</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(70,718)</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(7,613)</w:t>
            </w:r>
          </w:p>
        </w:tc>
        <w:tc>
          <w:tcPr>
            <w:tcW w:w="32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(7,613)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(7,613)</w:t>
            </w:r>
          </w:p>
        </w:tc>
        <w:tc>
          <w:tcPr>
            <w:tcW w:w="0" w:type="dxa"/>
            <w:vAlign w:val="bottom"/>
          </w:tcPr>
          <w:p>
            <w:pPr>
              <w:spacing w:after="0"/>
              <w:rPr>
                <w:sz w:val="1"/>
                <w:szCs w:val="1"/>
                <w:color w:val="auto"/>
              </w:rPr>
            </w:pPr>
          </w:p>
        </w:tc>
      </w:tr>
      <w:tr>
        <w:trPr>
          <w:trHeight w:val="171"/>
        </w:trPr>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restricted stock awards</w:t>
            </w:r>
          </w:p>
        </w:tc>
        <w:tc>
          <w:tcPr>
            <w:tcW w:w="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8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Share-based</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20,882</w:t>
            </w:r>
          </w:p>
        </w:tc>
        <w:tc>
          <w:tcPr>
            <w:tcW w:w="96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0"/>
                <w:szCs w:val="10"/>
                <w:color w:val="auto"/>
              </w:rPr>
            </w:pPr>
          </w:p>
        </w:tc>
        <w:tc>
          <w:tcPr>
            <w:tcW w:w="240" w:type="dxa"/>
            <w:vAlign w:val="bottom"/>
            <w:tcBorders>
              <w:left w:val="single" w:sz="8" w:color="CCEEFF"/>
            </w:tcBorders>
            <w:shd w:val="clear" w:color="auto" w:fill="CCEEFF"/>
          </w:tcPr>
          <w:p>
            <w:pPr>
              <w:spacing w:after="0"/>
              <w:rPr>
                <w:sz w:val="10"/>
                <w:szCs w:val="10"/>
                <w:color w:val="auto"/>
              </w:rPr>
            </w:pPr>
          </w:p>
        </w:tc>
        <w:tc>
          <w:tcPr>
            <w:tcW w:w="3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20,882</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20,882</w:t>
            </w:r>
          </w:p>
        </w:tc>
        <w:tc>
          <w:tcPr>
            <w:tcW w:w="0" w:type="dxa"/>
            <w:vAlign w:val="bottom"/>
          </w:tcPr>
          <w:p>
            <w:pPr>
              <w:spacing w:after="0"/>
              <w:rPr>
                <w:sz w:val="1"/>
                <w:szCs w:val="1"/>
                <w:color w:val="auto"/>
              </w:rPr>
            </w:pPr>
          </w:p>
        </w:tc>
      </w:tr>
      <w:tr>
        <w:trPr>
          <w:trHeight w:val="171"/>
        </w:trPr>
        <w:tc>
          <w:tcPr>
            <w:tcW w:w="1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72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8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Redemption value</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vMerge w:val="restart"/>
          </w:tcPr>
          <w:p>
            <w:pPr>
              <w:jc w:val="right"/>
              <w:ind w:right="451"/>
              <w:spacing w:after="0"/>
              <w:rPr>
                <w:sz w:val="20"/>
                <w:szCs w:val="20"/>
                <w:color w:val="auto"/>
              </w:rPr>
            </w:pPr>
            <w:r>
              <w:rPr>
                <w:rFonts w:ascii="Times New Roman" w:cs="Times New Roman" w:eastAsia="Times New Roman" w:hAnsi="Times New Roman"/>
                <w:sz w:val="14"/>
                <w:szCs w:val="14"/>
                <w:color w:val="auto"/>
              </w:rPr>
              <w:t>(1,247)</w:t>
            </w:r>
          </w:p>
        </w:tc>
        <w:tc>
          <w:tcPr>
            <w:tcW w:w="240" w:type="dxa"/>
            <w:vAlign w:val="bottom"/>
          </w:tcPr>
          <w:p>
            <w:pPr>
              <w:spacing w:after="0"/>
              <w:rPr>
                <w:sz w:val="10"/>
                <w:szCs w:val="10"/>
                <w:color w:val="auto"/>
              </w:rPr>
            </w:pPr>
          </w:p>
        </w:tc>
        <w:tc>
          <w:tcPr>
            <w:tcW w:w="3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(1,247)</w:t>
            </w:r>
          </w:p>
        </w:tc>
        <w:tc>
          <w:tcPr>
            <w:tcW w:w="0" w:type="dxa"/>
            <w:vAlign w:val="bottom"/>
          </w:tcPr>
          <w:p>
            <w:pPr>
              <w:spacing w:after="0"/>
              <w:rPr>
                <w:sz w:val="1"/>
                <w:szCs w:val="1"/>
                <w:color w:val="auto"/>
              </w:rPr>
            </w:pPr>
          </w:p>
        </w:tc>
      </w:tr>
      <w:tr>
        <w:trPr>
          <w:trHeight w:val="171"/>
        </w:trPr>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350,576</w:t>
            </w:r>
          </w:p>
        </w:tc>
        <w:tc>
          <w:tcPr>
            <w:tcW w:w="580" w:type="dxa"/>
            <w:vAlign w:val="bottom"/>
            <w:shd w:val="clear" w:color="auto" w:fill="CCEEFF"/>
          </w:tcPr>
          <w:p>
            <w:pPr>
              <w:spacing w:after="0"/>
              <w:rPr>
                <w:sz w:val="12"/>
                <w:szCs w:val="12"/>
                <w:color w:val="auto"/>
              </w:rPr>
            </w:pPr>
          </w:p>
        </w:tc>
        <w:tc>
          <w:tcPr>
            <w:tcW w:w="240" w:type="dxa"/>
            <w:vAlign w:val="bottom"/>
            <w:tcBorders>
              <w:lef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350,576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350,047</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8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72,024,329</w:t>
            </w:r>
          </w:p>
        </w:tc>
        <w:tc>
          <w:tcPr>
            <w:tcW w:w="3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2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525,541</w:t>
            </w:r>
          </w:p>
        </w:tc>
        <w:tc>
          <w:tcPr>
            <w:tcW w:w="96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(9,173,731)</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(332,164)</w:t>
            </w:r>
          </w:p>
        </w:tc>
        <w:tc>
          <w:tcPr>
            <w:tcW w:w="32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(202,116)</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$ 1,432,565</w:t>
            </w:r>
          </w:p>
        </w:tc>
        <w:tc>
          <w:tcPr>
            <w:tcW w:w="580" w:type="dxa"/>
            <w:vAlign w:val="bottom"/>
            <w:vMerge w:val="restart"/>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1,390,293</w:t>
            </w:r>
          </w:p>
        </w:tc>
        <w:tc>
          <w:tcPr>
            <w:tcW w:w="2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$ 1,390,204</w:t>
            </w:r>
          </w:p>
        </w:tc>
        <w:tc>
          <w:tcPr>
            <w:tcW w:w="10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20" w:type="dxa"/>
            <w:vAlign w:val="bottom"/>
            <w:tcBorders>
              <w:bottom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gridSpan w:val="2"/>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left w:val="single" w:sz="8" w:color="CCEEFF"/>
              <w:bottom w:val="single" w:sz="8" w:color="auto"/>
            </w:tcBorders>
            <w:gridSpan w:val="2"/>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260" w:type="dxa"/>
            <w:vAlign w:val="bottom"/>
            <w:tcBorders>
              <w:bottom w:val="single" w:sz="8" w:color="auto"/>
            </w:tcBorders>
            <w:gridSpan w:val="2"/>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13"/>
        </w:trPr>
        <w:tc>
          <w:tcPr>
            <w:tcW w:w="338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w w:val="99"/>
              </w:rPr>
              <w:t>See notes to consolidated financial statements.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w w:val="99"/>
              </w:rPr>
              <w:t>38</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80" w:type="dxa"/>
            <w:vAlign w:val="bottom"/>
            <w:tcBorders>
              <w:bottom w:val="single" w:sz="8" w:color="9A9A9A"/>
            </w:tcBorders>
            <w:gridSpan w:val="2"/>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780" w:type="dxa"/>
            <w:vAlign w:val="bottom"/>
            <w:gridSpan w:val="2"/>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20" w:type="dxa"/>
            <w:vAlign w:val="bottom"/>
            <w:gridSpan w:val="6"/>
          </w:tcPr>
          <w:p>
            <w:pPr>
              <w:jc w:val="center"/>
              <w:ind w:left="83"/>
              <w:spacing w:after="0"/>
              <w:rPr>
                <w:sz w:val="20"/>
                <w:szCs w:val="20"/>
                <w:color w:val="auto"/>
              </w:rPr>
            </w:pPr>
            <w:r>
              <w:rPr>
                <w:rFonts w:ascii="Times New Roman" w:cs="Times New Roman" w:eastAsia="Times New Roman" w:hAnsi="Times New Roman"/>
                <w:sz w:val="22"/>
                <w:szCs w:val="22"/>
                <w:color w:val="auto"/>
                <w:w w:val="98"/>
              </w:rPr>
              <w:t>Generac Holdings Inc.</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900" w:type="dxa"/>
            <w:vAlign w:val="bottom"/>
            <w:gridSpan w:val="7"/>
          </w:tcPr>
          <w:p>
            <w:pPr>
              <w:jc w:val="center"/>
              <w:ind w:right="331"/>
              <w:spacing w:after="0" w:line="250" w:lineRule="exact"/>
              <w:rPr>
                <w:sz w:val="20"/>
                <w:szCs w:val="20"/>
                <w:color w:val="auto"/>
              </w:rPr>
            </w:pPr>
            <w:r>
              <w:rPr>
                <w:rFonts w:ascii="Times New Roman" w:cs="Times New Roman" w:eastAsia="Times New Roman" w:hAnsi="Times New Roman"/>
                <w:sz w:val="22"/>
                <w:szCs w:val="22"/>
                <w:color w:val="auto"/>
                <w:w w:val="98"/>
              </w:rPr>
              <w:t>Consolidated Statements of Cash Flows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320" w:type="dxa"/>
            <w:vAlign w:val="bottom"/>
            <w:gridSpan w:val="6"/>
          </w:tcPr>
          <w:p>
            <w:pPr>
              <w:jc w:val="center"/>
              <w:ind w:left="83"/>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9"/>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476"/>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347,218</w:t>
            </w:r>
          </w:p>
        </w:tc>
        <w:tc>
          <w:tcPr>
            <w:tcW w:w="6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252,308</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Adjustments to reconcile net income to net cash provided by operating activities: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32,265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32,280</w:t>
            </w:r>
          </w:p>
        </w:tc>
        <w:tc>
          <w:tcPr>
            <w:tcW w:w="24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Amortization of original issue discount and deferred financing costs</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Loss on pension settlement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10,920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21,195</w:t>
            </w:r>
          </w:p>
        </w:tc>
        <w:tc>
          <w:tcPr>
            <w:tcW w:w="24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16,694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24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Net changes in operating assets and liabilities, net of acquisitions:</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(55,976)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(43,243)</w:t>
            </w:r>
          </w:p>
        </w:tc>
        <w:tc>
          <w:tcPr>
            <w:tcW w:w="0" w:type="dxa"/>
            <w:vAlign w:val="bottom"/>
          </w:tcPr>
          <w:p>
            <w:pPr>
              <w:spacing w:after="0"/>
              <w:rPr>
                <w:sz w:val="1"/>
                <w:szCs w:val="1"/>
                <w:color w:val="auto"/>
              </w:rPr>
            </w:pPr>
          </w:p>
        </w:tc>
      </w:tr>
      <w:tr>
        <w:trPr>
          <w:trHeight w:val="216"/>
        </w:trPr>
        <w:tc>
          <w:tcPr>
            <w:tcW w:w="1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(77,983)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26,369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(152,594)</w:t>
            </w: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24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(6,362)</w:t>
            </w:r>
          </w:p>
        </w:tc>
        <w:tc>
          <w:tcPr>
            <w:tcW w:w="0" w:type="dxa"/>
            <w:vAlign w:val="bottom"/>
          </w:tcPr>
          <w:p>
            <w:pPr>
              <w:spacing w:after="0"/>
              <w:rPr>
                <w:sz w:val="1"/>
                <w:szCs w:val="1"/>
                <w:color w:val="auto"/>
              </w:rPr>
            </w:pPr>
          </w:p>
        </w:tc>
      </w:tr>
      <w:tr>
        <w:trPr>
          <w:trHeight w:val="216"/>
        </w:trPr>
        <w:tc>
          <w:tcPr>
            <w:tcW w:w="1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8"/>
              </w:rPr>
              <w:t>Accounts payable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(69,404)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wages and employee benefits</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20,157</w:t>
            </w:r>
          </w:p>
        </w:tc>
        <w:tc>
          <w:tcPr>
            <w:tcW w:w="24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(16,252)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Excess tax benefits from equity awards</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(6,968)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0"/>
        </w:trPr>
        <w:tc>
          <w:tcPr>
            <w:tcW w:w="1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486,533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308,887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Proceeds from beneficial interest in securitization transactions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(62,128)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(60,802)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(47,601)</w:t>
            </w:r>
          </w:p>
        </w:tc>
        <w:tc>
          <w:tcPr>
            <w:tcW w:w="0" w:type="dxa"/>
            <w:vAlign w:val="bottom"/>
          </w:tcPr>
          <w:p>
            <w:pPr>
              <w:spacing w:after="0"/>
              <w:rPr>
                <w:sz w:val="1"/>
                <w:szCs w:val="1"/>
                <w:color w:val="auto"/>
              </w:rPr>
            </w:pPr>
          </w:p>
        </w:tc>
      </w:tr>
      <w:tr>
        <w:trPr>
          <w:trHeight w:val="216"/>
        </w:trPr>
        <w:tc>
          <w:tcPr>
            <w:tcW w:w="3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(64,797)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(112,001)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(65,440)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(124,095)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(170,078)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(108,894)</w:t>
            </w: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257,593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73,340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Repayments of short-term borrowings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right"/>
              <w:ind w:right="105"/>
              <w:spacing w:after="0"/>
              <w:rPr>
                <w:sz w:val="20"/>
                <w:szCs w:val="20"/>
                <w:color w:val="auto"/>
              </w:rPr>
            </w:pPr>
            <w:r>
              <w:rPr>
                <w:rFonts w:ascii="Times New Roman" w:cs="Times New Roman" w:eastAsia="Times New Roman" w:hAnsi="Times New Roman"/>
                <w:sz w:val="18"/>
                <w:szCs w:val="18"/>
                <w:color w:val="auto"/>
              </w:rPr>
              <w:t>(277,719)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(59,518)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(27,880)</w:t>
            </w:r>
          </w:p>
        </w:tc>
        <w:tc>
          <w:tcPr>
            <w:tcW w:w="0" w:type="dxa"/>
            <w:vAlign w:val="bottom"/>
          </w:tcPr>
          <w:p>
            <w:pPr>
              <w:spacing w:after="0"/>
              <w:rPr>
                <w:sz w:val="1"/>
                <w:szCs w:val="1"/>
                <w:color w:val="auto"/>
              </w:rPr>
            </w:pPr>
          </w:p>
        </w:tc>
      </w:tr>
      <w:tr>
        <w:trPr>
          <w:trHeight w:val="216"/>
        </w:trPr>
        <w:tc>
          <w:tcPr>
            <w:tcW w:w="48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Repayments of long-term borrowings and finance lease obligations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(4,758)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(53,049)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(101,827)</w:t>
            </w: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repurchases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(25,656)</w:t>
            </w:r>
          </w:p>
        </w:tc>
        <w:tc>
          <w:tcPr>
            <w:tcW w:w="0" w:type="dxa"/>
            <w:vAlign w:val="bottom"/>
          </w:tcPr>
          <w:p>
            <w:pPr>
              <w:spacing w:after="0"/>
              <w:rPr>
                <w:sz w:val="1"/>
                <w:szCs w:val="1"/>
                <w:color w:val="auto"/>
              </w:rPr>
            </w:pPr>
          </w:p>
        </w:tc>
      </w:tr>
      <w:tr>
        <w:trPr>
          <w:trHeight w:val="216"/>
        </w:trPr>
        <w:tc>
          <w:tcPr>
            <w:tcW w:w="38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contingent acquisition consideration</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(4,000)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158"/>
        </w:trPr>
        <w:tc>
          <w:tcPr>
            <w:tcW w:w="1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tcBorders>
              <w:lef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-6417310</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900" w:orient="portrait"/>
          <w:cols w:equalWidth="0" w:num="1">
            <w:col w:w="11240"/>
          </w:cols>
          <w:pgMar w:left="320" w:top="104" w:right="339" w:bottom="0" w:gutter="0" w:footer="0" w:header="0"/>
        </w:sectPr>
      </w:pPr>
    </w:p>
    <w:bookmarkStart w:id="35" w:name="page36"/>
    <w:bookmarkEnd w:id="35"/>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paid to noncontrolling interest of subsidiary</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equity awards</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(14,910)</w:t>
            </w: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(6,438)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(5,659)</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13,089</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9,395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5,614</w:t>
            </w:r>
          </w:p>
        </w:tc>
      </w:tr>
      <w:tr>
        <w:trPr>
          <w:trHeight w:val="20"/>
        </w:trPr>
        <w:tc>
          <w:tcPr>
            <w:tcW w:w="53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(30,428)</w:t>
            </w: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(52,034)</w:t>
            </w:r>
          </w:p>
        </w:tc>
      </w:tr>
      <w:tr>
        <w:trPr>
          <w:trHeight w:val="210"/>
        </w:trPr>
        <w:tc>
          <w:tcPr>
            <w:tcW w:w="5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5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332,245</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98,401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86,010</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322,883</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224,482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138,472</w:t>
            </w:r>
          </w:p>
        </w:tc>
      </w:tr>
      <w:tr>
        <w:trPr>
          <w:trHeight w:val="20"/>
        </w:trPr>
        <w:tc>
          <w:tcPr>
            <w:tcW w:w="53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655,128</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322,883</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224,482</w:t>
            </w:r>
          </w:p>
        </w:tc>
      </w:tr>
      <w:tr>
        <w:trPr>
          <w:trHeight w:val="20"/>
        </w:trPr>
        <w:tc>
          <w:tcPr>
            <w:tcW w:w="5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during the period</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28,765</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35,465</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41,007</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61,861</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61,767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41,044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Generac Holdings Inc.</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Years Ended December 31, 2020, 2019 and 2018</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(U.S. 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1959, Generac Holdings Inc. (the Company) is a leading global designer and manufacturer of a wide range of energy technology solutions. The Company provides power generation equipment, energy storage systems, grid service solutions, and other power products serving the residential, light commercial and industrial markets. Generac’s power products and solutions are available globally through a broad network of independent dealers, distributors, retailers, e-commerce partners, wholesalers, and equipment rental companies, as well as sold direct to certain end user customers.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 the years, the Company has executed a number of acquisitions that support its strategic plan (refer to Item 1 in this Annual Report on Form 10-K for discussion of our "Powering Our Future" strategic plan). A summary of acquisitions affecting the reporting periods presented include:</w:t>
      </w:r>
    </w:p>
    <w:p>
      <w:pPr>
        <w:spacing w:after="0" w:line="162" w:lineRule="exact"/>
        <w:rPr>
          <w:sz w:val="20"/>
          <w:szCs w:val="20"/>
          <w:color w:val="auto"/>
        </w:rPr>
      </w:pPr>
    </w:p>
    <w:p>
      <w:pPr>
        <w:ind w:left="660" w:right="380" w:hanging="328"/>
        <w:spacing w:after="0" w:line="257"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2018, the Company acquired Selmec Equipos Industriales, S.A. de C.V. (Selmec), headquartered in Mexico City, Mexico. Selmec is a designer and manufacturer of industrial generators ranging from 10kW to 2,750kW. Selmec offers a market-leading service platform and specialized engineering capabilities, together with robust integration, project management and remote monitoring services.</w:t>
      </w:r>
    </w:p>
    <w:p>
      <w:pPr>
        <w:spacing w:after="0" w:line="1"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2019, the Company acquired a majority share of Captiva Energy Solutions Private Limited (Captiva). Captiva, founded in 2010 and headquartered in Kolkata, India, specializes in customized industrial generators for the India market.</w:t>
      </w:r>
    </w:p>
    <w:p>
      <w:pPr>
        <w:jc w:val="both"/>
        <w:ind w:left="660" w:right="360" w:hanging="328"/>
        <w:spacing w:after="0" w:line="250"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2019, the Company acquired Neurio Technology Inc. (Neurio), founded in 2005 and headquartered in Vancouver, British Columbia. Neurio is a leading energy data company focused on metering technology and sophisticated analytics to optimize energy use within a home or business.</w:t>
      </w:r>
    </w:p>
    <w:p>
      <w:pPr>
        <w:spacing w:after="0" w:line="1"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2019, the Company acquired Pika Energy, Inc. (Pika), founded in 2010 and located in Westbrook, Maine. Pika is a designer and manufacturer of battery storage technologies that capture and store solar or other power sources for homeowners and businesses, and is also a developer of advanced power electronics, software and controls for smart energy storage and management.</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the Company acquired West Coast Energy Systems LLC (Energy Systems), its industrial distributor in northern California. This addition enhances the Company's ability to serve the west coast markets for both commercial &amp; industrial (C&amp;I) and residential products.</w:t>
      </w:r>
    </w:p>
    <w:p>
      <w:pPr>
        <w:jc w:val="both"/>
        <w:ind w:left="660" w:right="80" w:hanging="328"/>
        <w:spacing w:after="0" w:line="250"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2020, the Company acquired Mean Green Products, LLC (Mean Green), founded in 2009 and located in Ross, Ohio. Mean Green is a designer and manufacturer of commercial grade, battery-powered turf care products that provide quiet, zero emissions and reduced maintenance options as compared to traditional commercial mowers.</w:t>
      </w:r>
    </w:p>
    <w:p>
      <w:pPr>
        <w:spacing w:after="0" w:line="1" w:lineRule="exact"/>
        <w:rPr>
          <w:rFonts w:ascii="Times New Roman" w:cs="Times New Roman" w:eastAsia="Times New Roman" w:hAnsi="Times New Roman"/>
          <w:sz w:val="18"/>
          <w:szCs w:val="18"/>
          <w:color w:val="auto"/>
        </w:rPr>
      </w:pPr>
    </w:p>
    <w:p>
      <w:pPr>
        <w:ind w:left="660" w:hanging="328"/>
        <w:spacing w:after="0" w:line="255"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2020, the Company acquired Enbala Power Networks Inc. (Enbala), founded in 2003 and headquartered in Denver, Colorado. Enbala is one of the leading providers of distributed energy optimization and control software that helps support the operational stability of the world's power grids.</w:t>
      </w: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that are consolidated in conformity with U.S. GAAP. All intercompany amounts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maintains the majority of its domestic cash in a few commercial banks in multiple operating and investment accounts. Balances on deposit are insured by the Federal Deposit Insurance Corporation (FDIC) up to specified limits. Balances in excess of FDIC limits are uninsured.</w:t>
      </w:r>
    </w:p>
    <w:p>
      <w:pPr>
        <w:sectPr>
          <w:pgSz w:w="11900" w:h="16891" w:orient="portrait"/>
          <w:cols w:equalWidth="0" w:num="1">
            <w:col w:w="11240"/>
          </w:cols>
          <w:pgMar w:left="320" w:top="140" w:right="339" w:bottom="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91" w:orient="portrait"/>
          <w:cols w:equalWidth="0" w:num="1">
            <w:col w:w="11240"/>
          </w:cols>
          <w:pgMar w:left="320" w:top="140" w:right="339" w:bottom="0" w:gutter="0" w:footer="0" w:header="0"/>
          <w:type w:val="continuous"/>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customer accounted for approximately 13% and 9% of accounts receivable at December 31, 2020 and 2019, respectively. No one customer accounted for greater than 6%, 5%, and 6%, of net sales during the years ended December 31, 2020, 2019, or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Credit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trade and other receivables primarily arise from the sale of our products to independent residential dealers, industrial distributors and dealers, national and regional retailers, electrical/HVAC/solar wholesalers, e-commerce partners, equipment rental companies, equipment distributors, solar installers, utilities, and certain end users with payment terms generally ranging from 30 to 90 days. The Company evaluates the credit risk of a customer when extending credit based on a combination of various financial and qualitative factors that may affect the customers' ability to pay. These factors include the customer's financial condition, past payment experience, credit bureau information, and regional considerations.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Receivables are recorded at their face value amount less an allowance for credit losses. The Company maintains an allowance for credit losses, which represents an estimate of expected losses over the remaining contractual life of its receivables considering current market conditions and estimates for supportable forecasts when appropriate. The Company measures expected credit losses on its trade receivables on an entity by entity basis. The estimate of expected credit losses considers a historical loss experience rate that is adjusted for delinquency trends, collection experience, and/or economic risk where appropriate based on current market conditions. Additionally, management develops a specific allowance for trade receivables known to have a high risk of expected future credit loss.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historically experienced immaterial write-offs given the nature of the customers that receive credit. In addition, the Company holds a credit insurance plan that covers the risk of loss up to specified amounts on certain trade receivables. As of December 31, 2020, the Company had gross receivables of $386,907 and an allowance for credit losses of $12,001.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tabular reconciliation of the Company's allowance for credit losses:</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7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7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80" w:type="dxa"/>
            <w:vAlign w:val="bottom"/>
          </w:tcPr>
          <w:p>
            <w:pPr>
              <w:spacing w:after="0"/>
              <w:rPr>
                <w:sz w:val="20"/>
                <w:szCs w:val="20"/>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6,968</w:t>
            </w: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Adoption of ASU 2016-13</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1,147</w:t>
            </w:r>
          </w:p>
        </w:tc>
      </w:tr>
      <w:tr>
        <w:trPr>
          <w:trHeight w:val="216"/>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Established for Acquisitions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4,645</w:t>
            </w:r>
          </w:p>
        </w:tc>
      </w:tr>
      <w:tr>
        <w:trPr>
          <w:trHeight w:val="216"/>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(1,448)</w:t>
            </w: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translation</w:t>
            </w:r>
          </w:p>
        </w:tc>
        <w:tc>
          <w:tcPr>
            <w:tcW w:w="1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18"/>
                <w:szCs w:val="18"/>
                <w:color w:val="auto"/>
              </w:rPr>
            </w:pP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12,001</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market, with cost determined generally using the first-in, first-out method.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and are being depreciated using the straight-line method over the estimated useful lives of the assets, which are summarized below (in years). Costs of leasehold improvements are amortized over the lesser of the term of the lease (including renewal option periods) or the estimated useful lives of the improvements. Finance lease right of use assets are included in property and equipment. Refer to Note 10, "Leases," to the consolidated financial statements for the Company's lease disclosure.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Dies and tools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systems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depreciation expense was $36,493, $32,265, and $25,296 for the years ended December 31, 2020, 2019 and 2018,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Indefinite-Lived Intangible Assets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fair value of identifiable net assets acquired from business acquisitions. Goodwill is not amortized, but is reviewed for impairment on an annual basis and between annual tests if indicators of impairment are present. The Company evaluates goodwill for impairment annually as of October 31 or more frequently when an event occurs or circumstances change that indicates the carrying value may not be recoverable. The Company has the option to assess goodwill for impairment by performing either a qualitative assessment or quantitative test. The qualitative assessment determines whether it is more likely than not that the fair value of a reporting unit is less than its carrying amount. If the Company determines that it is not more likely than not that the fair value of a reporting unit is less than its carrying amount, then the quantitative test is not required to be performed. If the Company determines that it is more likely than not that the fair value of a reporting unit is less than its carrying amount, the Company is required to perform the quantitative test. In the quantitative test, the calculated fair value of the reporting unit is compared to its book value including goodwill. If the fair value of the reporting unit is in excess of its book value, the related goodwill is not impaired. If the fair value of the reporting unit is less than its book value, an impairment loss is recognized in an amount equal to that excess, limited to the total amount of goodwill allocated to that reporting unit.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indefinite-lived intangible assets consist of certain tradenames. The Company tests the carrying value of these tradenames annually as of October 31, or more frequently when an event occurs or circumstances change that indicates the carrying value may not be recoverable, by comparing the assets’ fair value to its carrying value. Fair value is measured using a relief-from-royalty approach, which assumes the fair value of the tradename is the discounted cash flows of the amount that would be paid had the Company not owned the tradename and instead licensed the tradename from another company.</w:t>
      </w:r>
    </w:p>
    <w:p>
      <w:pPr>
        <w:sectPr>
          <w:pgSz w:w="11900" w:h="16838" w:orient="portrait"/>
          <w:cols w:equalWidth="0" w:num="1">
            <w:col w:w="11240"/>
          </w:cols>
          <w:pgMar w:left="320" w:top="121" w:right="339" w:bottom="0" w:gutter="0" w:footer="0" w:header="0"/>
        </w:sectPr>
      </w:pPr>
    </w:p>
    <w:bookmarkStart w:id="38" w:name="page39"/>
    <w:bookmarkEnd w:id="3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performed the required annual impairment tests for goodwill and other indefinite-lived intangible assets for the fiscal years 2020, 2019 and 2018, and found no impairment.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the carrying value of long-lived assets (excluding goodwill and indefinite-lived tradenames). Long-lived assets are reviewed for impairment whenever events or changes in circumstances indicate that the carrying amount may not be recoverable. If the sum of the expected future undiscounted cash flows is less than the carrying amount of an asset, a loss is recognized for the difference between the fair value and carrying value of the asset.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Debt discounts and direct costs incurred in connection with the issuance or amendment of long-term debt are deferred and recorded as a reduction of outstanding debt and amortized to interest expense using the effective interest method over the terms of the related credit agreements. $2,598, $4,712, and $4,749 of deferred financing costs and original issue discount were amortized to interest expense during fiscal years 2020, 2019 and 2018, respectively. Excluding the impact of any future long-term debt issuances or prepayments, estimated amortization to interest expense for the next five years is as follows: 2021 - $2,640; 2022 - $2,689; 2023 - $2,579; 2024 - $2,508; 2025 - $2,555.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C Corporation and therefore accounts for income taxes pursuant to the liability method. Accordingly, the current or deferred tax consequences of a transaction are measured by applying the provision of enacted tax laws to determine the amount of taxes payable currently or in future years. Deferred income taxes are provided for temporary differences between the income tax bases of assets and liabilities and their carrying amounts for financial reporting purposes. 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years in which those temporary differences become deductible. The Company considers taxable income in prior carryback years, the scheduled reversal of deferred tax liabilities, projected future taxable income and tax planning strategies, as appropriate, in making this assessment.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revenues primarily consist of product sales to its customers. The Company considers the purchase orders, which in some cases are governed by master sales agreements, to be the contracts with the customers. For each contract, the Company considers the commitment to transfer products, each of which is distinct, to be the identified performance obligations. Revenue is measured as the amount of consideration the Company expects to be entitled in exchange for the transfer of product, which is generally the price stated in the contract specific for each item sold, adjusted for the value of expected returns, discounts, rebates, or other promotional incentives or allowances offered to our customers. Expected returns for damaged or defective product are estimated using the expected value method based upon historical product return experience. Discounts and rebates offered to customers are typically defined in the master sales agreements with customers and, therefore, are recorded using the most likely amount method based on the terms of the contract. Promotional incentives are defined programs offered for short, specific periods of time and are estimated using the expected value method based upon historical experience. The Company does not expect the transaction price for revenue recognized will be subject to a significant revenue reversal. As the Company’s product sale contracts and standard payment terms have a duration of less than one year, it uses the practical expedient applicable to such contracts and does not consider the time value of money. Sales, use, value add and other similar taxes assessed by governmental authorities and collected concurrent with revenue-producing activities are excluded from revenue. The Company has elected to recognize the cost for freight activities when control of the product has transferred to the customer as an expense within cost of goods sold in the consolidated statements of comprehensive income. Product revenues are recognized at the point in time when control of the product is transferred to the customer, which typically occurs upon shipment or delivery to the customer. To determine when control has transferred, the Company considers if there is a present right to payment and if legal title, physical possession, and the significant risks and rewards of ownership of the asset has transferred to the customer. As substantially all of the Company’s product revenues are recognized at a point in time, the amount of unsatisfied performance obligations at each period end is not material. The Company’s contracts have an original expected duration of one year or less. As a result, the Company has elected to use the practical expedient to not disclose its remaining performance obligations.</w:t>
      </w:r>
    </w:p>
    <w:p>
      <w:pPr>
        <w:spacing w:after="0" w:line="1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request of certain customers, the Company will warehouse inventory billed to the customer but not delivered. Unless all revenue recognition criteria have been met, the Company does not recognize revenue on these transactions until the customer takes possession of the product.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the Company’s standard payment terms are less than one year, the specific payment terms and conditions in its customer contracts vary. In some cases, customers prepay for their goods; in other cases, after appropriate credit evaluation, an open credit line is granted and payment is due in arrears. Contracts with payment in arrears are recognized in the consolidated balance sheets as accounts receivable upon revenue recognition, while contracts where customers pay in advance are recognized as customer deposits and recorded in other accrued liabilities in the consolidated balance sheets until revenue is recognized. The balance of customer deposits (contract liabilities) was $25,710 and $9,952 at December 31, 2020 and December 31, 2019, respectively. During the year ended December 31, 2020, the Company recognized revenue of $8,703 related to amounts included in the December 31, 2019 customer deposit balance. The Company typically recognizes revenue within one year of the receipt of the customer deposit.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offers standard warranty coverage on substantially all products that it sells and accounts for this standard warranty coverage as an assurance warranty. As such, no transaction price is allocated to the standard warranty, and the Company records a liability for product warranty obligations at the time of sale to a customer based upon historical warranty experience. Refer to Note 11, “Product Warranty Obligations,” to the consolidated financial statements for further information regarding the Company’s standard warranties.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sells extended warranty coverage for certain products, which it accounts for as service warranties. In most cases, the extended warranty is sold as a separate contract. As such, extended warranty sales are considered a separate performance obligation, and the extended warranty transaction is separate and distinct from the product. The extended warranty transaction price is initially recorded as deferred revenue in the consolidated balance sheets and amortized on a straight-line basis to net sales in the consolidated statements of comprehensive income over the life of the contracts following the standard warranty period. For extended warranty contracts that the Company sells under a third-party marketing agreement, it is required to pay fees to the third-party service provider and classifies these fees as costs to obtain a contract. The contract costs are deferred and recorded as other assets in the consolidated balance sheets. The deferred contract costs are amortized to net sales in the consolidated statements of comprehensive income consistent with how the related deferred revenue is recognized. Refer to Note 11, “Product Warranty Obligations,” to the consolidated financial statements for further information regarding the Company’s extended warranties.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extended warranties, the Company offers other services, including remote monitoring, installation, maintenance and grid services in certain circumstances. Total service revenues accounted for less than two percent of revenue during the year ended December 31, 2020.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7, “Segment Reporting,” to the consolidated financial statements for the Company’s disaggregated revenue disclosure. The information discussed above is applicable to each of the Company’s product classes.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and Co-Op Advertising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Expenditures for advertising, included in selling and service expenses in the consolidated statements of comprehensive income, are expensed as incurred. Expenditures for advertising production costs are expensed when the related advertisement is first run. Expenditures for Co-Op advertising are expensed when claimed by the customer. Total expenditures for advertising were $53,678, $44,153, and $34,792 for the years ended December 31, 2020, 2019 and 2018,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Total expenditures incurred for research and development were $80,251, $68,394, and $50,019 for the years ended December 31, 2020, 2019 and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and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Balance sheet amounts for non-U.S. Dollar functional currency businesses are translated into U.S. Dollars at the rates of exchange in effect at the end of the fiscal year. Income and expenses incurred in a foreign currency are translated at the average rates of exchange in effect during the year. The related translation adjustments are made directly to accumulated other comprehensive loss, a component of stockholders’ equity, in the consolidated balance sheets. Gains and losses from foreign currency transactions are recognized as incurred in the consolidated statements of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ASC 820-10,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defines fair value, establishes a consistent framework for measuring fair value, and expands disclosure for each major asset and liability category measured at fair value on either a recurring basis or nonrecurring basis. ASC 820-10 clarifies that fair value is an exit price, representing the amount that would be received in the sale of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pronouncement establishes a three-tier fair value hierarchy, which prioritizes the inputs used in measuring fair value as follows: (Level 1) observable inputs such as quoted prices in active markets; (Level 2) inputs, other than the quoted prices in active markets, that are observable either directly or indirectly; and (Level 3) unobservable inputs in which there is little or no market data, which require the reporting entity to develop its own assumptions.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the carrying amount of its financial instruments (cash and cash equivalents, accounts receivable, accounts payable, accrued liabilities, short-term borrowings and ABL facility borrowings), excluding Term Loan borrowings, approximates the fair value of these instruments based upon their short-term nature. The fair value of Term Loan borrowings, which have an aggregate carrying value of $815,260, was approximately $831,038 (Level 2) at December 31, 2020, as calculated based on independent valuations whose inputs and significant value drivers are observable.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fair value of the assets and liabilities measured on a recurring basis, refer to the fair value table in Note 5, “Derivative Instruments and Hedging Activities,” to the consolidated financial statements. The fair value of all derivative contracts is classified as Level 2. The valuation techniques used to measure the fair value of derivative contracts, all of which have counterparties with high credit ratings, were based on quoted market prices or model driven valuations using significant inputs derived from or corroborated by observable market data. The fair value of derivative contracts considers the Company’s credit risk in accordance with ASC 820-10.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records all derivatives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which requires derivative instruments to be reported in the consolidated balance sheets at fair value and establishes criteria for designation and effectiveness of hedging relationships. The Company is exposed to market risk such as changes in commodity prices, foreign currencies and interest rates. The Company does not hold or issue derivative financial instruments for trading purposes. Refer to Item 7A of this Annual Report on Form 10-K for further information on the Company’s derivatives.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Share-based compensation expense, including stock options and restricted stock awards, is generally recognized on a straight-line basis over the vesting period based on the fair value of awards which are expected to vest. The fair value of all share-based awards is estimated on the date of grant. Refer to Note 17, “Share Plans,” to the consolidated financial statements for further information on the Company’s share-based compensation plans and accounting.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to GAAP are established by the Financial Accounting Standards Board (FASB) in the form of accounting standard updates (“ASUs”) to the FASB Accounting Standards Codification (ASC). ASUs not listed below were assessed and determined to be either not applicable or are not expected to have a material impact on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 2020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adopted ASU 2016-13</w:t>
      </w:r>
      <w:r>
        <w:rPr>
          <w:rFonts w:ascii="Times New Roman" w:cs="Times New Roman" w:eastAsia="Times New Roman" w:hAnsi="Times New Roman"/>
          <w:sz w:val="18"/>
          <w:szCs w:val="18"/>
          <w:i w:val="1"/>
          <w:iCs w:val="1"/>
          <w:color w:val="auto"/>
        </w:rPr>
        <w:t>, 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This guidance was issued to provide financial statement users with more useful information about the expected credit losses on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other commitments to extend credit held by a reporting entity at each reporting date. Specifically, this guidance requires entities to utilize a new “expected loss” model as it relates to trade and other receivables. The Company adopted this standard using the modified retrospective approach as of the date of adoption, meaning no prior period balances were impacted by the adoption. The adoption of the standard impacts the way the Company estimates the allowance for doubtful accounts on its trade and other receivables, and the Company recorded a decrease to retained earnings of $1,147 as a result of adopting ASU 2016-13. Results for reporting periods beginning after January 1, 2020 are presented under ASC 326 while prior period amounts continue to be reported in accordance with previously applicable GAAP. Refer to Note 2 to the consolidated financial statements, “Summary of Accounting Policies - Accounts Receivable and Allowance for Credit Losses,” for further information regarding the Company’s allowance for expected credit losses.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January 1, 2020, the Company elected to apply the optional expedients discussed in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This guidance was issued to address challenges likely to arise in accounting for contract modifications and hedge accounting because of reference rate reform. The update provides optional expedients and exceptions for applying GAAP to contracts, hedging relationships, and other transactions that reference LIBOR or another reference rate expected to be discontinued if certain criteria are met. The adoption of the optional expedients in this standard permits the Company to account for the change to a reference rate on its LIBOR based term loan as a continuation of the existing contract rather than having to account for the change in rate as a modification or extinguishment. Additionally, the election of the optional expedients permits the Company to continue with its hedge accounting treatment for its interest rate swaps despite expected changes due to reference rate reform.</w:t>
      </w:r>
    </w:p>
    <w:p>
      <w:pPr>
        <w:spacing w:after="0" w:line="200" w:lineRule="exact"/>
        <w:rPr>
          <w:sz w:val="20"/>
          <w:szCs w:val="20"/>
          <w:color w:val="auto"/>
        </w:rPr>
      </w:pPr>
    </w:p>
    <w:p>
      <w:pPr>
        <w:spacing w:after="0" w:line="224"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Enbala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7, 2020, the Company acquired Enbala for a purchase price, net of cash acquired, of $41,982. The acquisition purchase price was funded solely through cash on hand.</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recorded a preliminary purchase price allocation during the fourth quarter of 2020 based upon its estimates of the fair value of the acquired assets and assumed liabilities. As a result, the Company recorded $46,645 of intangible assets, including $27,545 of goodwill recorded in the Domestic segment, as of the acquisition date. A portion of the goodwill ascribed to this acquisition is deductible for tax purposes. The accompanying consolidated financial statements include the results of Enbala from the date of acquisition through December 31,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Acquisitions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2020, the Company acquired Energy Systems, its industrial distributor in northern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2020, the Company acquired Mean Green, a designer and manufacturer of commercial grade, battery-powered turf care products.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combined purchase price for these acquisitions was $22,815 and was funded solely through cash on hand. The accompanying consolidated financial statements include the results of the acquired businesses since the dates of acquisition through December 31,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Pika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26, 2019, the Company acquired Pika for a purchase price, net of cash acquired, of $49,068. The acquisition purchase price was funded solely through cash on hand.</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finalized the Pika purchase price allocation during the first quarter of 2020 based upon its estimates of the fair value of the acquired assets and assumed liabilities. As a result, the Company recorded $58,196 of intangible assets, including $19,896 of goodwill recorded in the Domestic segment, as of the acquisition date. The goodwill ascribed to the acquisition is not deductible for tax purposes. The accompanying consolidated financial statements include the results of Pika from the date of acquisition through December 31,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Neurio</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12, 2019, the Company acquired Neurio for a purchase price of $59,071, net of cash acquired and inclusive of a deferred payment of $7,922 which was made during the third quarter of 2019. The acquisition purchase price was funded solely through cash on hand.</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finalized the Neurio purchase price allocation during the first quarter of 2020 based upon its estimates of the fair value of the acquired assets and assumed liabilities. As a result, the Company recorded $58,762 of intangible assets, including $17,862 of goodwill recorded in the Domestic segment, as of the acquisition date. Substantially all of the goodwill ascribed to this acquisition is deductible for tax purposes. The accompanying consolidated financial statements include the results of Neurio from the date of acquisition through December 31,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Acquisitions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February 2019, the Company acquired a majority share of Captiva, a manufacturer of customized industrial generators in Kolkata, India. The purchase price was immaterial to the Company and was funded solely through cash on hand. The accompanying consolidated financial statements include the results of the acquired business from the date of acquisition through December 31, 2020.</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Selmec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 2018, the Company acquired Selmec for a purchase price of $79,972, net of cash acquired and inclusive of earnout payments of $14,902. Changes in the fair value of the earnout liability during 2020 and 2019 of $(2,241) and $(977), respectively, were recognized as a component of operating income in the Company's consolidated statements of comprehensive income. Changes in the fair value of the earnout liability during 2020 and 2019 included interest accretion of $536 and $2,740, respectively, and other fair value remeasurement adjustments of $(2,777) and $(3,717), respectively. The acquisition purchase price was funded solely through cash on hand.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finalized the Selmec purchase price allocation during the second quarter of 2019 based upon its estimates of the fair value of the acquired assets and assumed liabilities. As a result, the Company recorded $79,827 of intangible assets, including $46,196 of goodwill recorded in the International segment, as of the acquisition date. The goodwill ascribed to the acquisition is not deductible for tax purposes. The accompanying consolidated financial statements include the results of Selmec from the date of acquisition through December 31,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Purchase Price Allocations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assigned to certain assets acquired and liabilities assumed, as of the acquisition dates, for the years ended December 31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4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80" w:type="dxa"/>
            <w:vAlign w:val="bottom"/>
            <w:gridSpan w:val="2"/>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5,151</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14,302</w:t>
            </w:r>
          </w:p>
        </w:tc>
        <w:tc>
          <w:tcPr>
            <w:tcW w:w="56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3,711</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5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5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4,323</w:t>
            </w:r>
          </w:p>
        </w:tc>
        <w:tc>
          <w:tcPr>
            <w:tcW w:w="56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5,572</w:t>
            </w:r>
          </w:p>
        </w:tc>
        <w:tc>
          <w:tcPr>
            <w:tcW w:w="5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5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26,057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33,631</w:t>
            </w:r>
          </w:p>
        </w:tc>
        <w:tc>
          <w:tcPr>
            <w:tcW w:w="56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42,698</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46,196</w:t>
            </w:r>
          </w:p>
        </w:tc>
        <w:tc>
          <w:tcPr>
            <w:tcW w:w="5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5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3,252</w:t>
            </w:r>
          </w:p>
        </w:tc>
        <w:tc>
          <w:tcPr>
            <w:tcW w:w="56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1,122</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c>
          <w:tcPr>
            <w:tcW w:w="56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15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80,271</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115,873</w:t>
            </w:r>
          </w:p>
        </w:tc>
        <w:tc>
          <w:tcPr>
            <w:tcW w:w="560" w:type="dxa"/>
            <w:vAlign w:val="bottom"/>
          </w:tcPr>
          <w:p>
            <w:pPr>
              <w:spacing w:after="0"/>
              <w:rPr>
                <w:sz w:val="18"/>
                <w:szCs w:val="18"/>
                <w:color w:val="auto"/>
              </w:rPr>
            </w:pPr>
          </w:p>
        </w:tc>
      </w:tr>
      <w:tr>
        <w:trPr>
          <w:trHeight w:val="209"/>
        </w:trPr>
        <w:tc>
          <w:tcPr>
            <w:tcW w:w="41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5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7,216</w:t>
            </w:r>
          </w:p>
        </w:tc>
        <w:tc>
          <w:tcPr>
            <w:tcW w:w="56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Accrued wages and employee benefits</w:t>
            </w: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c>
          <w:tcPr>
            <w:tcW w:w="5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5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2,151</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13,671</w:t>
            </w:r>
          </w:p>
        </w:tc>
        <w:tc>
          <w:tcPr>
            <w:tcW w:w="56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5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10,974</w:t>
            </w:r>
          </w:p>
        </w:tc>
        <w:tc>
          <w:tcPr>
            <w:tcW w:w="56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4,401</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3,643</w:t>
            </w:r>
          </w:p>
        </w:tc>
        <w:tc>
          <w:tcPr>
            <w:tcW w:w="5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5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152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1520" w:type="dxa"/>
            <w:vAlign w:val="bottom"/>
          </w:tcPr>
          <w:p>
            <w:pPr>
              <w:spacing w:after="0"/>
              <w:rPr>
                <w:sz w:val="18"/>
                <w:szCs w:val="18"/>
                <w:color w:val="auto"/>
              </w:rPr>
            </w:pP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64,797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109,394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79,972</w:t>
            </w:r>
          </w:p>
        </w:tc>
        <w:tc>
          <w:tcPr>
            <w:tcW w:w="56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4160" w:type="dxa"/>
            <w:vAlign w:val="bottom"/>
          </w:tcPr>
          <w:p>
            <w:pPr>
              <w:spacing w:after="0"/>
              <w:rPr>
                <w:sz w:val="24"/>
                <w:szCs w:val="24"/>
                <w:color w:val="auto"/>
              </w:rPr>
            </w:pPr>
          </w:p>
        </w:tc>
        <w:tc>
          <w:tcPr>
            <w:tcW w:w="2480" w:type="dxa"/>
            <w:vAlign w:val="bottom"/>
            <w:gridSpan w:val="2"/>
          </w:tcPr>
          <w:p>
            <w:pPr>
              <w:jc w:val="right"/>
              <w:ind w:right="833"/>
              <w:spacing w:after="0"/>
              <w:rPr>
                <w:sz w:val="20"/>
                <w:szCs w:val="20"/>
                <w:color w:val="auto"/>
              </w:rPr>
            </w:pPr>
            <w:r>
              <w:rPr>
                <w:rFonts w:ascii="Times New Roman" w:cs="Times New Roman" w:eastAsia="Times New Roman" w:hAnsi="Times New Roman"/>
                <w:sz w:val="18"/>
                <w:szCs w:val="18"/>
                <w:color w:val="auto"/>
              </w:rPr>
              <w:t>46</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41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information of the Company gives effect to all acquisitions as though the transactions had occurred on January 1, 2018. Refer to Note 1, “Description of Business,” for further information on the acquisitions included in the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reported</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2,485,200</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2,204,336</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2,023,464</w:t>
            </w: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2,512,017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2,242,710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2,093,112</w:t>
            </w:r>
          </w:p>
        </w:tc>
      </w:tr>
      <w:tr>
        <w:trPr>
          <w:trHeight w:val="216"/>
        </w:trPr>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reported</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350,576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252,007</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238,257</w:t>
            </w: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339,317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239,925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220,555</w:t>
            </w:r>
          </w:p>
        </w:tc>
      </w:tr>
      <w:tr>
        <w:trPr>
          <w:trHeight w:val="216"/>
        </w:trPr>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Generac Holdings Inc. per common share -</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reported</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unaudited pro forma information is presented for informational purposes only and is not necessarily indicative of the results of operations that actually would have been achieved had the acquisitions been consummated on January 1, 2018.</w:t>
      </w:r>
    </w:p>
    <w:p>
      <w:pPr>
        <w:spacing w:after="0" w:line="200" w:lineRule="exact"/>
        <w:rPr>
          <w:sz w:val="20"/>
          <w:szCs w:val="20"/>
          <w:color w:val="auto"/>
        </w:rPr>
      </w:pPr>
    </w:p>
    <w:p>
      <w:pPr>
        <w:spacing w:after="0" w:line="201"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 2016, the Company acquired a 65% ownership interest in PR Industrial S.r.l. and its subsidiaries (Pramac). The 35% noncontrolling interest in Pramac had an acquisition date fair value of $34,253, and was recorded as a redeemable noncontrolling interest in the consolidated balance sheet, as the noncontrolling interest holder had within its control the right to require the Company to redeem its interest in Pramac. In February 2019, the Company amended its agreement with the noncontrolling interest holder of Pramac, extending the agreement by five years, allowing the Company to exercise its call option rights in partial increments at certain times during the five year period, and providing that the noncontrolling interest holder no longer holds the right to put its shares to the Company until April 1, 2021. The put and call option price is based on a multiple of earnings, subject to a floor and the terms of the acquisition agreement, as amended.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 2019, the Company acquired a 51% ownership interest in Captiva Energy Solutions, Ltd (Captiva). The 49% noncontrolling interest in Captiva has an acquisition date fair value of $3,165, and was recorded as a redeemable noncontrolling interest in the consolidated balance sheet, as the noncontrolling interest holder had within its control the right to require the Company to redeem its interest in Captiva. The noncontrolling interest holder has a put option to sell his interest to the Company any time after five years from the date of acquisition, or earlier upon the occurrence of certain circumstances. The put option price is based on a multiple of earnings, subject to the terms of the acquisition. Further, the Company has a call option that it may redeem any time after five years from the date of acquisition, or earlier upon the occurrence of certain circumstances. The call option price is based on a multiple of earnings, subject to the terms of the acquisition.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both transactions, the redeemable noncontrolling interest is recorded at the greater of the initial fair value, increased or decreased for the noncontrolling interests’ share of comprehensive income (loss), or the estimated redemption value, with any adjustments to the redemption value impacting retained earnings, but not net income. However, the redemption value adjustments are reflected in the earnings per share calculation, as detailed in Note 14, “Earnings Per Share,” to the consolidated financial statements. The following table presents the changes in the redeemable noncontrolling interest: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61,227</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61,004</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43,929</w:t>
            </w:r>
          </w:p>
        </w:tc>
      </w:tr>
      <w:tr>
        <w:trPr>
          <w:trHeight w:val="21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3,165</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2,214</w:t>
            </w:r>
          </w:p>
        </w:tc>
      </w:tr>
      <w:tr>
        <w:trPr>
          <w:trHeight w:val="21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(3,109)</w:t>
            </w:r>
          </w:p>
        </w:tc>
      </w:tr>
      <w:tr>
        <w:trPr>
          <w:trHeight w:val="21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 adjustment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17,970</w:t>
            </w:r>
          </w:p>
        </w:tc>
      </w:tr>
      <w:tr>
        <w:trPr>
          <w:trHeight w:val="20"/>
        </w:trPr>
        <w:tc>
          <w:tcPr>
            <w:tcW w:w="65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66,207</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61,227</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61,004</w:t>
            </w:r>
          </w:p>
        </w:tc>
      </w:tr>
      <w:tr>
        <w:trPr>
          <w:trHeight w:val="20"/>
        </w:trPr>
        <w:tc>
          <w:tcPr>
            <w:tcW w:w="6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noncontrolling interest of Captiva calculated at the date of acquisition, February 1, 2019.</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price fluctuations in commodities including steel, copper and aluminum; and periodically utilizes commodity derivatives to mitigate the impact of these potential price fluctuations on its financial results. These derivatives typically have maturities of less than eighteen months. At December 31, 2020 and 2019, the Company had one and no commodity contracts outstanding,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these contracts do not qualify for hedge accounting, the related gains and losses are recorded in cost of goods sold in the Company’s consolidated statements of comprehensive income. Net pre-tax gains (losses) recognized were $2,185, $(174), and $(874) for the years ended December 31, 2020, 2019 and 2018,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foreign currency exchange risk as a result of transactions denominated in currencies other than the U.S. Dollar. The Company periodically utilizes foreign currency forward purchase and sales contracts to manage the volatility associated with certain foreign currency purchases and sales in the normal course of business. Contracts typically have maturities of twelve months or less. As of December 31, 2020 and 2019, the Company had forty-four and forty-three foreign currency contracts outstanding,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these contracts do not qualify for hedge accounting, the related gains and losses are recorded in "other, net" in the Company’s consolidated statements of comprehensive income. Net pre-tax gains (losses) recognized for the years ended December 31, 2020, 2019 and 2018 were $355, $(1,195), and $(653),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2017, the Company entered into twenty interest rate swap agreements, twelve of which were still outstanding as of December 31, 2020. In December 2019, in conjunction with the amendment to its Term Loan, the Company amended those interest rate swaps to remove the LIBOR floor, which also resulted in minor reductions to the future dated swap fixed rates. In March 2020, the Company entered into three additional interest rate swap agreements, bringing the total outstanding interest rate swaps to fifteen as of December 31, 2020. The Company formally documented all relationships between interest rate hedging instruments and the related hedged items, as well as its risk-management objectives and strategies for undertaking these hedge transactions. These interest rate swap agreements qualify as cash flow hedges and therefore, the effective portions of the gains or losses are reported as a component of accumulated other comprehensive loss (AOCL) in the consolidated balance sheets. The amount of after-tax gains (losses) recognized for the years ended December 31, 2020, 2019 and 2018 were $(14,285), $(13,855), and $2,924, respectively. The cash flows of the swaps are recognized as adjustments to interest expense each period. The ineffective portions of the derivatives’ changes in fair value, if any, are immediately recognized in earnings.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fair value of the Company’s derivatives: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(10,425)</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the commodity contract is included in prepaid expenses and other current assets, and the fair values of the foreign currency contracts and interest rate swaps are included in other accrued liabilities and other long-term liabilities in the consolidated balance sheet as of December 31, 2020. The fair value of the commodity and foreign currency contracts are included in prepaid expenses and other current assets, and the fair value of the interest rate swaps are included in other accrued liabilities and other long-term liabilities in the consolidated balance sheet as of December 31, 2019. Excluding the impact of credit risk, the fair value of the derivative contracts as of December 31, 2020 and 2019 is a liability of $28,667 and $10,588, respectively, which represents the net amount the Company would pay to exit all of the agreements on those dates.</w:t>
      </w:r>
    </w:p>
    <w:p>
      <w:pPr>
        <w:spacing w:after="0" w:line="200" w:lineRule="exact"/>
        <w:rPr>
          <w:sz w:val="20"/>
          <w:szCs w:val="20"/>
          <w:color w:val="auto"/>
        </w:rPr>
      </w:pPr>
    </w:p>
    <w:p>
      <w:pPr>
        <w:spacing w:after="0" w:line="226"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a tabular disclosure of changes in AOCL during the years ended December 31, 2020 and 2019, net of tax: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26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22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6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 on Cash</w:t>
            </w: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840" w:type="dxa"/>
            <w:vAlign w:val="bottom"/>
          </w:tcPr>
          <w:p>
            <w:pPr>
              <w:spacing w:after="0"/>
              <w:rPr>
                <w:sz w:val="20"/>
                <w:szCs w:val="20"/>
                <w:color w:val="auto"/>
              </w:rPr>
            </w:pPr>
          </w:p>
        </w:tc>
        <w:tc>
          <w:tcPr>
            <w:tcW w:w="124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Flow Hedges</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(24,917)</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4,948</w:t>
            </w: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(14,285)</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(9,337)</w:t>
            </w:r>
          </w:p>
        </w:tc>
      </w:tr>
      <w:tr>
        <w:trPr>
          <w:trHeight w:val="216"/>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4,948</w:t>
            </w: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(14,285)</w:t>
            </w:r>
          </w:p>
        </w:tc>
        <w:tc>
          <w:tcPr>
            <w:tcW w:w="5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(9,337)</w:t>
            </w:r>
          </w:p>
        </w:tc>
      </w:tr>
      <w:tr>
        <w:trPr>
          <w:trHeight w:val="20"/>
        </w:trPr>
        <w:tc>
          <w:tcPr>
            <w:tcW w:w="5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December 31, 2020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(22,580)</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(34,254)</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Gain (Loss) on</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Defined Benefit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Cash Flow</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Pension Plan</w:t>
            </w: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2019</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(18,832)</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5,560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(23,813)</w:t>
            </w: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2,210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(13,855) (3)</w:t>
            </w:r>
          </w:p>
        </w:tc>
        <w:tc>
          <w:tcPr>
            <w:tcW w:w="3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(10,171)</w:t>
            </w:r>
          </w:p>
        </w:tc>
      </w:tr>
      <w:tr>
        <w:trPr>
          <w:trHeight w:val="216"/>
        </w:trPr>
        <w:tc>
          <w:tcPr>
            <w:tcW w:w="4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2,210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(13,855)</w:t>
            </w:r>
          </w:p>
        </w:tc>
        <w:tc>
          <w:tcPr>
            <w:tcW w:w="3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w:t>
            </w:r>
          </w:p>
        </w:tc>
      </w:tr>
      <w:tr>
        <w:trPr>
          <w:trHeight w:val="20"/>
        </w:trPr>
        <w:tc>
          <w:tcPr>
            <w:tcW w:w="4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December 31, 2019</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(8,295)</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(24,917)</w:t>
            </w:r>
          </w:p>
        </w:tc>
      </w:tr>
      <w:tr>
        <w:trPr>
          <w:trHeight w:val="20"/>
        </w:trPr>
        <w:tc>
          <w:tcPr>
            <w:tcW w:w="4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losses of $(19,111), net of tax effect of $4,826 for the year ended December 31, 2020.</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unrecognized actuarial gains of $1,992 net of tax effect of $(518), included in the computation of net periodic pension cost for the year ended December 31, 2019. Refer to Note 16, “Benefit Plans,” to the consolidated financial statements for additional information.</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losses of $(18,732), net of tax effect of $4,877 for the year ended December 31, 2019.</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7240" w:type="dxa"/>
            <w:vAlign w:val="bottom"/>
            <w:gridSpan w:val="2"/>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 Details of reclassifications from AOCL during 2019 are as follows: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Amounts</w:t>
            </w:r>
          </w:p>
        </w:tc>
      </w:tr>
      <w:tr>
        <w:trPr>
          <w:trHeight w:val="216"/>
        </w:trPr>
        <w:tc>
          <w:tcPr>
            <w:tcW w:w="50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reclassified from</w:t>
            </w:r>
          </w:p>
        </w:tc>
      </w:tr>
      <w:tr>
        <w:trPr>
          <w:trHeight w:val="238"/>
        </w:trPr>
        <w:tc>
          <w:tcPr>
            <w:tcW w:w="50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AOCL</w:t>
            </w:r>
          </w:p>
        </w:tc>
        <w:tc>
          <w:tcPr>
            <w:tcW w:w="100" w:type="dxa"/>
            <w:vAlign w:val="bottom"/>
          </w:tcPr>
          <w:p>
            <w:pPr>
              <w:spacing w:after="0"/>
              <w:rPr>
                <w:sz w:val="20"/>
                <w:szCs w:val="20"/>
                <w:color w:val="auto"/>
              </w:rPr>
            </w:pPr>
          </w:p>
        </w:tc>
      </w:tr>
      <w:tr>
        <w:trPr>
          <w:trHeight w:val="209"/>
        </w:trPr>
        <w:tc>
          <w:tcPr>
            <w:tcW w:w="50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pension settlement</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10,920</w:t>
            </w:r>
          </w:p>
        </w:tc>
      </w:tr>
      <w:tr>
        <w:trPr>
          <w:trHeight w:val="216"/>
        </w:trPr>
        <w:tc>
          <w:tcPr>
            <w:tcW w:w="5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1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tax</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11,763</w:t>
            </w:r>
          </w:p>
        </w:tc>
      </w:tr>
      <w:tr>
        <w:trPr>
          <w:trHeight w:val="216"/>
        </w:trPr>
        <w:tc>
          <w:tcPr>
            <w:tcW w:w="5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Income tax impact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(2,696)</w:t>
            </w:r>
          </w:p>
        </w:tc>
      </w:tr>
      <w:tr>
        <w:trPr>
          <w:trHeight w:val="249"/>
        </w:trPr>
        <w:tc>
          <w:tcPr>
            <w:tcW w:w="50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reclassified from AOCL during 2019</w:t>
            </w: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two reportable segments for financial reporting purposes – Domestic and International. The Domestic segment includes the legacy Generac business (excluding its traditional Latin American export operations), and the acquisitions that are based in the U.S. and Canada, all of which have revenues substantially derived from the U.S. and Canada. The International segment includes the legacy Generac business Latin American export operations, and the Ottomotores, Tower Light, Pramac, Motortech and Selmec acquisitions, all of which have revenues substantially derived from outside the U.S and Canada. Both reportable segments design and manufacture a wide range of energy technology solutions and other power products. The Company has multiple operating segments, which it aggregates into the two reportable segments, based on materially similar economic characteristics, products, production processes, classes of customers, distribution methods and regional considerations.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product offerings consist primarily of power generation equipment, energy storage systems, and other power products geared for varying end customer uses. Residential products and C&amp;I products are each a similar class of products based on similar power output and end customer. The breakout of net sales between residential, C&amp;I, and other products by reportable segment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Net Sales by Segment</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6"/>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1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Classes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products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1,495,383</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61,118</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1,556,501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 products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296,884</w:t>
            </w:r>
          </w:p>
        </w:tc>
        <w:tc>
          <w:tcPr>
            <w:tcW w:w="3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701,751</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38,390</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226,948</w:t>
            </w:r>
          </w:p>
        </w:tc>
      </w:tr>
      <w:tr>
        <w:trPr>
          <w:trHeight w:val="20"/>
        </w:trPr>
        <w:tc>
          <w:tcPr>
            <w:tcW w:w="5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2,088,808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396,392</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2,485,200</w:t>
            </w:r>
          </w:p>
        </w:tc>
      </w:tr>
      <w:tr>
        <w:trPr>
          <w:trHeight w:val="20"/>
        </w:trPr>
        <w:tc>
          <w:tcPr>
            <w:tcW w:w="5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580" w:type="dxa"/>
            <w:vAlign w:val="bottom"/>
            <w:tcBorders>
              <w:top w:val="single" w:sz="8" w:color="auto"/>
              <w:bottom w:val="single" w:sz="8" w:color="auto"/>
            </w:tcBorders>
            <w:gridSpan w:val="6"/>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11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Classes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products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57,704</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1,143,723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 products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358,113</w:t>
            </w:r>
          </w:p>
        </w:tc>
        <w:tc>
          <w:tcPr>
            <w:tcW w:w="3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871,595</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45,621</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189,018</w:t>
            </w:r>
          </w:p>
        </w:tc>
      </w:tr>
      <w:tr>
        <w:trPr>
          <w:trHeight w:val="20"/>
        </w:trPr>
        <w:tc>
          <w:tcPr>
            <w:tcW w:w="5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1,742,898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461,438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2,204,336</w:t>
            </w:r>
          </w:p>
        </w:tc>
      </w:tr>
      <w:tr>
        <w:trPr>
          <w:trHeight w:val="20"/>
        </w:trPr>
        <w:tc>
          <w:tcPr>
            <w:tcW w:w="5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580" w:type="dxa"/>
            <w:vAlign w:val="bottom"/>
            <w:tcBorders>
              <w:top w:val="single" w:sz="8" w:color="auto"/>
              <w:bottom w:val="single" w:sz="8" w:color="auto"/>
            </w:tcBorders>
            <w:gridSpan w:val="6"/>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11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Classes</w:t>
            </w:r>
          </w:p>
        </w:tc>
        <w:tc>
          <w:tcPr>
            <w:tcW w:w="1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products</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980,707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62,032</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1,042,739</w:t>
            </w:r>
          </w:p>
        </w:tc>
        <w:tc>
          <w:tcPr>
            <w:tcW w:w="114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 products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461,415</w:t>
            </w: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358,855</w:t>
            </w:r>
          </w:p>
        </w:tc>
        <w:tc>
          <w:tcPr>
            <w:tcW w:w="3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820,270</w:t>
            </w:r>
          </w:p>
        </w:tc>
        <w:tc>
          <w:tcPr>
            <w:tcW w:w="114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36,057</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160,455</w:t>
            </w:r>
          </w:p>
        </w:tc>
        <w:tc>
          <w:tcPr>
            <w:tcW w:w="1140" w:type="dxa"/>
            <w:vAlign w:val="bottom"/>
          </w:tcPr>
          <w:p>
            <w:pPr>
              <w:spacing w:after="0"/>
              <w:rPr>
                <w:sz w:val="18"/>
                <w:szCs w:val="18"/>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1,566,520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456,944</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2,023,464</w:t>
            </w:r>
          </w:p>
        </w:tc>
        <w:tc>
          <w:tcPr>
            <w:tcW w:w="114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3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37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Residential products consist primarily of automatic home standby generators ranging in output from 7.5kW to 150kW, portable generators, energy storage and monitoring solutions, and other outdoor power equipment. These products are sold through independent residential dealers, national and regional retailers, e-commerce merchants, electrical/HVAC/solar wholesalers, solar installers, and outdoor power equipment dealers. The residential products revenue consists of the sale of the product to our distribution partners, which in turn sell or rent the product to the end consumer, including installation and maintenance services. In some cases, residential products are sold direct to the end consumer. Substantially all of the residential products revenues are transferred to the customer at a point in time.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C&amp;I products consist of larger output stationary generators used in C&amp;I applications and fueled by diesel, natural gas, liquid propane and bi-fuel, with power outputs ranging from 10kW up to 3,250kW. Also included in C&amp;I products are mobile generators, light towers, mobile heaters and mobile pumps. These products are sold through industrial distributors and dealers, equipment rental companies and equipment distributors. The C&amp;I products revenue consists of the sale of the product to our distribution partners, which in turn sell or rent the product to the end customer, including installation and maintenance services. In some cases, C&amp;I products are sold direct to the end customer. Substantially all of the C&amp;I products revenues are transferred to the customer at a point in time.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consists primarily of aftermarket service parts and product accessories sold to our dealers, the amortization of extended warranty deferred revenue, remote monitoring subscription revenue, grid services, installation and maintenance service revenue. The aftermarket service parts and product accessories are generally transferred to the customer at a point in time, while the extended warranty and subscription revenue are recognized over the life of the contract. Other service revenue is recognized when the service is performed.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evaluates the performance of its segments based primarily on Adjusted EBITDA, which is reconciled to Income before provision for income taxes below. The computation of Adjusted EBITDA is based on the definition that is contained in the Company’s credit agreements.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7"/>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563,394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428,667</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388,495</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20,379</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36,057</w:t>
            </w:r>
          </w:p>
        </w:tc>
      </w:tr>
      <w:tr>
        <w:trPr>
          <w:trHeight w:val="20"/>
        </w:trPr>
        <w:tc>
          <w:tcPr>
            <w:tcW w:w="5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adjusted EBITDA</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583,773</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454,115</w:t>
            </w:r>
          </w:p>
        </w:tc>
        <w:tc>
          <w:tcPr>
            <w:tcW w:w="1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424,552</w:t>
            </w:r>
          </w:p>
        </w:tc>
      </w:tr>
      <w:tr>
        <w:trPr>
          <w:trHeight w:val="196"/>
        </w:trPr>
        <w:tc>
          <w:tcPr>
            <w:tcW w:w="56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(32,991)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(40,956)</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(68,773)</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(60,767)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(47,408)</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write-down and other adjustments (1)</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(3,532)</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Non-cash share-based compensation expense (2)</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(20,882)</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(14,563)</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(3)</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(1,332)</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Loss on pension settlement (4)</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and credit facility fees (5)</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(3,883)</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Business optimization and other charges (6)</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(12,158)</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(952)</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(954)</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(850)</w:t>
            </w:r>
          </w:p>
        </w:tc>
      </w:tr>
      <w:tr>
        <w:trPr>
          <w:trHeight w:val="20"/>
        </w:trPr>
        <w:tc>
          <w:tcPr>
            <w:tcW w:w="56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446,191</w:t>
            </w:r>
          </w:p>
        </w:tc>
        <w:tc>
          <w:tcPr>
            <w:tcW w:w="220" w:type="dxa"/>
            <w:vAlign w:val="bottom"/>
          </w:tcPr>
          <w:p>
            <w:pPr>
              <w:spacing w:after="0"/>
              <w:rPr>
                <w:sz w:val="18"/>
                <w:szCs w:val="18"/>
                <w:color w:val="auto"/>
              </w:rPr>
            </w:pPr>
          </w:p>
        </w:tc>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319,607</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311,076</w:t>
            </w:r>
          </w:p>
        </w:tc>
      </w:tr>
      <w:tr>
        <w:trPr>
          <w:trHeight w:val="20"/>
        </w:trPr>
        <w:tc>
          <w:tcPr>
            <w:tcW w:w="5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foreign currency and purchase accounting related adjustments, gains/losses on disposal of assets and unrealized mark-to-market adjustments on commodity contracts.</w:t>
      </w:r>
    </w:p>
    <w:p>
      <w:pPr>
        <w:ind w:left="660" w:right="2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to account for stock options, restricted stock and other stock awards over their respective vesting periods.</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non-cash write-off of original issue discount and deferred financing costs due to a voluntary prepayment of Term Loan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pre-tax settlement charges related to the termination of the Company’s domestic pension plan in the fourth quarter of 2019.</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incurred directly in connection with any investment, as defined in our credit agreement, equity issuance, debt issuance or refinancing, together with certain fees relating to our senior secured credit facilities.</w:t>
      </w:r>
    </w:p>
    <w:p>
      <w:pPr>
        <w:jc w:val="both"/>
        <w:ind w:left="660" w:hanging="328"/>
        <w:spacing w:after="0" w:line="255"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2020, represents severance, non-cash asset write-downs, and other charges to address the impact of the COVID-19 pandemic and decline in oil prices. For the year ended December 31, 2019, represents severance and other charges related to the consolidation of certain of our facilities.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2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tables summarize additional financial information by reportable segment:</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8"/>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2,659,597</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2,123,251</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1,868,554</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575,826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542,418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557,760</w:t>
            </w:r>
          </w:p>
        </w:tc>
      </w:tr>
      <w:tr>
        <w:trPr>
          <w:trHeight w:val="20"/>
        </w:trPr>
        <w:tc>
          <w:tcPr>
            <w:tcW w:w="3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3,235,423</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2,665,669</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2,426,314</w:t>
            </w:r>
          </w:p>
        </w:tc>
      </w:tr>
      <w:tr>
        <w:trPr>
          <w:trHeight w:val="20"/>
        </w:trPr>
        <w:tc>
          <w:tcPr>
            <w:tcW w:w="34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8"/>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Depreciation and Amortization</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8"/>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53,020</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46,145</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35,586</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15,753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14,764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11,822</w:t>
            </w:r>
          </w:p>
        </w:tc>
      </w:tr>
      <w:tr>
        <w:trPr>
          <w:trHeight w:val="20"/>
        </w:trPr>
        <w:tc>
          <w:tcPr>
            <w:tcW w:w="3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68,773</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60,909</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47,408</w:t>
            </w:r>
          </w:p>
        </w:tc>
      </w:tr>
      <w:tr>
        <w:trPr>
          <w:trHeight w:val="20"/>
        </w:trPr>
        <w:tc>
          <w:tcPr>
            <w:tcW w:w="34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Capital Expenditures</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8"/>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51,867</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36,007</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38,242</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10,261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24,795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9,359</w:t>
            </w:r>
          </w:p>
        </w:tc>
      </w:tr>
      <w:tr>
        <w:trPr>
          <w:trHeight w:val="20"/>
        </w:trPr>
        <w:tc>
          <w:tcPr>
            <w:tcW w:w="3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62,128</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60,802</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47,601</w:t>
            </w:r>
          </w:p>
        </w:tc>
      </w:tr>
      <w:tr>
        <w:trPr>
          <w:trHeight w:val="20"/>
        </w:trPr>
        <w:tc>
          <w:tcPr>
            <w:tcW w:w="34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sales in the United States represent approximately 82%, 75%, and 74% of total sales for the years ended December 31, 2020, 2019 and 2018, respectively. Approximately 81% and 80% of the Company’s identifiable long-lived assets are located in the United States as of December 31, 2020 and 2019,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material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Work-in-process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Finished goods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68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18"/>
                <w:szCs w:val="18"/>
                <w:color w:val="auto"/>
              </w:rPr>
            </w:pPr>
          </w:p>
        </w:tc>
      </w:tr>
      <w:tr>
        <w:trPr>
          <w:trHeight w:val="191"/>
        </w:trPr>
        <w:tc>
          <w:tcPr>
            <w:tcW w:w="340" w:type="dxa"/>
            <w:vAlign w:val="bottom"/>
          </w:tcPr>
          <w:p>
            <w:pPr>
              <w:jc w:val="right"/>
              <w:ind w:right="1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375,516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328,021</w:t>
            </w:r>
          </w:p>
        </w:tc>
        <w:tc>
          <w:tcPr>
            <w:tcW w:w="2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6,833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10,387</w:t>
            </w:r>
          </w:p>
        </w:tc>
      </w:tr>
      <w:tr>
        <w:trPr>
          <w:trHeight w:val="234"/>
        </w:trPr>
        <w:tc>
          <w:tcPr>
            <w:tcW w:w="3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220,968</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183,616</w:t>
            </w:r>
          </w:p>
        </w:tc>
      </w:tr>
      <w:tr>
        <w:trPr>
          <w:trHeight w:val="210"/>
        </w:trPr>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603,317</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522,024</w:t>
            </w:r>
          </w:p>
        </w:tc>
        <w:tc>
          <w:tcPr>
            <w:tcW w:w="2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-582295</wp:posOffset>
            </wp:positionV>
            <wp:extent cx="606044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-307975</wp:posOffset>
            </wp:positionV>
            <wp:extent cx="606044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60440" cy="1454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700"/>
          </w:cols>
          <w:pgMar w:left="320" w:top="121" w:right="33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and 2019, inventories totaling $9,154 and $18,684, respectively, were on consignment at customer locations.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18,363</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18,252</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198,908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177,079</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153,696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117,114</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Dies and tools</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24,190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22,040</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3,955</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systems</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107,923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99,124</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4,293</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30,227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36,299</w:t>
            </w:r>
          </w:p>
        </w:tc>
      </w:tr>
      <w:tr>
        <w:trPr>
          <w:trHeight w:val="20"/>
        </w:trPr>
        <w:tc>
          <w:tcPr>
            <w:tcW w:w="6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544,620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478,156</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(200,684)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(161,180)</w:t>
            </w:r>
          </w:p>
        </w:tc>
      </w:tr>
      <w:tr>
        <w:trPr>
          <w:trHeight w:val="20"/>
        </w:trPr>
        <w:tc>
          <w:tcPr>
            <w:tcW w:w="6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343,936</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316,976</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Total property and equipment included finance leases of $27,269 and $26,063 at December 31, 2020 and 2019, respectively, primarily made up of buildings and improvements. Amortization of finance lease right of use assets is recorded within depreciation expense in the consolidated statements of comprehensive income. The initial measurement of new finance lease right of use assets is accounted for as a non-cash item in the consolidated statement of cash flows. Refer to Note 10, “Leases,” for further information regarding the Company’s accounting for leases under ASC 842, </w:t>
      </w:r>
      <w:r>
        <w:rPr>
          <w:rFonts w:ascii="Times New Roman" w:cs="Times New Roman" w:eastAsia="Times New Roman" w:hAnsi="Times New Roman"/>
          <w:sz w:val="18"/>
          <w:szCs w:val="18"/>
          <w:i w:val="1"/>
          <w:iCs w:val="1"/>
          <w:color w:val="auto"/>
        </w:rPr>
        <w:t>Leases.</w:t>
      </w:r>
    </w:p>
    <w:p>
      <w:pPr>
        <w:spacing w:after="0" w:line="200" w:lineRule="exact"/>
        <w:rPr>
          <w:sz w:val="20"/>
          <w:szCs w:val="20"/>
          <w:color w:val="auto"/>
        </w:rPr>
      </w:pPr>
    </w:p>
    <w:p>
      <w:pPr>
        <w:spacing w:after="0" w:line="219"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for the years ended December 31, 2020 and 2019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621,451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143,204</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764,655</w:t>
            </w: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of businesses, net</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37,758</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40,836</w:t>
            </w: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r>
      <w:tr>
        <w:trPr>
          <w:trHeight w:val="20"/>
        </w:trPr>
        <w:tc>
          <w:tcPr>
            <w:tcW w:w="40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659,209</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146,075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805,284</w:t>
            </w: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of businesses, net</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42,722</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42,722</w:t>
            </w: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7,222</w:t>
            </w:r>
          </w:p>
        </w:tc>
      </w:tr>
      <w:tr>
        <w:trPr>
          <w:trHeight w:val="20"/>
        </w:trPr>
        <w:tc>
          <w:tcPr>
            <w:tcW w:w="4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702,535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152,693</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855,228</w:t>
            </w: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“Acquisitions,” to the consolidated financial statements for further information regarding the Company’s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the gross goodwill applicable to each reportable segment at December 31, 2020 and 2019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Gross</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Impairment</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Gross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Impairment</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Pr>
          <w:p>
            <w:pPr>
              <w:spacing w:after="0"/>
              <w:rPr>
                <w:sz w:val="20"/>
                <w:szCs w:val="20"/>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1,205,728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(503,193)</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702,535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1,162,402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(503,193)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659,209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157,304</w:t>
            </w:r>
          </w:p>
        </w:tc>
        <w:tc>
          <w:tcPr>
            <w:tcW w:w="3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(4,611)</w:t>
            </w: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152,693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150,686</w:t>
            </w:r>
          </w:p>
        </w:tc>
        <w:tc>
          <w:tcPr>
            <w:tcW w:w="3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(4,611)</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146,075</w:t>
            </w:r>
          </w:p>
        </w:tc>
      </w:tr>
      <w:tr>
        <w:trPr>
          <w:trHeight w:val="20"/>
        </w:trPr>
        <w:tc>
          <w:tcPr>
            <w:tcW w:w="3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1,363,032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(507,804)</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855,228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1,313,088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(507,804)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805,284</w:t>
            </w:r>
          </w:p>
        </w:tc>
      </w:tr>
      <w:tr>
        <w:trPr>
          <w:trHeight w:val="413"/>
        </w:trPr>
        <w:tc>
          <w:tcPr>
            <w:tcW w:w="32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summarizes intangible assets by major category as of December 31, 2020 and 2019:</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36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c>
          <w:tcPr>
            <w:tcW w:w="160" w:type="dxa"/>
            <w:vAlign w:val="bottom"/>
          </w:tcPr>
          <w:p>
            <w:pPr>
              <w:spacing w:after="0"/>
              <w:rPr>
                <w:sz w:val="24"/>
                <w:szCs w:val="24"/>
                <w:color w:val="auto"/>
              </w:rPr>
            </w:pPr>
          </w:p>
        </w:tc>
        <w:tc>
          <w:tcPr>
            <w:tcW w:w="22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360" w:type="dxa"/>
            <w:vAlign w:val="bottom"/>
          </w:tcPr>
          <w:p>
            <w:pPr>
              <w:spacing w:after="0"/>
              <w:rPr>
                <w:sz w:val="19"/>
                <w:szCs w:val="19"/>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vMerge w:val="continue"/>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360" w:type="dxa"/>
            <w:vAlign w:val="bottom"/>
          </w:tcPr>
          <w:p>
            <w:pPr>
              <w:spacing w:after="0"/>
              <w:rPr>
                <w:sz w:val="16"/>
                <w:szCs w:val="16"/>
                <w:color w:val="auto"/>
              </w:rPr>
            </w:pPr>
          </w:p>
        </w:tc>
        <w:tc>
          <w:tcPr>
            <w:tcW w:w="118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Amortization</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Accumulated</w:t>
            </w:r>
          </w:p>
        </w:tc>
        <w:tc>
          <w:tcPr>
            <w:tcW w:w="18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7"/>
              </w:rPr>
              <w:t>Net Book</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Accumulated</w:t>
            </w:r>
          </w:p>
        </w:tc>
        <w:tc>
          <w:tcPr>
            <w:tcW w:w="180" w:type="dxa"/>
            <w:vAlign w:val="bottom"/>
          </w:tcPr>
          <w:p>
            <w:pPr>
              <w:spacing w:after="0"/>
              <w:rPr>
                <w:sz w:val="16"/>
                <w:szCs w:val="16"/>
                <w:color w:val="auto"/>
              </w:rPr>
            </w:pPr>
          </w:p>
        </w:tc>
        <w:tc>
          <w:tcPr>
            <w:tcW w:w="80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rPr>
              <w:t>Net Book</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Years</w:t>
            </w: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Gross</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Gross</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Tradenames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58,729</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56,669</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20,056</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lists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370,736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(321,531)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49,205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369,932</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(314,380)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55,552</w:t>
            </w: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Patents and technology</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233,271</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(146,544)</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86,727</w:t>
            </w: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213,972</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(128,426)</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85,546</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Non-compete/other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16,469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9,932</w:t>
            </w: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12,063</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680,251</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163,702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653,682</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169,413</w:t>
            </w: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Indefinite-lived tradenames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128,321</w:t>
            </w:r>
          </w:p>
        </w:tc>
        <w:tc>
          <w:tcPr>
            <w:tcW w:w="3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128,321</w:t>
            </w: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128,321</w:t>
            </w:r>
          </w:p>
        </w:tc>
        <w:tc>
          <w:tcPr>
            <w:tcW w:w="3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128,321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808,572</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782,003</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297,734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was $32,280, $28,644 and $22,112 in 2020, 2019 and 2018, respectively. Excluding the impact of any future acquisitions, the Company estimates amortization expense for the next five years will be as follows: 2021 - $33,906; 2022 - $26,649; 2023 - $22,129; 2024 - $18,581; 2025 - $16,808.</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contract inception. The Company recognizes a right of use (“ROU”) asset and lease liability at the lease commencement date based on the present value of the lease payments over the lease term. As the Company’s leases generally do not provide an implicit rate, the incremental borrowing rate is used to determine the present value of lease payments. The incremental borrowing rate is a collateralized rate determined based on the lease term, the Company’s credit rating, and other market information available at the commencement date. The ROU asset also includes any lease payments made prior to the commencement date and is reduced by any lease incentives. The lease term may include options to extend or terminate the lease when it is reasonably certain that the Company will exercise that option. Lease expense for operating leases is recognized on a straight-line basis over the lease term, while lease expense for finance leases is recognized as depreciation and interest expense using the effective interest method. The Company’s variable lease expense generally consists of property tax and insurance payments that are variable in nature, however, these amounts are immaterial to the consolidated financial statements and are therefore not separately reported.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lease agreements with both lease and nonlease components, which it elected to account for as a single lease component. However, the Company did not elect to apply the recognition exception for short-term leases. The Company is applying these elections to all asset classes.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certain manufacturing facilities, distribution centers, office space, warehouses, automobiles, machinery and computer equipment globally under both finance and operating leases. The Company’s leases have remaining lease terms of up to 20 years, of which certain leases, primarily within the buildings and improvements asset class, include options to extend the leases for up to 10 additional years. Further, the Company leases certain buildings from a noncontrolling interest holder, which the Company has determined to be arms’ length transactions.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lessor of one building that it leases to a third party. The lease income related to this arrangement is not material to the consolidated financial statements.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records its operating lease cost and amortization of finance lease ROU assets within cost of goods sold or operating expenses in the consolidated statements of comprehensive income depending on the cost center of the underlying asset. The Company records its finance lease interest cost within interest expense in the consolidated statements of comprehensive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total lease cost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Amortization of ROU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5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17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28"/>
        </w:trPr>
        <w:tc>
          <w:tcPr>
            <w:tcW w:w="2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20" w:type="dxa"/>
            <w:vAlign w:val="bottom"/>
          </w:tcPr>
          <w:p>
            <w:pPr>
              <w:spacing w:after="0"/>
              <w:rPr>
                <w:sz w:val="19"/>
                <w:szCs w:val="19"/>
                <w:color w:val="auto"/>
              </w:rPr>
            </w:pPr>
          </w:p>
        </w:tc>
      </w:tr>
      <w:tr>
        <w:trPr>
          <w:trHeight w:val="395"/>
        </w:trPr>
        <w:tc>
          <w:tcPr>
            <w:tcW w:w="20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2,531</w:t>
            </w:r>
          </w:p>
        </w:tc>
      </w:tr>
      <w:tr>
        <w:trPr>
          <w:trHeight w:val="234"/>
        </w:trPr>
        <w:tc>
          <w:tcPr>
            <w:tcW w:w="2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2,227</w:t>
            </w:r>
          </w:p>
        </w:tc>
      </w:tr>
      <w:tr>
        <w:trPr>
          <w:trHeight w:val="209"/>
        </w:trPr>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23,472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20" w:type="dxa"/>
            <w:vAlign w:val="bottom"/>
          </w:tcPr>
          <w:p>
            <w:pPr>
              <w:spacing w:after="0"/>
              <w:rPr>
                <w:sz w:val="18"/>
                <w:szCs w:val="18"/>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4960" w:space="720"/>
            <w:col w:w="5560"/>
          </w:cols>
          <w:pgMar w:left="320" w:top="121" w:right="339" w:bottom="1440" w:gutter="0" w:footer="0" w:header="0"/>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adoption of ASU 2016-02 in 2019, lease expense consisted of payments on operating leases. Total rent expense related to operating leases for the year ended December 31, 2018 was approximately $10,739.</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1, 2019, the date of the adoption of ASU 2016-02, the Company recognized ROU assets and lease liabilities related to operating leases of $42,024 and $42,056, respectively, and there was no cumulative effect adjustment made to retained earnings. Supplemental balance sheet information related to the Company’s leases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10"/>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ROU assets (1)</w:t>
            </w: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62,030</w:t>
            </w: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35,950</w:t>
            </w:r>
          </w:p>
        </w:tc>
      </w:tr>
      <w:tr>
        <w:trPr>
          <w:trHeight w:val="20"/>
        </w:trPr>
        <w:tc>
          <w:tcPr>
            <w:tcW w:w="5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current (2)</w:t>
            </w: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17,192</w:t>
            </w: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7,231</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noncurrent (3)</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29,778</w:t>
            </w:r>
          </w:p>
        </w:tc>
      </w:tr>
      <w:tr>
        <w:trPr>
          <w:trHeight w:val="20"/>
        </w:trPr>
        <w:tc>
          <w:tcPr>
            <w:tcW w:w="56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63,750</w:t>
            </w:r>
          </w:p>
        </w:tc>
        <w:tc>
          <w:tcPr>
            <w:tcW w:w="160" w:type="dxa"/>
            <w:vAlign w:val="bottom"/>
          </w:tcPr>
          <w:p>
            <w:pPr>
              <w:spacing w:after="0"/>
              <w:rPr>
                <w:sz w:val="18"/>
                <w:szCs w:val="18"/>
                <w:color w:val="auto"/>
              </w:rPr>
            </w:pP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37,009</w:t>
            </w:r>
          </w:p>
        </w:tc>
      </w:tr>
      <w:tr>
        <w:trPr>
          <w:trHeight w:val="20"/>
        </w:trPr>
        <w:tc>
          <w:tcPr>
            <w:tcW w:w="5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ROU assets, gross</w:t>
            </w:r>
          </w:p>
        </w:tc>
        <w:tc>
          <w:tcPr>
            <w:tcW w:w="5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34,929</w:t>
            </w:r>
          </w:p>
        </w:tc>
        <w:tc>
          <w:tcPr>
            <w:tcW w:w="5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29,142</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depreciation - finance lease ROU assets</w:t>
            </w:r>
          </w:p>
        </w:tc>
        <w:tc>
          <w:tcPr>
            <w:tcW w:w="5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(7,660)</w:t>
            </w: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(3,079)</w:t>
            </w:r>
          </w:p>
        </w:tc>
      </w:tr>
      <w:tr>
        <w:trPr>
          <w:trHeight w:val="20"/>
        </w:trPr>
        <w:tc>
          <w:tcPr>
            <w:tcW w:w="5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ROU assets, net (4)</w:t>
            </w:r>
          </w:p>
        </w:tc>
        <w:tc>
          <w:tcPr>
            <w:tcW w:w="5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27,269</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26,063</w:t>
            </w:r>
          </w:p>
        </w:tc>
      </w:tr>
      <w:tr>
        <w:trPr>
          <w:trHeight w:val="197"/>
        </w:trPr>
        <w:tc>
          <w:tcPr>
            <w:tcW w:w="568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liabilities - current (5)</w:t>
            </w:r>
          </w:p>
        </w:tc>
        <w:tc>
          <w:tcPr>
            <w:tcW w:w="5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2,311</w:t>
            </w:r>
          </w:p>
        </w:tc>
        <w:tc>
          <w:tcPr>
            <w:tcW w:w="5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1,830</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 - noncurrent (6)</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24,132</w:t>
            </w:r>
          </w:p>
        </w:tc>
      </w:tr>
      <w:tr>
        <w:trPr>
          <w:trHeight w:val="20"/>
        </w:trPr>
        <w:tc>
          <w:tcPr>
            <w:tcW w:w="5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5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25,962</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the operating lease and other assets line within the consolidated balance sheets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the other accrued liabilities line within the consolidated balance sheets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the operating lease and other long-term liabilities line within the consolidated balance sheets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the property and equipment, net line within the consolidated balance sheets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the current portion of long-term borrowings and finance lease obligations line within the consolidated balance sheets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the long-term borrowings and finance lease obligations line within the consolidated balance sheets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leases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560" w:type="dxa"/>
            <w:vAlign w:val="bottom"/>
          </w:tcPr>
          <w:p>
            <w:pPr>
              <w:spacing w:after="0"/>
              <w:rPr>
                <w:sz w:val="18"/>
                <w:szCs w:val="18"/>
                <w:color w:val="auto"/>
              </w:rPr>
            </w:pPr>
          </w:p>
        </w:tc>
      </w:tr>
      <w:tr>
        <w:trPr>
          <w:trHeight w:val="238"/>
        </w:trPr>
        <w:tc>
          <w:tcPr>
            <w:tcW w:w="5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2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560" w:type="dxa"/>
            <w:vAlign w:val="bottom"/>
          </w:tcPr>
          <w:p>
            <w:pPr>
              <w:spacing w:after="0"/>
              <w:rPr>
                <w:sz w:val="20"/>
                <w:szCs w:val="20"/>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18,412</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10,125</w:t>
            </w:r>
          </w:p>
        </w:tc>
        <w:tc>
          <w:tcPr>
            <w:tcW w:w="5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1,864</w:t>
            </w:r>
          </w:p>
        </w:tc>
        <w:tc>
          <w:tcPr>
            <w:tcW w:w="560" w:type="dxa"/>
            <w:vAlign w:val="bottom"/>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3,237</w:t>
            </w:r>
          </w:p>
        </w:tc>
        <w:tc>
          <w:tcPr>
            <w:tcW w:w="5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4,021</w:t>
            </w:r>
          </w:p>
        </w:tc>
        <w:tc>
          <w:tcPr>
            <w:tcW w:w="560" w:type="dxa"/>
            <w:vAlign w:val="bottom"/>
          </w:tcPr>
          <w:p>
            <w:pPr>
              <w:spacing w:after="0"/>
              <w:rPr>
                <w:sz w:val="18"/>
                <w:szCs w:val="18"/>
                <w:color w:val="auto"/>
              </w:rPr>
            </w:pP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8,797</w:t>
            </w:r>
          </w:p>
        </w:tc>
        <w:tc>
          <w:tcPr>
            <w:tcW w:w="560" w:type="dxa"/>
            <w:vAlign w:val="bottom"/>
          </w:tcPr>
          <w:p>
            <w:pPr>
              <w:spacing w:after="0"/>
              <w:rPr>
                <w:sz w:val="20"/>
                <w:szCs w:val="20"/>
                <w:color w:val="auto"/>
              </w:rPr>
            </w:pPr>
          </w:p>
        </w:tc>
      </w:tr>
      <w:tr>
        <w:trPr>
          <w:trHeight w:val="414"/>
        </w:trPr>
        <w:tc>
          <w:tcPr>
            <w:tcW w:w="5300" w:type="dxa"/>
            <w:vAlign w:val="bottom"/>
          </w:tcPr>
          <w:p>
            <w:pPr>
              <w:spacing w:after="0"/>
              <w:rPr>
                <w:sz w:val="24"/>
                <w:szCs w:val="24"/>
                <w:color w:val="auto"/>
              </w:rPr>
            </w:pPr>
          </w:p>
        </w:tc>
        <w:tc>
          <w:tcPr>
            <w:tcW w:w="208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3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information related to the Company’s leases as of December 31, 2020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4.92</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12.90</w:t>
            </w:r>
          </w:p>
        </w:tc>
      </w:tr>
      <w:tr>
        <w:trPr>
          <w:trHeight w:val="216"/>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7.66%</w:t>
            </w:r>
          </w:p>
        </w:tc>
      </w:tr>
      <w:tr>
        <w:trPr>
          <w:trHeight w:val="432"/>
        </w:trPr>
        <w:tc>
          <w:tcPr>
            <w:tcW w:w="7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maturities of the Company’s lease liabilities as of December 31, 2020 are as follows:</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5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660" w:type="dxa"/>
            <w:vAlign w:val="bottom"/>
            <w:gridSpan w:val="2"/>
          </w:tcPr>
          <w:p>
            <w:pPr>
              <w:spacing w:after="0"/>
              <w:rPr>
                <w:sz w:val="24"/>
                <w:szCs w:val="24"/>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19,530</w:t>
            </w:r>
          </w:p>
        </w:tc>
        <w:tc>
          <w:tcPr>
            <w:tcW w:w="58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4,292</w:t>
            </w:r>
          </w:p>
        </w:tc>
        <w:tc>
          <w:tcPr>
            <w:tcW w:w="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18,135</w:t>
            </w:r>
          </w:p>
        </w:tc>
        <w:tc>
          <w:tcPr>
            <w:tcW w:w="5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3,112</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9,519</w:t>
            </w:r>
          </w:p>
        </w:tc>
        <w:tc>
          <w:tcPr>
            <w:tcW w:w="58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2,999</w:t>
            </w:r>
          </w:p>
        </w:tc>
        <w:tc>
          <w:tcPr>
            <w:tcW w:w="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7,452</w:t>
            </w:r>
          </w:p>
        </w:tc>
        <w:tc>
          <w:tcPr>
            <w:tcW w:w="5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2,678</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5,359</w:t>
            </w:r>
          </w:p>
        </w:tc>
        <w:tc>
          <w:tcPr>
            <w:tcW w:w="58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After 2025</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11,711</w:t>
            </w:r>
          </w:p>
        </w:tc>
        <w:tc>
          <w:tcPr>
            <w:tcW w:w="58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71,706</w:t>
            </w:r>
          </w:p>
        </w:tc>
        <w:tc>
          <w:tcPr>
            <w:tcW w:w="58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Interest component</w:t>
            </w: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(18,452)</w:t>
            </w:r>
          </w:p>
        </w:tc>
        <w:tc>
          <w:tcPr>
            <w:tcW w:w="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(7,956)</w:t>
            </w:r>
          </w:p>
        </w:tc>
        <w:tc>
          <w:tcPr>
            <w:tcW w:w="58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63,750</w:t>
            </w:r>
          </w:p>
        </w:tc>
        <w:tc>
          <w:tcPr>
            <w:tcW w:w="580" w:type="dxa"/>
            <w:vAlign w:val="bottom"/>
          </w:tcPr>
          <w:p>
            <w:pPr>
              <w:spacing w:after="0"/>
              <w:rPr>
                <w:sz w:val="19"/>
                <w:szCs w:val="19"/>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Product Warranty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a liability for standard product warranty obligations accounted for as assurance warranties at the time of sale to a customer based upon historical warranty experience. The Company also records a liability for specific warranty matters when they become known and are reasonably estimable. The following is a tabular reconciliation of the Company’s standard product warranty liability accounted for as an assurance warranty: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5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41,785</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35,422</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warranty reserve assumed in acquisition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(33,496)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(20,029)</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warranty issued</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26,910</w:t>
            </w:r>
          </w:p>
        </w:tc>
      </w:tr>
      <w:tr>
        <w:trPr>
          <w:trHeight w:val="216"/>
        </w:trPr>
        <w:tc>
          <w:tcPr>
            <w:tcW w:w="56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estimates for pre-existing warranties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w:t>
            </w:r>
          </w:p>
        </w:tc>
      </w:tr>
      <w:tr>
        <w:trPr>
          <w:trHeight w:val="20"/>
        </w:trPr>
        <w:tc>
          <w:tcPr>
            <w:tcW w:w="568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59,218</w:t>
            </w:r>
          </w:p>
        </w:tc>
        <w:tc>
          <w:tcPr>
            <w:tcW w:w="2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49,316</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41,785</w:t>
            </w:r>
          </w:p>
        </w:tc>
      </w:tr>
      <w:tr>
        <w:trPr>
          <w:trHeight w:val="20"/>
        </w:trPr>
        <w:tc>
          <w:tcPr>
            <w:tcW w:w="5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sells extended warranty coverage for certain products, which it accounts for as a service warranty. The sales of extended warranties are recorded as deferred revenue, and typically have a duration of five to ten years. The deferred revenue related to extended warranty coverage is amortized over the duration of the extended warranty contract period, following the standard warranty period, using the straight-line method. The Company believes the straight-line method is appropriate because the performance obligation is satisfied based on the passage of time. The amortization of deferred revenue is recorded to net sales in the consolidated statements of comprehensive income. The following is a tabular reconciliation of the deferred revenue related to extended warranty coverage: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0" w:type="dxa"/>
            <w:vAlign w:val="bottom"/>
            <w:gridSpan w:val="2"/>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78,738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68,340</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57,854</w:t>
            </w:r>
          </w:p>
        </w:tc>
        <w:tc>
          <w:tcPr>
            <w:tcW w:w="560" w:type="dxa"/>
            <w:vAlign w:val="bottom"/>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contracts issued</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26,968</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21,440</w:t>
            </w:r>
          </w:p>
        </w:tc>
        <w:tc>
          <w:tcPr>
            <w:tcW w:w="560" w:type="dxa"/>
            <w:vAlign w:val="bottom"/>
          </w:tcPr>
          <w:p>
            <w:pPr>
              <w:spacing w:after="0"/>
              <w:rPr>
                <w:sz w:val="18"/>
                <w:szCs w:val="18"/>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revenue contracts</w:t>
            </w:r>
          </w:p>
        </w:tc>
        <w:tc>
          <w:tcPr>
            <w:tcW w:w="12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(15,918)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(10,954)</w:t>
            </w:r>
          </w:p>
        </w:tc>
        <w:tc>
          <w:tcPr>
            <w:tcW w:w="560" w:type="dxa"/>
            <w:vAlign w:val="bottom"/>
          </w:tcPr>
          <w:p>
            <w:pPr>
              <w:spacing w:after="0"/>
              <w:rPr>
                <w:sz w:val="18"/>
                <w:szCs w:val="18"/>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128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80" w:type="dxa"/>
            <w:vAlign w:val="bottom"/>
          </w:tcPr>
          <w:p>
            <w:pPr>
              <w:spacing w:after="0"/>
              <w:rPr>
                <w:sz w:val="18"/>
                <w:szCs w:val="18"/>
                <w:color w:val="auto"/>
              </w:rPr>
            </w:pP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89,788</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78,738</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68,340</w:t>
            </w:r>
          </w:p>
        </w:tc>
        <w:tc>
          <w:tcPr>
            <w:tcW w:w="56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4400" w:type="dxa"/>
            <w:vAlign w:val="bottom"/>
          </w:tcPr>
          <w:p>
            <w:pPr>
              <w:spacing w:after="0"/>
              <w:rPr>
                <w:sz w:val="24"/>
                <w:szCs w:val="24"/>
                <w:color w:val="auto"/>
              </w:rPr>
            </w:pPr>
          </w:p>
        </w:tc>
        <w:tc>
          <w:tcPr>
            <w:tcW w:w="2200" w:type="dxa"/>
            <w:vAlign w:val="bottom"/>
            <w:gridSpan w:val="2"/>
          </w:tcPr>
          <w:p>
            <w:pPr>
              <w:jc w:val="right"/>
              <w:ind w:right="793"/>
              <w:spacing w:after="0"/>
              <w:rPr>
                <w:sz w:val="20"/>
                <w:szCs w:val="20"/>
                <w:color w:val="auto"/>
              </w:rPr>
            </w:pPr>
            <w:r>
              <w:rPr>
                <w:rFonts w:ascii="Times New Roman" w:cs="Times New Roman" w:eastAsia="Times New Roman" w:hAnsi="Times New Roman"/>
                <w:sz w:val="18"/>
                <w:szCs w:val="18"/>
                <w:color w:val="auto"/>
              </w:rPr>
              <w:t>56</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44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of recognition of the Company’s deferred revenue balance related to extended warranties at December 31, 2020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18,754</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18,819</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16,464</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11,849</w:t>
            </w:r>
          </w:p>
        </w:tc>
        <w:tc>
          <w:tcPr>
            <w:tcW w:w="80" w:type="dxa"/>
            <w:vAlign w:val="bottom"/>
          </w:tcPr>
          <w:p>
            <w:pPr>
              <w:spacing w:after="0"/>
              <w:rPr>
                <w:sz w:val="18"/>
                <w:szCs w:val="18"/>
                <w:color w:val="auto"/>
              </w:rPr>
            </w:pPr>
          </w:p>
        </w:tc>
      </w:tr>
      <w:tr>
        <w:trPr>
          <w:trHeight w:val="216"/>
        </w:trPr>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2024</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89,788</w:t>
            </w:r>
          </w:p>
        </w:tc>
        <w:tc>
          <w:tcPr>
            <w:tcW w:w="8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post-sale extended warranty marketing program with a third party. In the program’s agreement, the Company is required to pay fees to the third-party service provider based on the number of extended warranty contracts that they sell, which it classifies as costs to obtain a contract. The contract costs are deferred and recorded as other assets in the consolidated balance sheets. The deferred contract costs are amortized to net sales in the consolidated statements of comprehensive income over the same period that the underlying deferred revenue is recognized. The balance of deferred contract costs as of December 31, 2020 and 2019 was $6,869 and $6,190, respectively. Amortization of deferred contract costs recorded during the years ended December 31, 2020, 2019 and 2018 was $1,303, $869 and $615,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product warranty obligations and extended warranty related deferred revenues are included in the consolidated balance sheets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67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warranty liability</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 other accrued liabilities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37,417</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27,885</w:t>
            </w:r>
          </w:p>
        </w:tc>
        <w:tc>
          <w:tcPr>
            <w:tcW w:w="1140" w:type="dxa"/>
            <w:vAlign w:val="bottom"/>
          </w:tcPr>
          <w:p>
            <w:pPr>
              <w:spacing w:after="0"/>
              <w:rPr>
                <w:sz w:val="18"/>
                <w:szCs w:val="18"/>
                <w:color w:val="auto"/>
              </w:rPr>
            </w:pPr>
          </w:p>
        </w:tc>
      </w:tr>
      <w:tr>
        <w:trPr>
          <w:trHeight w:val="216"/>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portion - other long-term liabilities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21,801</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21,431</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59,218</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49,316</w:t>
            </w:r>
          </w:p>
        </w:tc>
        <w:tc>
          <w:tcPr>
            <w:tcW w:w="114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6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related to extended warranties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 other accrued liabilities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18,857</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15,519</w:t>
            </w:r>
          </w:p>
        </w:tc>
        <w:tc>
          <w:tcPr>
            <w:tcW w:w="1140" w:type="dxa"/>
            <w:vAlign w:val="bottom"/>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portion - other long-term liabilities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70,931</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63,219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89,788</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78,738</w:t>
            </w:r>
          </w:p>
        </w:tc>
        <w:tc>
          <w:tcPr>
            <w:tcW w:w="1140" w:type="dxa"/>
            <w:vAlign w:val="bottom"/>
          </w:tcPr>
          <w:p>
            <w:pPr>
              <w:spacing w:after="0"/>
              <w:rPr>
                <w:sz w:val="21"/>
                <w:szCs w:val="21"/>
                <w:color w:val="auto"/>
              </w:rPr>
            </w:pPr>
          </w:p>
        </w:tc>
      </w:tr>
      <w:tr>
        <w:trPr>
          <w:trHeight w:val="655"/>
        </w:trPr>
        <w:tc>
          <w:tcPr>
            <w:tcW w:w="6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12. Credit Agreements</w:t>
            </w:r>
          </w:p>
        </w:tc>
        <w:tc>
          <w:tcPr>
            <w:tcW w:w="9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 are included in the consolidated balance sheets as follows:</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67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0"/>
        </w:trPr>
        <w:tc>
          <w:tcPr>
            <w:tcW w:w="67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ABL facility</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30,961</w:t>
            </w:r>
          </w:p>
        </w:tc>
        <w:tc>
          <w:tcPr>
            <w:tcW w:w="1140" w:type="dxa"/>
            <w:vAlign w:val="bottom"/>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lines of credit</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39,282</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39,282</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58,714</w:t>
            </w:r>
          </w:p>
        </w:tc>
        <w:tc>
          <w:tcPr>
            <w:tcW w:w="1140" w:type="dxa"/>
            <w:vAlign w:val="bottom"/>
          </w:tcPr>
          <w:p>
            <w:pPr>
              <w:spacing w:after="0"/>
              <w:rPr>
                <w:sz w:val="21"/>
                <w:szCs w:val="21"/>
                <w:color w:val="auto"/>
              </w:rPr>
            </w:pPr>
          </w:p>
        </w:tc>
      </w:tr>
      <w:tr>
        <w:trPr>
          <w:trHeight w:val="413"/>
        </w:trPr>
        <w:tc>
          <w:tcPr>
            <w:tcW w:w="6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borrowings are included in the consolidated balance sheets as follows:</w:t>
            </w:r>
          </w:p>
        </w:tc>
        <w:tc>
          <w:tcPr>
            <w:tcW w:w="9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67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9"/>
        </w:trPr>
        <w:tc>
          <w:tcPr>
            <w:tcW w:w="67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830,000</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830,000</w:t>
            </w:r>
          </w:p>
        </w:tc>
        <w:tc>
          <w:tcPr>
            <w:tcW w:w="1140" w:type="dxa"/>
            <w:vAlign w:val="bottom"/>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and deferred financing costs</w:t>
            </w:r>
          </w:p>
        </w:tc>
        <w:tc>
          <w:tcPr>
            <w:tcW w:w="9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(15,450)</w:t>
            </w: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(18,048)</w:t>
            </w:r>
          </w:p>
        </w:tc>
        <w:tc>
          <w:tcPr>
            <w:tcW w:w="114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ABL facility</w:t>
            </w: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w:t>
            </w:r>
          </w:p>
        </w:tc>
        <w:tc>
          <w:tcPr>
            <w:tcW w:w="9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27,371</w:t>
            </w:r>
          </w:p>
        </w:tc>
        <w:tc>
          <w:tcPr>
            <w:tcW w:w="4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25,962</w:t>
            </w:r>
          </w:p>
        </w:tc>
        <w:tc>
          <w:tcPr>
            <w:tcW w:w="1140" w:type="dxa"/>
            <w:vAlign w:val="bottom"/>
          </w:tcPr>
          <w:p>
            <w:pPr>
              <w:spacing w:after="0"/>
              <w:rPr>
                <w:sz w:val="18"/>
                <w:szCs w:val="18"/>
                <w:color w:val="auto"/>
              </w:rPr>
            </w:pPr>
          </w:p>
        </w:tc>
      </w:tr>
      <w:tr>
        <w:trPr>
          <w:trHeight w:val="216"/>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845,911</w:t>
            </w:r>
          </w:p>
        </w:tc>
        <w:tc>
          <w:tcPr>
            <w:tcW w:w="4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840,150</w:t>
            </w:r>
          </w:p>
        </w:tc>
        <w:tc>
          <w:tcPr>
            <w:tcW w:w="114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1,836</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553</w:t>
            </w:r>
          </w:p>
        </w:tc>
        <w:tc>
          <w:tcPr>
            <w:tcW w:w="1140" w:type="dxa"/>
            <w:vAlign w:val="bottom"/>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finance lease obligation</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841,764</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837,767</w:t>
            </w:r>
          </w:p>
        </w:tc>
        <w:tc>
          <w:tcPr>
            <w:tcW w:w="1140" w:type="dxa"/>
            <w:vAlign w:val="bottom"/>
          </w:tcPr>
          <w:p>
            <w:pPr>
              <w:spacing w:after="0"/>
              <w:rPr>
                <w:sz w:val="21"/>
                <w:szCs w:val="21"/>
                <w:color w:val="auto"/>
              </w:rPr>
            </w:pPr>
          </w:p>
        </w:tc>
      </w:tr>
      <w:tr>
        <w:trPr>
          <w:trHeight w:val="412"/>
        </w:trPr>
        <w:tc>
          <w:tcPr>
            <w:tcW w:w="6780" w:type="dxa"/>
            <w:vAlign w:val="bottom"/>
            <w:tcBorders>
              <w:top w:val="single" w:sz="8" w:color="CCEEFF"/>
            </w:tcBorders>
          </w:tcPr>
          <w:p>
            <w:pPr>
              <w:ind w:left="5540"/>
              <w:spacing w:after="0"/>
              <w:rPr>
                <w:sz w:val="20"/>
                <w:szCs w:val="20"/>
                <w:color w:val="auto"/>
              </w:rPr>
            </w:pPr>
            <w:r>
              <w:rPr>
                <w:rFonts w:ascii="Times New Roman" w:cs="Times New Roman" w:eastAsia="Times New Roman" w:hAnsi="Times New Roman"/>
                <w:sz w:val="18"/>
                <w:szCs w:val="18"/>
                <w:color w:val="auto"/>
              </w:rPr>
              <w:t>57</w:t>
            </w:r>
          </w:p>
        </w:tc>
        <w:tc>
          <w:tcPr>
            <w:tcW w:w="9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67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Maturities of long-term borrowings outstanding at December 31, 2020, excluding finance lease obligations as their maturities are disclosed in Note 10, “Leases,” and before considering original issue discount and deferred financing costs,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8"/>
                <w:szCs w:val="18"/>
                <w:color w:val="auto"/>
              </w:rPr>
            </w:pPr>
          </w:p>
        </w:tc>
      </w:tr>
      <w:tr>
        <w:trPr>
          <w:trHeight w:val="216"/>
        </w:trPr>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2024</w:t>
            </w: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830,088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833,990</w:t>
            </w:r>
          </w:p>
        </w:tc>
        <w:tc>
          <w:tcPr>
            <w:tcW w:w="8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credit agreements originally provided for a $1,200,000 term loan B credit facility (Term Loan) and currently include a $300,000 uncommitted incremental term loan facility. The maturity date of the Term Loan is currently December 13, 2026. The Term Loan is guaranteed by all of the Company’s wholly-owned domestic restricted subsidiaries, and is secured by associated collateral agreements which pledge a first priority lien on virtually all of the Company’s assets, including fixed assets and intangibles, other than cash, trade accounts receivable, inventory, and other current assets and proceeds thereof, which are secured by a second priority lien. The Term Loan initially bore interest at rates based upon either a base rate plus an applicable margin of 1.75% or adjusted LIBOR rate plus an applicable margin of 2.75%, subject to a LIBOR floor of 0.75%. Currently, the Term Loan bears interest at rates based upon either a base rate plus an applicable margin of 0.75% or adjusted LIBOR rate plus an applicable margin of 1.75%.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2018, the Company amended the Term Loan, which further reduced the applicable margin rates to base rate plus a fixed applicable margin of 0.75% or adjusted LIBOR rate plus a fixed applicable margin of 1.75%. In connection with this amendment and in accordance with ASC 470-50, the Company capitalized $829 of fees paid to creditors as deferred financing costs on long-term borrowings and expensed $118 of transaction fees in the second quarter of 2018.</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2019, the Company amended its Term Loan to extend the maturity date from May 31, 2023 to December 13, 2026, as well as to remove the LIBOR floor of 0.75% from the adjusted LIBOR rate. In connection with this amendment and in accordance with ASC 470-50, the Company capitalized $1,247 of fees paid to creditors as deferred financing costs on long-term borrowings and expensed $432 of transaction fees in the fourth quarter of 2019. Additionally, the Company made a voluntary prepayment of $49,000 on the Term Loan, which resulted in the write-off of $926 of original issue discount and capitalized debt issuance costs as a loss on extinguishment of debt in the consolidated statements of comprehensive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our Term Loan amendment in December 2019, language was added to the agreement to include a benchmark replacement rate, selected by the administrative agent and the borrower, as a replacement to LIBOR that would take affect at the time LIBOR ceases. The Company plans to work with its lenders in the future to amend other LIBOR based debt agreements to add a replacement rate should the use of LIBOR cease.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does not require an Excess Cash Flow payment if the Company’s net secured leverage ratio is maintained below 3.75 to 1.00 times. As of December 31, 2020, the Company’s net secured leverage ratio was 1.12 to 1.00 times, and the Company was in compliance with all covenants of the Term Loan. There are no financial maintenance covenants on the Term Loan.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credit agreements also provide for a senior secured ABL revolving credit facility (ABL Facility). The maturity date of the ABL Facility is currently June 12, 2023. Borrowings under the ABL Facility are guaranteed by all of the Company’s wholly-owned domestic restricted subsidiaries, and are secured by associated collateral agreements which pledge a first priority lien on all cash, trade accounts receivable, inventory, and other current assets and proceeds thereof, and a second priority lien on all other assets, including fixed assets and intangibles of the Company and certain domestic subsidiaries. ABL Facility borrowings initially bore interest at rates based upon either a base rate plus an applicable margin of 1.00% or adjusted LIBOR rate plus an applicable margin of 2.00%, in each case, subject to adjustments based upon average availability under the ABL Facility. Currently, the ABL Facility bears interest at rates based upon either a base rate plus an applicable margin of 0.125% or an adjusted LIBOR rate plus an applicable margin of 1.125%, in each case subject to adjustments based upon average availability under the ABL Facility.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2018, the Company amended the ABL Facility; increasing it from $250,000 to $300,000 and extending the maturity date to June 12, 2023. In addition, the ABL Facility amendment modified the pricing by reducing certain applicable interest rates to either a base rate plus an applicable margin of 0.375% or an adjusted LIBOR rate plus an applicable margin of 1.375%. In connection with this amendment and in accordance with ASC 470-50, the Company capitalized $755 of new debt issuance costs as deferred financing costs on long-term borrowings and wrote-off $34 of capitalized debt issuance costs as a loss on extinguishment of debt in the second quarter of 2018.</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2018, the Company borrowed $50,000 under the ABL Facility, the proceeds of which were used as a voluntary prepayment of the Term Loan. As a result of the prepayment of the Term Loan, the Company wrote-off $1,298 of original issue discount and capitalized debt issuance costs during the second quarter of 2018 as a loss on extinguishment of debt in the consolidated statements of comprehensive income. In October 2018, the Company repaid the $50,000 outstanding ABL Facility balance with cash on hand.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there was no outstanding balance under the ABL Facility, leaving $299,621 of availability, net of outstanding letters of credit.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and December 31, 2019, short-term borrowings consisted of borrowings by the Company’s foreign subsidiaries on local lines of credit and the ABL Facility, which totaled $39,282 and $58,714,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Repurchase Programs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2018, the Company’s Board of Directors approved a $250,000 stock repurchase program, which expired in October 2020. In September 2020, the Company’s Board of Directors approved another stock repurchase program, which commenced on October 27, 2020, and allows for the repurchase of up to $250,000 of the Company's common stock over a 24-month period. The Company may repurchase its common stock from time to time, in amounts and at prices the Company deems appropriate, subject to market conditions and other considerations. The repurchases may be executed using open market purchases, privately negotiated agreements or other transactions. The actual timing, number and value of shares repurchased under the program will be determined by management at its discretion and will depend on a number of factors, including the market price of the Company’s common stock and general market and economic conditions, applicable legal requirements, and compliance with the terms of the Company’s outstanding indebtedness. The repurchases may be funded with cash on hand, available borrowings or proceeds from potential debt or other capital markets sources. The stock repurchase program may be suspended or discontinued at any time without prior notice. During the years ended December 31, 2020 and 2019, the Company did not repurchase any shares of its common stock. During the year ended December 31, 2018, the Company repurchased 560,000 shares of its common stock for $25,656, all funded with cash on hand. Since the inception of all programs starting in August 2015, the Company has repurchased 8,676,706 shares of its common stock for $305,547 (at an average cost per share of $35.21), all funded with cash on hand.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attributable to the common shareholders of the Company by the weighted average number of common shares outstanding during the period, exclusive of restricted shares. Except where the result would be anti-dilutive, diluted earnings per share is calculated by assuming the vesting of unvested restricted stock and the exercise of stock options. Refer to Note 4, “Redeemable Noncontrolling Interest,” to the consolidated financial statements for further information regarding the accounting for redeemable noncontrolling interests.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numerator and the denominator used to calculate basic and diluted earnings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350,576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252,007</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238,257</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 redemption value adjustment</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(17,970)</w:t>
            </w:r>
          </w:p>
        </w:tc>
      </w:tr>
      <w:tr>
        <w:trPr>
          <w:trHeight w:val="20"/>
        </w:trPr>
        <w:tc>
          <w:tcPr>
            <w:tcW w:w="5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4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349,329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253,260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220,287</w:t>
            </w:r>
          </w:p>
        </w:tc>
      </w:tr>
      <w:tr>
        <w:trPr>
          <w:trHeight w:val="20"/>
        </w:trPr>
        <w:tc>
          <w:tcPr>
            <w:tcW w:w="5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basic</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62,280,889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61,926,986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61,662,031</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stock compensation awards (1)</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1,456,845</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938,460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571,194</w:t>
            </w:r>
          </w:p>
        </w:tc>
      </w:tr>
      <w:tr>
        <w:trPr>
          <w:trHeight w:val="20"/>
        </w:trPr>
        <w:tc>
          <w:tcPr>
            <w:tcW w:w="5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shares</w:t>
            </w:r>
          </w:p>
        </w:tc>
        <w:tc>
          <w:tcPr>
            <w:tcW w:w="4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63,737,734</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62,865,446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62,233,225</w:t>
            </w:r>
          </w:p>
        </w:tc>
      </w:tr>
      <w:tr>
        <w:trPr>
          <w:trHeight w:val="197"/>
        </w:trPr>
        <w:tc>
          <w:tcPr>
            <w:tcW w:w="518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shareholders per share</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r>
    </w:tbl>
    <w:p>
      <w:pPr>
        <w:spacing w:after="0" w:line="198" w:lineRule="exact"/>
        <w:rPr>
          <w:sz w:val="20"/>
          <w:szCs w:val="20"/>
          <w:color w:val="auto"/>
        </w:rPr>
      </w:pPr>
    </w:p>
    <w:p>
      <w:pPr>
        <w:ind w:left="660" w:hanging="328"/>
        <w:spacing w:after="0" w:line="282" w:lineRule="auto"/>
        <w:tabs>
          <w:tab w:leader="none" w:pos="6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approximately 26,100 stock options for the year ended December 31, 2018, as the impact of such awards was anti-dilutive. There were no awards with an anti-dilutive impact for the years ended December 31, 2020 and 2019.</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provision for income taxes consists of the following:</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5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62,714</w:t>
            </w:r>
          </w:p>
        </w:tc>
        <w:tc>
          <w:tcPr>
            <w:tcW w:w="2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41,686</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32,072</w:t>
            </w:r>
          </w:p>
        </w:tc>
      </w:tr>
      <w:tr>
        <w:trPr>
          <w:trHeight w:val="216"/>
        </w:trPr>
        <w:tc>
          <w:tcPr>
            <w:tcW w:w="56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9,639</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00" w:type="dxa"/>
            <w:vAlign w:val="bottom"/>
          </w:tcPr>
          <w:p>
            <w:pPr>
              <w:spacing w:after="0"/>
              <w:rPr>
                <w:sz w:val="18"/>
                <w:szCs w:val="18"/>
                <w:color w:val="auto"/>
              </w:rPr>
            </w:pPr>
          </w:p>
        </w:tc>
      </w:tr>
      <w:tr>
        <w:trPr>
          <w:trHeight w:val="210"/>
        </w:trPr>
        <w:tc>
          <w:tcPr>
            <w:tcW w:w="568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48,557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46,257</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22,225</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1,910</w:t>
            </w:r>
          </w:p>
        </w:tc>
      </w:tr>
      <w:tr>
        <w:trPr>
          <w:trHeight w:val="216"/>
        </w:trPr>
        <w:tc>
          <w:tcPr>
            <w:tcW w:w="56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r>
      <w:tr>
        <w:trPr>
          <w:trHeight w:val="210"/>
        </w:trPr>
        <w:tc>
          <w:tcPr>
            <w:tcW w:w="56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20,498</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19,520</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24,614</w:t>
            </w:r>
          </w:p>
        </w:tc>
        <w:tc>
          <w:tcPr>
            <w:tcW w:w="100" w:type="dxa"/>
            <w:vAlign w:val="bottom"/>
            <w:tcBorders>
              <w:top w:val="single" w:sz="8" w:color="CCEEFF"/>
            </w:tcBorders>
          </w:tcPr>
          <w:p>
            <w:pPr>
              <w:spacing w:after="0"/>
              <w:rPr>
                <w:sz w:val="18"/>
                <w:szCs w:val="18"/>
                <w:color w:val="auto"/>
              </w:rPr>
            </w:pPr>
          </w:p>
        </w:tc>
      </w:tr>
      <w:tr>
        <w:trPr>
          <w:trHeight w:val="216"/>
        </w:trPr>
        <w:tc>
          <w:tcPr>
            <w:tcW w:w="5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(1,015)</w:t>
            </w:r>
          </w:p>
        </w:tc>
      </w:tr>
      <w:tr>
        <w:trPr>
          <w:trHeight w:val="20"/>
        </w:trPr>
        <w:tc>
          <w:tcPr>
            <w:tcW w:w="568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98,973</w:t>
            </w:r>
          </w:p>
        </w:tc>
        <w:tc>
          <w:tcPr>
            <w:tcW w:w="2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67,299</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69,856</w:t>
            </w:r>
          </w:p>
        </w:tc>
      </w:tr>
      <w:tr>
        <w:trPr>
          <w:trHeight w:val="20"/>
        </w:trPr>
        <w:tc>
          <w:tcPr>
            <w:tcW w:w="5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files U.S. federal, U.S. state and foreign jurisdiction tax returns which are subject to examination up to the expiration of the statute of limitations. The Company believes the tax positions taken on its returns would be sustained upon an exam, or where a position is uncertain, adequate reserves have been recorded. As of December 31, 2020, the Company is no longer subject to income tax examinations for United States federal income taxes for tax years prior to 2017. Due to the carryforward of net operating losses and research &amp; development credits, the Company’s Wisconsin state income tax returns for tax years 2009 through 2019 remain open. In addition, the Company is subject to audit by various foreign taxing jurisdictions for tax years 2015 through 2019.</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regularly under tax return examination by tax authorities in the various jurisdictions in which we operate. The Company is actively managing the examinations and working to address any open matters. While the Company does not believe any material taxes or penalties are due, there is a possibility that the ultimate tax outcome of an examination may result in differences from what was recorded. Such differences may affect the provision for income taxes in the period in which the determination is made, and could impact the Company’s financial results.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components of deferred tax assets and liabilities are as follows: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7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6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8"/>
                <w:szCs w:val="18"/>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24,358</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21,053</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15,851</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14,697</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11,795</w:t>
            </w:r>
          </w:p>
        </w:tc>
        <w:tc>
          <w:tcPr>
            <w:tcW w:w="4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9,879</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8,348</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7,490</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loss and credit carryforwards</w:t>
            </w: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31,275</w:t>
            </w:r>
          </w:p>
        </w:tc>
        <w:tc>
          <w:tcPr>
            <w:tcW w:w="4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28,356</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Bad debt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1,633</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1,094</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8,558</w:t>
            </w:r>
          </w:p>
        </w:tc>
        <w:tc>
          <w:tcPr>
            <w:tcW w:w="4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4,275</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(5,740)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(5,024)</w:t>
            </w:r>
          </w:p>
        </w:tc>
      </w:tr>
      <w:tr>
        <w:trPr>
          <w:trHeight w:val="209"/>
        </w:trPr>
        <w:tc>
          <w:tcPr>
            <w:tcW w:w="67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96,078</w:t>
            </w: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81,820</w:t>
            </w:r>
          </w:p>
        </w:tc>
        <w:tc>
          <w:tcPr>
            <w:tcW w:w="80" w:type="dxa"/>
            <w:vAlign w:val="bottom"/>
            <w:tcBorders>
              <w:top w:val="single" w:sz="8" w:color="CCEEFF"/>
            </w:tcBorders>
          </w:tcPr>
          <w:p>
            <w:pPr>
              <w:spacing w:after="0"/>
              <w:rPr>
                <w:sz w:val="18"/>
                <w:szCs w:val="18"/>
                <w:color w:val="auto"/>
              </w:rPr>
            </w:pPr>
          </w:p>
        </w:tc>
      </w:tr>
      <w:tr>
        <w:trPr>
          <w:trHeight w:val="216"/>
        </w:trPr>
        <w:tc>
          <w:tcPr>
            <w:tcW w:w="6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171,831</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142,159</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33,716</w:t>
            </w:r>
          </w:p>
        </w:tc>
        <w:tc>
          <w:tcPr>
            <w:tcW w:w="4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27,864</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refinancing costs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3,544</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4,119</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Pr>
          <w:p>
            <w:pPr>
              <w:spacing w:after="0"/>
              <w:rPr>
                <w:sz w:val="18"/>
                <w:szCs w:val="18"/>
                <w:color w:val="auto"/>
              </w:rPr>
            </w:pPr>
          </w:p>
        </w:tc>
      </w:tr>
      <w:tr>
        <w:trPr>
          <w:trHeight w:val="210"/>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210,350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175,215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(114,272)</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(93,395)</w:t>
            </w:r>
          </w:p>
        </w:tc>
      </w:tr>
      <w:tr>
        <w:trPr>
          <w:trHeight w:val="20"/>
        </w:trPr>
        <w:tc>
          <w:tcPr>
            <w:tcW w:w="6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and 2019, deferred tax assets of $1,497 and $2,933, and deferred tax liabilities of $115,769 and $96,328, respectively, were reflected on the consolidated balance sheets.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a valuation allowance against the deferred tax assets when it is uncertain it will generate sufficient taxable income to utilize the asset. During 2020, the valuation allowance increased by $716 primarily due to state net operating losses which are unlikely to be utilized, partially offset by utilization of loss carryforwards in certain foreign subsidiaries.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2020, the Company had various state research &amp; development and state manufacturing tax credit carryforwards of approximately $4,513 and $19,303, respectively, which expire between 2024 and 2035. The Company believes it will generate sufficient taxable income in these jurisdictions to fully utilize the credits prior to their expiration.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gross liability for unrecognized tax benefits, excluding interest and penalties,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 beginning of period</w:t>
            </w:r>
          </w:p>
        </w:tc>
        <w:tc>
          <w:tcPr>
            <w:tcW w:w="16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6,720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5,635</w:t>
            </w:r>
          </w:p>
        </w:tc>
        <w:tc>
          <w:tcPr>
            <w:tcW w:w="1140" w:type="dxa"/>
            <w:vAlign w:val="bottom"/>
          </w:tcPr>
          <w:p>
            <w:pPr>
              <w:spacing w:after="0"/>
              <w:rPr>
                <w:sz w:val="18"/>
                <w:szCs w:val="18"/>
                <w:color w:val="auto"/>
              </w:rPr>
            </w:pPr>
          </w:p>
        </w:tc>
      </w:tr>
      <w:tr>
        <w:trPr>
          <w:trHeight w:val="216"/>
        </w:trPr>
        <w:tc>
          <w:tcPr>
            <w:tcW w:w="55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Increase in unrecognized tax benefit for positions taken in prior period</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633</w:t>
            </w:r>
          </w:p>
        </w:tc>
        <w:tc>
          <w:tcPr>
            <w:tcW w:w="1140" w:type="dxa"/>
            <w:vAlign w:val="bottom"/>
          </w:tcPr>
          <w:p>
            <w:pPr>
              <w:spacing w:after="0"/>
              <w:rPr>
                <w:sz w:val="18"/>
                <w:szCs w:val="18"/>
                <w:color w:val="auto"/>
              </w:rPr>
            </w:pPr>
          </w:p>
        </w:tc>
      </w:tr>
      <w:tr>
        <w:trPr>
          <w:trHeight w:val="216"/>
        </w:trPr>
        <w:tc>
          <w:tcPr>
            <w:tcW w:w="55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unrecognized tax benefit for positions taken in current period</w:t>
            </w: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495</w:t>
            </w:r>
          </w:p>
        </w:tc>
        <w:tc>
          <w:tcPr>
            <w:tcW w:w="1140" w:type="dxa"/>
            <w:vAlign w:val="bottom"/>
          </w:tcPr>
          <w:p>
            <w:pPr>
              <w:spacing w:after="0"/>
              <w:rPr>
                <w:sz w:val="18"/>
                <w:szCs w:val="18"/>
                <w:color w:val="auto"/>
              </w:rPr>
            </w:pPr>
          </w:p>
        </w:tc>
      </w:tr>
      <w:tr>
        <w:trPr>
          <w:trHeight w:val="216"/>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Statute of limitation expirations</w:t>
            </w:r>
          </w:p>
        </w:tc>
        <w:tc>
          <w:tcPr>
            <w:tcW w:w="3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5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1140" w:type="dxa"/>
            <w:vAlign w:val="bottom"/>
          </w:tcPr>
          <w:p>
            <w:pPr>
              <w:spacing w:after="0"/>
              <w:rPr>
                <w:sz w:val="18"/>
                <w:szCs w:val="18"/>
                <w:color w:val="auto"/>
              </w:rPr>
            </w:pPr>
          </w:p>
        </w:tc>
      </w:tr>
      <w:tr>
        <w:trPr>
          <w:trHeight w:val="216"/>
        </w:trPr>
        <w:tc>
          <w:tcPr>
            <w:tcW w:w="2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30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Unrecognized tax benefit, end of period</w:t>
            </w:r>
          </w:p>
        </w:tc>
        <w:tc>
          <w:tcPr>
            <w:tcW w:w="12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7,613</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2540" w:type="dxa"/>
            <w:vAlign w:val="bottom"/>
            <w:gridSpan w:val="2"/>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413"/>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unrecognized tax benefit as of</w:t>
            </w:r>
          </w:p>
        </w:tc>
        <w:tc>
          <w:tcPr>
            <w:tcW w:w="8700" w:type="dxa"/>
            <w:vAlign w:val="bottom"/>
            <w:gridSpan w:val="10"/>
          </w:tcPr>
          <w:p>
            <w:pPr>
              <w:ind w:left="60"/>
              <w:spacing w:after="0"/>
              <w:rPr>
                <w:sz w:val="20"/>
                <w:szCs w:val="20"/>
                <w:color w:val="auto"/>
              </w:rPr>
            </w:pPr>
            <w:r>
              <w:rPr>
                <w:rFonts w:ascii="Times New Roman" w:cs="Times New Roman" w:eastAsia="Times New Roman" w:hAnsi="Times New Roman"/>
                <w:sz w:val="18"/>
                <w:szCs w:val="18"/>
                <w:color w:val="auto"/>
              </w:rPr>
              <w:t>December 31, 2020 and 2019, if recognized, would favorably impact the effective tax rate.</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As  of</w:t>
            </w:r>
          </w:p>
        </w:tc>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2020</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2019,  total  accrued  interest  of</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approximately  $95</w:t>
            </w: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and  $71,  respectively,</w:t>
            </w:r>
          </w:p>
        </w:tc>
        <w:tc>
          <w:tcPr>
            <w:tcW w:w="2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and  accrued  penalties  of</w:t>
            </w:r>
          </w:p>
        </w:tc>
      </w:tr>
    </w:tbl>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approximately $274 and $195, respectively, associated with net unrecognized tax benefits are included in the consolidated balance sheets. Interest and penalties are recorded as a component of income tax expense.</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expect a significant increase or decrease to the total amounts of unrecognized tax benefits related to continuing operations during the fiscal year ending December 31,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tax rates and the effective tax rates for the years ended December 31, 2020, 2019 and 2018 are as follows:</w:t>
      </w:r>
    </w:p>
    <w:p>
      <w:pPr>
        <w:spacing w:after="0" w:line="221"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18"/>
                <w:szCs w:val="18"/>
                <w:color w:val="auto"/>
              </w:rPr>
            </w:pPr>
          </w:p>
        </w:tc>
      </w:tr>
      <w:tr>
        <w:trPr>
          <w:trHeight w:val="209"/>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statutory rate</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10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 rate differential</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credits</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(1)</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Act impact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5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tax rate</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10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r>
      <w:tr>
        <w:trPr>
          <w:trHeight w:val="20"/>
        </w:trPr>
        <w:tc>
          <w:tcPr>
            <w:tcW w:w="55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right="2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adoption of ASU 2016-09 in 2017, excess tax benefits from equity awards are reflected within the provision for income taxes rather than within the consolidated balance sheet.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Medical and Dental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medical and dental benefit plans covering its full-time domestic employees and their dependents. These plans are partially or fully self-funded under which participant claims are obligations of the plan. These plans are funded through employer and employee contributions at a level sufficient to pay for the benefits provided by the plan. The Company’s contributions to the plans were $24,617, $18,290, and $14,660 for the years ended December 31, 2020, 2019 and 2018,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foreign subsidiaries participate in government sponsored medical benefit plans. In certain cases, the Company purchases supplemental medical coverage for certain employees at these foreign locations. The expenses related to these plans are not material to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Savings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 defined-contribution 401(k) savings plan for eligible domestic employees. Under the plan, employees may defer receipt of a portion of their eligible compensation. The Company may contribute a matching contribution of 50% of the first 6% of eligible compensation of employees that is deferred. The Company may also contribute a non-elective contribution for eligible employees employed on December 31, 2008 that were impacted by the freezing of the Company’s pension plans. The Company’s matching contributions are subject to vesting. Forfeitures may be applied against plan expenses and Company contributions. The Company recognized $5,332, $4,791 and $4,193 of expense related to these plans for the years ended December 31, 2020, 2019 and 2018,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the Company maintained noncontributory salaried and hourly pension plans (Pension Plans) covering certain domestic employees. The Pension Plans were frozen effective December 31, 2008. Effective December 31, 2018, the Pension Plans were merged into the same plan (Pension Plan), resulting in no change to benefits for participants. The benefits under the salaried plan were based upon years of service and the participants’ defined final average monthly compensation. The benefits under the hourly plan were based on a unit amount at the date of termination multiplied by the participant’s years of credited service.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2019, the Company completed the termination of its Pension Plan. In connection with the Company’s activities to terminate the plan, lump sum distributions were made in the fourth quarter of 2019 to individuals who elected lump sum distributions, including rolling over their accounts to the Company’s 401(k) savings plan. Also in the fourth quarter of 2019, annuity contracts were purchased to settle obligations for the remaining participants. Upon settlement of the pension liability, the Company reclassified related unrecognized pension losses recorded in AOCL to the consolidated statements of comprehensive income. As a result, the Company recorded pre-tax settlement charges of $10,920 in the fourth quarter of the year ended December 31, 2019.</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foreign subsidiaries participate in local statutory defined benefit or other post-employment benefit plans. These plans provide benefits that are generally based on years of credited service and a percentage of the employee’s eligible compensation earned throughout the applicable service period. Liabilities recorded under these plans are included in other long-term liabilities in the Company’s consolidated balance sheets and are not material.</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 Plans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adopted an equity incentive plan (the 2010 Plan) on February 10, 2010 in connection with its initial public offering. The 2010 Plan, as amended, allowed for granting of up to 9.1 million share-based awards to executives, directors and employees. Awards available for grant under the 2010 Plan included stock options, stock appreciation rights, restricted stock, other share-based awards and performance-based compensation awards. Awards under the 2010 Plan ceased in June 2019. Total share-based compensation expense related to the Plan, net of estimated forfeitures, was $11,681, $15,738, and $14,563 for the years ended December 31, 2020, 2019 and 2018, respectively, which is recorded in operating expenses in the consolidated statements of comprehensive income.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13, 2019, the stockholders of Generac Holdings Inc. approved the Company’s 2019 Equity Incentive Plan (the 2019 Plan). Following the effectiveness of the 2019 Plan, no new awards may be made under the Plan. The 2019 Plan allows for granting of up to 2.7 million share-based awards to executives, directors and employees. Awards available for grant under the 2019 Plan include stock options, stock appreciation rights, restricted stock, other share-based awards and performance-based compensation awards. Total share-based compensation expense related to the 2019 Plan, net of estimated forfeitures, was $9,201 and $956 for the years ended December 31, 2020 and 2019, respectively, which is recorded in operating expenses in the consolidated statements of comprehensive income.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 Stock options granted in 2020 have an exercise price between $91.00 per share and $158.89 per share; stock options granted in 2019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exercise price of $52.07 per share; and stock options granted in 2018 have an exercise price between $43.88 per share and $45.29 per share. Stock options vest in equal installments over four years, subject to the grantee’s continued employment or service and expire ten years after the date of grant.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option exercises can be net-share settled such that the Company withholds shares with value equivalent to the exercise price of the stock option awards plus the employees’ minimum statutory obligation for the applicable income and other employment taxes. Total shares withheld were 24,070, 32,211 and 63,817 for the years ended December 31, 2020, 2019 and 2018, respectively, and were based on the value of the stock on the exercise dates. The net-share settlement has the effect of share repurchases by the Company as they reduce the number of shares that would have otherwise been issued.</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Employees can also utilize a cashless for cash exercise of stock options, such that all exercised shares will be sold in the market immediately. Cash equivalent to the exercise price of the awards plus the employees’ minimum statutory tax obligations is remitted to the Company, with the remaining cash being transferred to the employee. Total net proceeds from the cashless for cash exercise of stock options were $13,089, $9,395 and $5,614 for the years ended December 31, 2020, 2019 and 2018, respectively, and are reflected as a financing activity in the consolidated statement of cash flows.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payments made by the Company to the taxing authorities for the employees’ tax obligations related to stock option exercises were $7,297, $3,360 and $3,846 for the years ended December 31, 2020, 2019 and 2018, respectively, and are reflected as a financing activity in the consolidated statements of cash flows.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grant-date fair value of each option grant is estimated using the Black-Scholes-Merton option pricing model. The fair value is then amortized on a straight-line basis over the requisite service period of the awards, which is generally the vesting period. Use of a valuation model requires management to make certain assumptions with respect to selected model inputs. Expected volatility is calculated based on an analysis of historic volatility of the Company’s stock price. The average expected life is based on the contractual term of the option using the simplified method. The risk-free interest rate is based on U.S. Treasury zero-coupon issues with a remaining term equal to the expected life assumed at the date of grant. The compensation expense recognized is net of estimated forfeitures. Forfeitures are estimated based on actual share option forfeiture history.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in the Black-Scholes-Merton option pricing model for 2020, 2019 and 2018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49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18"/>
                <w:szCs w:val="18"/>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00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35.79</w:t>
            </w: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19.33</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17.86</w:t>
            </w:r>
          </w:p>
        </w:tc>
      </w:tr>
      <w:tr>
        <w:trPr>
          <w:trHeight w:val="216"/>
        </w:trPr>
        <w:tc>
          <w:tcPr>
            <w:tcW w:w="4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Assumptions: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0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Expected annual dividend per share</w:t>
            </w:r>
          </w:p>
        </w:tc>
        <w:tc>
          <w:tcPr>
            <w:tcW w:w="100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options (years)</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for the years ended December 31, 2020, 2019 and 2018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16"/>
        </w:trPr>
        <w:tc>
          <w:tcPr>
            <w:tcW w:w="524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Term (in</w:t>
            </w: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w w:val="93"/>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w:t>
            </w:r>
          </w:p>
        </w:tc>
      </w:tr>
      <w:tr>
        <w:trPr>
          <w:trHeight w:val="238"/>
        </w:trPr>
        <w:tc>
          <w:tcPr>
            <w:tcW w:w="524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10"/>
        </w:trPr>
        <w:tc>
          <w:tcPr>
            <w:tcW w:w="52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2017</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1,472,130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33.11</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25,281</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366,231</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43.88</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(267,909)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19.90</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(49,285)</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43.34</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2018</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1,521,167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37.70</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6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19,212</w:t>
            </w:r>
          </w:p>
        </w:tc>
      </w:tr>
      <w:tr>
        <w:trPr>
          <w:trHeight w:val="196"/>
        </w:trPr>
        <w:tc>
          <w:tcPr>
            <w:tcW w:w="5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369,779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52.07</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(263,250)</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30.75</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(35,010)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43.79</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5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1,592,686</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42.04</w:t>
            </w:r>
          </w:p>
        </w:tc>
        <w:tc>
          <w:tcPr>
            <w:tcW w:w="12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660" w:type="dxa"/>
            <w:vAlign w:val="bottom"/>
            <w:tcBorders>
              <w:top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93,242</w:t>
            </w:r>
          </w:p>
        </w:tc>
      </w:tr>
      <w:tr>
        <w:trPr>
          <w:trHeight w:val="20"/>
        </w:trPr>
        <w:tc>
          <w:tcPr>
            <w:tcW w:w="5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173,650</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102.32</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(216,196)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39.88</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(21,450)</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50.25</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1,528,690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49.08</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6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272,553</w:t>
            </w:r>
          </w:p>
        </w:tc>
      </w:tr>
      <w:tr>
        <w:trPr>
          <w:trHeight w:val="197"/>
        </w:trPr>
        <w:tc>
          <w:tcPr>
            <w:tcW w:w="5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2020</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845,365</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159,145</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2020, there was $10,673 of total unrecognized compensation cost, net of expected forfeitures, related to unvested options. The cost is expected to be recognized over the remaining service period, having a weighted-average period of 2.4 years. Total share-based compensation cost related to the stock options for the years ended December 31, 2020, 2019 and 2018 was $5,860, $5,597 and $4,998, respectively, which is recorded in operating expenses in the consolidated statements of comprehensive income.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 Restricted stock awards vest in equal installments over three years, subject to the grantee’s continued employment or service.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awards also include performance shares, whereby the number of performance shares that can be earned are contingent upon Company performance measures over a three-year period. Performance measures are based on a weighting of a number of financial metrics, from which grantees may earn from 0% to 200% of their target performance share award. The performance period for the 2018 awards covers the years 2018 through 2020, the performance period for the 2019 awards covers the years 2019 through 2021, and the performance period for the 2020 awards covers the years 2020 through 2022. The Company estimates the number of performance shares that will vest based on projected financial performance. The fair value of restricted awards is determined based on the market value of the Company's shares on the grant date. The fair market value of the restricted awards at the time of the grant is amortized to expense over the period of vesting. The compensation expense recognized for restricted share awards is net of estimated forfeitures.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Restricted stock vesting is net-share settled such that, upon vesting, the Company withholds shares with value equivalent to the employees’ minimum statutory tax obligation, and then pays the cash to the taxing authorities on behalf of the employees. In effect, the Company repurchases these shares and classifies them as treasury stock. Total shares withheld were 70,718, 55,953 and 38,186 for the years ended December 31, 2020, 2019 and 2018, respectively, and were based on the value of the stock on the vesting dates. Total payments made by the Company to the taxing authorities for the employees’ tax obligations related to restricted stock vesting were $7,613, $3,078 and $1,812 for the years ended December 31, 2020, 2019 and 2018, respectively, and are reflected as a financing activity within the consolidated statements of cash flows.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restricted stock activity for the years ended December 31, 2020, 2019 and 2018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6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Grant-Date Fair</w:t>
            </w:r>
          </w:p>
        </w:tc>
      </w:tr>
      <w:tr>
        <w:trPr>
          <w:trHeight w:val="238"/>
        </w:trPr>
        <w:tc>
          <w:tcPr>
            <w:tcW w:w="6220" w:type="dxa"/>
            <w:vAlign w:val="bottom"/>
          </w:tcPr>
          <w:p>
            <w:pPr>
              <w:spacing w:after="0"/>
              <w:rPr>
                <w:sz w:val="20"/>
                <w:szCs w:val="20"/>
                <w:color w:val="auto"/>
              </w:rPr>
            </w:pP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62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2017</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392,276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37.77</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208,803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44.49</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(128,433)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39.03</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39.43</w:t>
            </w:r>
          </w:p>
        </w:tc>
      </w:tr>
      <w:tr>
        <w:trPr>
          <w:trHeight w:val="20"/>
        </w:trPr>
        <w:tc>
          <w:tcPr>
            <w:tcW w:w="6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2018</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425,996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40.50</w:t>
            </w:r>
          </w:p>
        </w:tc>
      </w:tr>
      <w:tr>
        <w:trPr>
          <w:trHeight w:val="196"/>
        </w:trPr>
        <w:tc>
          <w:tcPr>
            <w:tcW w:w="6220" w:type="dxa"/>
            <w:vAlign w:val="bottom"/>
            <w:tcBorders>
              <w:top w:val="single" w:sz="8" w:color="CCEEFF"/>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265,255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62.38</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(184,628)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38.78</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44.23</w:t>
            </w:r>
          </w:p>
        </w:tc>
      </w:tr>
      <w:tr>
        <w:trPr>
          <w:trHeight w:val="20"/>
        </w:trPr>
        <w:tc>
          <w:tcPr>
            <w:tcW w:w="622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December 31, 2019</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491,637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52.84</w:t>
            </w:r>
          </w:p>
        </w:tc>
      </w:tr>
      <w:tr>
        <w:trPr>
          <w:trHeight w:val="20"/>
        </w:trPr>
        <w:tc>
          <w:tcPr>
            <w:tcW w:w="6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183,868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95.14</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(200,390)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45.10</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56.58</w:t>
            </w:r>
          </w:p>
        </w:tc>
      </w:tr>
      <w:tr>
        <w:trPr>
          <w:trHeight w:val="20"/>
        </w:trPr>
        <w:tc>
          <w:tcPr>
            <w:tcW w:w="6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2020</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456,194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68.42</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2020, there was $20,608 of unrecognized compensation cost, net of expected forfeitures, related to non-vested restricted stock awards. That cost is expected to be recognized over the remaining service period, having a weighted-average period of 1.9 years. Total share-based compensation cost related to the restricted stock for the years ended December 31, 2020, 2019 and 2018, inclusive of performance shares, was $15,022, $11,097 and $9,565, respectively, which is recorded in operating expenses in the consolidated statements of comprehensive income.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2020, 2019 and 2018, 15,275, 22,544 and 33,419 shares of stock, respectively, were granted to certain members of the Company’s Board of Directors as a component of their compensation for their service on the Board, all of which were fully vested at time of grant. A non-employee director can elect to receive his or her director fees in the form of deferred stock units, which voluntarily defers the issuance of the related shares granted until the director separates from the Company or a triggering event occurs. 10,528, 16,604 and 22,675 of deferred stock units are included in the shares of stock granted to certain members of the Company’s Board of Directors for the years 2020, 2019, and 2018, respectively. Total share-based compensation cost for these share grants in 2020, 2019 and 2018 was $1,558, $1,391 and $1,718, respectively, which is recorded in operating expenses in the consolidated statements of comprehensive income.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an arrangement with a finance company to provide floor plan financing for certain dealers. The Company receives payment from the finance company after shipment of product to the dealer. The Company participates in the cost of dealer financing up to certain limits and has agreed to repurchase products repossessed by the finance company, but does not indemnify the finance company for any credit losses they incur. The amount financed by dealers which remained outstanding under this arrangement at December 31, 2020 and 2019 was approximately $55,600 and $49,600,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is named as a defendant in various lawsuits in which claims are asserted against the Company. In the opinion of management, the liabilities, if any, which may result from such lawsuits are not expected to have a material adverse effect on the financial position, results of operations, or cash flows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75"/>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19. Quarterly Financial Information (Unaudited)</w:t>
            </w: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7"/>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Quarters in the Year Ended December 31, 2020</w:t>
            </w: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Q1</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Q2</w:t>
            </w:r>
          </w:p>
        </w:tc>
        <w:tc>
          <w:tcPr>
            <w:tcW w:w="136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Q3</w:t>
            </w:r>
          </w:p>
        </w:tc>
        <w:tc>
          <w:tcPr>
            <w:tcW w:w="6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5"/>
              </w:rPr>
              <w:t>Q4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475,915</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546,848</w:t>
            </w:r>
          </w:p>
        </w:tc>
        <w:tc>
          <w:tcPr>
            <w:tcW w:w="6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701,355</w:t>
            </w:r>
          </w:p>
        </w:tc>
        <w:tc>
          <w:tcPr>
            <w:tcW w:w="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761,082</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172,320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208,983</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276,149</w:t>
            </w:r>
          </w:p>
        </w:tc>
        <w:tc>
          <w:tcPr>
            <w:tcW w:w="6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300,202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62,862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89,553</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155,637</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171,054</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44,460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66,145</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114,970</w:t>
            </w:r>
          </w:p>
        </w:tc>
        <w:tc>
          <w:tcPr>
            <w:tcW w:w="6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125,001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24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common shareholders per common share -</w:t>
            </w: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2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common shareholders per common share -</w:t>
            </w: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0.68</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7"/>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Quarters in the Year Ended December 31, 2019</w:t>
            </w: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Q1</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Q2</w:t>
            </w:r>
          </w:p>
        </w:tc>
        <w:tc>
          <w:tcPr>
            <w:tcW w:w="136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Q3</w:t>
            </w:r>
          </w:p>
        </w:tc>
        <w:tc>
          <w:tcPr>
            <w:tcW w:w="6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5"/>
              </w:rPr>
              <w:t>Q4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470,353</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541,916</w:t>
            </w:r>
          </w:p>
        </w:tc>
        <w:tc>
          <w:tcPr>
            <w:tcW w:w="6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601,135</w:t>
            </w:r>
          </w:p>
        </w:tc>
        <w:tc>
          <w:tcPr>
            <w:tcW w:w="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590,932</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162,175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195,838</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217,517</w:t>
            </w:r>
          </w:p>
        </w:tc>
        <w:tc>
          <w:tcPr>
            <w:tcW w:w="6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222,222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71,173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90,926</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105,556</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104,508</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44,861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61,958</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75,574</w:t>
            </w:r>
          </w:p>
        </w:tc>
        <w:tc>
          <w:tcPr>
            <w:tcW w:w="6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69,614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24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common shareholders per common share -</w:t>
            </w: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0.77</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6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2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common shareholders per common share -</w:t>
            </w: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0.76</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75"/>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 Valuation and Qualifying Accounts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the years ended December 31, 2020, 2019 and 2018:</w:t>
            </w: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Reserves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12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Charged to</w:t>
            </w:r>
          </w:p>
        </w:tc>
        <w:tc>
          <w:tcPr>
            <w:tcW w:w="12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Charges to</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Established</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Beginning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Charged to</w:t>
            </w:r>
          </w:p>
        </w:tc>
        <w:tc>
          <w:tcPr>
            <w:tcW w:w="12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2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Reserve, Net</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tc>
        <w:tc>
          <w:tcPr>
            <w:tcW w:w="13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at</w:t>
            </w:r>
          </w:p>
        </w:tc>
      </w:tr>
      <w:tr>
        <w:trPr>
          <w:trHeight w:val="238"/>
        </w:trPr>
        <w:tc>
          <w:tcPr>
            <w:tcW w:w="3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2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Earnings (1)</w:t>
            </w:r>
          </w:p>
        </w:tc>
        <w:tc>
          <w:tcPr>
            <w:tcW w:w="120" w:type="dxa"/>
            <w:vAlign w:val="bottom"/>
          </w:tcPr>
          <w:p>
            <w:pPr>
              <w:spacing w:after="0"/>
              <w:rPr>
                <w:sz w:val="20"/>
                <w:szCs w:val="20"/>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13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End of Year</w:t>
            </w: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6,968</w:t>
            </w:r>
          </w:p>
        </w:tc>
        <w:tc>
          <w:tcPr>
            <w:tcW w:w="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7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7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12,001</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Reserves for inventory</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24,293</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27,817</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of deferred tax assets</w:t>
            </w:r>
          </w:p>
        </w:tc>
        <w:tc>
          <w:tcPr>
            <w:tcW w:w="3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5,024</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5,740</w:t>
            </w:r>
          </w:p>
        </w:tc>
      </w:tr>
      <w:tr>
        <w:trPr>
          <w:trHeight w:val="216"/>
        </w:trPr>
        <w:tc>
          <w:tcPr>
            <w:tcW w:w="3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4,873</w:t>
            </w:r>
          </w:p>
        </w:tc>
        <w:tc>
          <w:tcPr>
            <w:tcW w:w="7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7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6,968</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Reserves for inventory</w:t>
            </w:r>
          </w:p>
        </w:tc>
        <w:tc>
          <w:tcPr>
            <w:tcW w:w="3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23,140</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24,293</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of deferred tax assets</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5,802</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5,024</w:t>
            </w:r>
          </w:p>
        </w:tc>
      </w:tr>
      <w:tr>
        <w:trPr>
          <w:trHeight w:val="216"/>
        </w:trPr>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4,805</w:t>
            </w:r>
          </w:p>
        </w:tc>
        <w:tc>
          <w:tcPr>
            <w:tcW w:w="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7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7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4,873</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Reserves for inventory</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15,987</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23,140</w:t>
            </w: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of deferred tax assets</w:t>
            </w:r>
          </w:p>
        </w:tc>
        <w:tc>
          <w:tcPr>
            <w:tcW w:w="34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6,817</w:t>
            </w:r>
          </w:p>
        </w:tc>
        <w:tc>
          <w:tcPr>
            <w:tcW w:w="7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5,802</w:t>
            </w:r>
          </w:p>
        </w:tc>
      </w:tr>
    </w:tbl>
    <w:p>
      <w:pPr>
        <w:spacing w:after="0" w:line="177" w:lineRule="exact"/>
        <w:rPr>
          <w:sz w:val="20"/>
          <w:szCs w:val="20"/>
          <w:color w:val="auto"/>
        </w:rPr>
      </w:pPr>
    </w:p>
    <w:p>
      <w:pPr>
        <w:ind w:left="660" w:hanging="328"/>
        <w:spacing w:after="0"/>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 of adopting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 Financial Instruments.</w:t>
      </w:r>
    </w:p>
    <w:p>
      <w:pPr>
        <w:spacing w:after="0" w:line="29"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from the allowance for doubtful accounts equal accounts receivable written off against the allowance, less recoveries, as well as foreign currency translation adjustments. Deductions from the reserves for inventory excess and obsolete items equal inventory written off against the reserve as items were disposed of, as well as foreign currency translation adjustments.</w:t>
      </w: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performed an evaluation of subsequent events through the date these financial statements were issued and no such events were identified.</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or disagreements with, accountants reportable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by us in reports we file or submit under the Securities Exchange Act of 1934 (Exchange Act), is recorded, processed, summarized and reported within the time periods specified in the Securities and Exchange Commission rules and forms. Disclosure controls and procedures include, without limitation, controls and procedures designed to ensure that such information is accumulated and communicated to our management, including our Chief Executive Officer and Chief Financial Officer, as appropriate, to allow for timely decisions regarding required disclosure.</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conducted an evaluation of the design and operation of our disclosure controls and procedures as defined in Rule 13a-15(e) and 15d-15(e) under the Exchange Act as of the end of the period covered by this report on Form 10-K. Based on that evaluation, our Chief Executive Officer and Chief Financial Officer concluded that our disclosure controls and procedures were effective in providing reasonable assurance that the information required to be disclosed in this report on Form 10-K has been recorded, processed, summarized and reported as of the end of the period covered by this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under the Exchange Act. Our internal control over financial reporting is designed under the supervision of our Chief Executive Officer and Chief Financial Officer to provide reasonable assurance regarding the reliability of financial reporting and the preparation of the consolidated financial statements in accordance with U.S. GAAP.</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the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Company’s financial statements.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internal control over financial reporting, including the possibility of human error or the circumvention or overriding of the controls. Accordingly, even an effective internal control over financial reporting can provide only reasonable assurance of achieving its objective.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Chief Executive Officer and Chief Financial Officer, our management conducted an assessment of the effectiveness of internal control over financial reporting as of December 31, 2020 based on the criteria established in the 2013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issued by the Committee of Sponsoring Organizations of the Treadway Commission (COSO). Based on this assessment,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has concluded that our internal control over financial reporting was effective as of December 31, 2020. In conducting this assessment, our management excluded West Coast Energy Systems LLC, which was acquired in July 2020, Mean Green Products, LLC, which was acquired in September 2020, and Enbala Power Networks Inc., which was acquired in October 2020, and whose financial statements constitute 4.7% and 2.6% of net and total assets, respectively, 0.6% of net sales, and (0.3)% of net income of the consolidated financial statement amounts as of and for the year ended December 31, 2020.</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Deloitte &amp; Touche LLP, the Company’s independent registered public accounting firm, issued an attestation report on the effectiveness of the Company’s internal control over financial reporting as of December 31, 2020, which is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three months ended December 31, 2020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right="240"/>
        <w:spacing w:after="0" w:line="257" w:lineRule="auto"/>
        <w:rPr>
          <w:sz w:val="20"/>
          <w:szCs w:val="20"/>
          <w:color w:val="auto"/>
        </w:rPr>
      </w:pPr>
      <w:r>
        <w:rPr>
          <w:rFonts w:ascii="Times New Roman" w:cs="Times New Roman" w:eastAsia="Times New Roman" w:hAnsi="Times New Roman"/>
          <w:sz w:val="18"/>
          <w:szCs w:val="18"/>
          <w:color w:val="auto"/>
        </w:rPr>
        <w:t>On February 18, 2021, the Compensation Committee of the Board of Directors approved certain incremental equity awards to be granted to Mr. Minick effective March 1, 2021. The equity awards include: (i) an award of restricted stock valued at $1 million that vests on the third anniversary of the date of grant, and (ii) an award of performance shares valued at $1 million, at target achievement level, with a performance period ending December 31, 2023.</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Such awards are intended to retain and align Mr. Minick's interests with certain objectives related to the Company's Energy Technology initiatives over the next three years.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ectPr>
          <w:pgSz w:w="11900" w:h="16838" w:orient="portrait"/>
          <w:cols w:equalWidth="0" w:num="1">
            <w:col w:w="11240"/>
          </w:cols>
          <w:pgMar w:left="320" w:top="121" w:right="339" w:bottom="0" w:gutter="0" w:footer="0" w:header="0"/>
        </w:sectPr>
      </w:pPr>
    </w:p>
    <w:bookmarkStart w:id="65" w:name="page66"/>
    <w:bookmarkEnd w:id="65"/>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not already provided herein under “Item 1 – Business – Information About Our Executive Officers”, will be included in our 2021 Proxy Statement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2021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including under the heading “Securities Authorized for Issuance Under Equity Compensation Plans,” will be included in our 2021 Proxy Statement and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2021 Proxy Statement and is incorporated herein by reference.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2021 Proxy Statement and is incorporated herein by reference.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80" w:type="dxa"/>
            <w:vAlign w:val="bottom"/>
          </w:tcPr>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Part II of this report: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8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Reports of Independent Registered Public Accounting Firm</w:t>
              </w:r>
            </w:hyperlink>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1"/>
        </w:trPr>
        <w:tc>
          <w:tcPr>
            <w:tcW w:w="9180" w:type="dxa"/>
            <w:vAlign w:val="bottom"/>
            <w:vMerge w:val="continue"/>
          </w:tcPr>
          <w:p>
            <w:pPr>
              <w:spacing w:after="0"/>
              <w:rPr>
                <w:sz w:val="16"/>
                <w:szCs w:val="16"/>
                <w:color w:val="auto"/>
              </w:rPr>
            </w:pPr>
          </w:p>
        </w:tc>
        <w:tc>
          <w:tcPr>
            <w:tcW w:w="1540" w:type="dxa"/>
            <w:vAlign w:val="bottom"/>
          </w:tcPr>
          <w:p>
            <w:pPr>
              <w:jc w:val="center"/>
              <w:spacing w:after="0" w:line="191" w:lineRule="exact"/>
              <w:rPr>
                <w:rFonts w:ascii="Times New Roman" w:cs="Times New Roman" w:eastAsia="Times New Roman" w:hAnsi="Times New Roman"/>
                <w:sz w:val="18"/>
                <w:szCs w:val="18"/>
                <w:u w:val="single" w:color="auto"/>
                <w:color w:val="0000EE"/>
                <w:w w:val="99"/>
              </w:rPr>
            </w:pPr>
            <w:hyperlink w:anchor="page30">
              <w:r>
                <w:rPr>
                  <w:rFonts w:ascii="Times New Roman" w:cs="Times New Roman" w:eastAsia="Times New Roman" w:hAnsi="Times New Roman"/>
                  <w:sz w:val="18"/>
                  <w:szCs w:val="18"/>
                  <w:u w:val="single" w:color="auto"/>
                  <w:color w:val="0000EE"/>
                  <w:w w:val="99"/>
                </w:rPr>
                <w:t>33</w:t>
              </w:r>
            </w:hyperlink>
          </w:p>
        </w:tc>
        <w:tc>
          <w:tcPr>
            <w:tcW w:w="0" w:type="dxa"/>
            <w:vAlign w:val="bottom"/>
          </w:tcPr>
          <w:p>
            <w:pPr>
              <w:spacing w:after="0"/>
              <w:rPr>
                <w:sz w:val="1"/>
                <w:szCs w:val="1"/>
                <w:color w:val="auto"/>
              </w:rPr>
            </w:pPr>
          </w:p>
        </w:tc>
      </w:tr>
      <w:tr>
        <w:trPr>
          <w:trHeight w:val="216"/>
        </w:trPr>
        <w:tc>
          <w:tcPr>
            <w:tcW w:w="9180" w:type="dxa"/>
            <w:vAlign w:val="bottom"/>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Consolidated balance sheets as of December 31, 2020 and 2019</w:t>
              </w:r>
            </w:hyperlink>
          </w:p>
        </w:tc>
        <w:tc>
          <w:tcPr>
            <w:tcW w:w="154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32">
              <w:r>
                <w:rPr>
                  <w:rFonts w:ascii="Times New Roman" w:cs="Times New Roman" w:eastAsia="Times New Roman" w:hAnsi="Times New Roman"/>
                  <w:sz w:val="18"/>
                  <w:szCs w:val="18"/>
                  <w:u w:val="single" w:color="auto"/>
                  <w:color w:val="0000EE"/>
                  <w:w w:val="99"/>
                </w:rPr>
                <w:t>36</w:t>
              </w:r>
            </w:hyperlink>
          </w:p>
        </w:tc>
        <w:tc>
          <w:tcPr>
            <w:tcW w:w="0" w:type="dxa"/>
            <w:vAlign w:val="bottom"/>
          </w:tcPr>
          <w:p>
            <w:pPr>
              <w:spacing w:after="0"/>
              <w:rPr>
                <w:sz w:val="1"/>
                <w:szCs w:val="1"/>
                <w:color w:val="auto"/>
              </w:rPr>
            </w:pPr>
          </w:p>
        </w:tc>
      </w:tr>
      <w:tr>
        <w:trPr>
          <w:trHeight w:val="216"/>
        </w:trPr>
        <w:tc>
          <w:tcPr>
            <w:tcW w:w="918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Consolidated statements of comprehensive income for years ended December 31, 2020, 2019 and 2018</w:t>
              </w:r>
            </w:hyperlink>
          </w:p>
        </w:tc>
        <w:tc>
          <w:tcPr>
            <w:tcW w:w="154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33">
              <w:r>
                <w:rPr>
                  <w:rFonts w:ascii="Times New Roman" w:cs="Times New Roman" w:eastAsia="Times New Roman" w:hAnsi="Times New Roman"/>
                  <w:sz w:val="18"/>
                  <w:szCs w:val="18"/>
                  <w:u w:val="single" w:color="auto"/>
                  <w:color w:val="0000EE"/>
                  <w:w w:val="99"/>
                </w:rPr>
                <w:t>37</w:t>
              </w:r>
            </w:hyperlink>
          </w:p>
        </w:tc>
        <w:tc>
          <w:tcPr>
            <w:tcW w:w="0" w:type="dxa"/>
            <w:vAlign w:val="bottom"/>
          </w:tcPr>
          <w:p>
            <w:pPr>
              <w:spacing w:after="0"/>
              <w:rPr>
                <w:sz w:val="1"/>
                <w:szCs w:val="1"/>
                <w:color w:val="auto"/>
              </w:rPr>
            </w:pPr>
          </w:p>
        </w:tc>
      </w:tr>
      <w:tr>
        <w:trPr>
          <w:trHeight w:val="216"/>
        </w:trPr>
        <w:tc>
          <w:tcPr>
            <w:tcW w:w="9180" w:type="dxa"/>
            <w:vAlign w:val="bottom"/>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Consolidated statements of stockholders’ equity for years ended December 31, 2020, 2019 and 2018</w:t>
              </w:r>
            </w:hyperlink>
          </w:p>
        </w:tc>
        <w:tc>
          <w:tcPr>
            <w:tcW w:w="154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34">
              <w:r>
                <w:rPr>
                  <w:rFonts w:ascii="Times New Roman" w:cs="Times New Roman" w:eastAsia="Times New Roman" w:hAnsi="Times New Roman"/>
                  <w:sz w:val="18"/>
                  <w:szCs w:val="18"/>
                  <w:u w:val="single" w:color="auto"/>
                  <w:color w:val="0000EE"/>
                  <w:w w:val="99"/>
                </w:rPr>
                <w:t>38</w:t>
              </w:r>
            </w:hyperlink>
          </w:p>
        </w:tc>
        <w:tc>
          <w:tcPr>
            <w:tcW w:w="0" w:type="dxa"/>
            <w:vAlign w:val="bottom"/>
          </w:tcPr>
          <w:p>
            <w:pPr>
              <w:spacing w:after="0"/>
              <w:rPr>
                <w:sz w:val="1"/>
                <w:szCs w:val="1"/>
                <w:color w:val="auto"/>
              </w:rPr>
            </w:pPr>
          </w:p>
        </w:tc>
      </w:tr>
      <w:tr>
        <w:trPr>
          <w:trHeight w:val="216"/>
        </w:trPr>
        <w:tc>
          <w:tcPr>
            <w:tcW w:w="9180" w:type="dxa"/>
            <w:vAlign w:val="bottom"/>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Consolidated statements of cash flows for the years ended December 31, 2020, 2019 and 2018</w:t>
              </w:r>
            </w:hyperlink>
          </w:p>
        </w:tc>
        <w:tc>
          <w:tcPr>
            <w:tcW w:w="154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35">
              <w:r>
                <w:rPr>
                  <w:rFonts w:ascii="Times New Roman" w:cs="Times New Roman" w:eastAsia="Times New Roman" w:hAnsi="Times New Roman"/>
                  <w:sz w:val="18"/>
                  <w:szCs w:val="18"/>
                  <w:u w:val="single" w:color="auto"/>
                  <w:color w:val="0000EE"/>
                  <w:w w:val="99"/>
                </w:rPr>
                <w:t>39</w:t>
              </w:r>
            </w:hyperlink>
          </w:p>
        </w:tc>
        <w:tc>
          <w:tcPr>
            <w:tcW w:w="0" w:type="dxa"/>
            <w:vAlign w:val="bottom"/>
          </w:tcPr>
          <w:p>
            <w:pPr>
              <w:spacing w:after="0"/>
              <w:rPr>
                <w:sz w:val="1"/>
                <w:szCs w:val="1"/>
                <w:color w:val="auto"/>
              </w:rPr>
            </w:pPr>
          </w:p>
        </w:tc>
      </w:tr>
      <w:tr>
        <w:trPr>
          <w:trHeight w:val="234"/>
        </w:trPr>
        <w:tc>
          <w:tcPr>
            <w:tcW w:w="9180" w:type="dxa"/>
            <w:vAlign w:val="bottom"/>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Notes to consolidated financial statements</w:t>
              </w:r>
            </w:hyperlink>
          </w:p>
        </w:tc>
        <w:tc>
          <w:tcPr>
            <w:tcW w:w="154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36">
              <w:r>
                <w:rPr>
                  <w:rFonts w:ascii="Times New Roman" w:cs="Times New Roman" w:eastAsia="Times New Roman" w:hAnsi="Times New Roman"/>
                  <w:sz w:val="18"/>
                  <w:szCs w:val="18"/>
                  <w:u w:val="single" w:color="auto"/>
                  <w:color w:val="0000EE"/>
                  <w:w w:val="99"/>
                </w:rPr>
                <w:t>40</w:t>
              </w:r>
            </w:hyperlink>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exhibits index is the list of the exhibits being filed or furnished with or incorporated by reference into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gridSpan w:val="11"/>
          </w:tcPr>
          <w:p>
            <w:pPr>
              <w:ind w:left="7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9880" w:type="dxa"/>
            <w:vAlign w:val="bottom"/>
            <w:gridSpan w:val="14"/>
          </w:tcPr>
          <w:p>
            <w:pPr>
              <w:spacing w:after="0" w:line="169"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Third Amended and Restated Certificate of Incorporation of Generac Holdings Inc. (incorporated by reference to Exhibit 3.1 of the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Company’s Annual Report on Form 10-K for the fiscal year ended December 31, 2009).</w:t>
              </w:r>
            </w:hyperlink>
          </w:p>
        </w:tc>
        <w:tc>
          <w:tcPr>
            <w:tcW w:w="440" w:type="dxa"/>
            <w:vAlign w:val="bottom"/>
            <w:gridSpan w:val="7"/>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97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Amended and Restated Bylaws of Generac Holdings Inc. (incorporated by reference to Exhibit 3.1 of the Company’s Current Report on</w:t>
              </w:r>
            </w:hyperlink>
          </w:p>
        </w:tc>
        <w:tc>
          <w:tcPr>
            <w:tcW w:w="10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Form 8-K filed with the SEC on February 16, 2016).</w:t>
              </w:r>
            </w:hyperlink>
          </w:p>
        </w:tc>
        <w:tc>
          <w:tcPr>
            <w:tcW w:w="6080" w:type="dxa"/>
            <w:vAlign w:val="bottom"/>
            <w:gridSpan w:val="11"/>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9880" w:type="dxa"/>
            <w:vAlign w:val="bottom"/>
            <w:gridSpan w:val="14"/>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Common Stock Certificate (incorporated by reference to Exhibit 4.1 of the Registration Statement on Form S-1 filed with the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94">
              <w:r>
                <w:rPr>
                  <w:rFonts w:ascii="Times New Roman" w:cs="Times New Roman" w:eastAsia="Times New Roman" w:hAnsi="Times New Roman"/>
                  <w:sz w:val="18"/>
                  <w:szCs w:val="18"/>
                  <w:color w:val="0000EE"/>
                  <w:w w:val="98"/>
                </w:rPr>
                <w:t>SEC on January 25, 2010).</w:t>
              </w:r>
            </w:hyperlink>
          </w:p>
        </w:tc>
        <w:tc>
          <w:tcPr>
            <w:tcW w:w="7700" w:type="dxa"/>
            <w:vAlign w:val="bottom"/>
            <w:tcBorders>
              <w:top w:val="single" w:sz="8" w:color="0000EE"/>
            </w:tcBorders>
            <w:gridSpan w:val="8"/>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97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Description of Securities (incorporated by reference to Exhibit 4.2 of the Annual Report on Form 10-K filed with the SEC on February</w:t>
              </w:r>
            </w:hyperlink>
          </w:p>
        </w:tc>
        <w:tc>
          <w:tcPr>
            <w:tcW w:w="16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60" w:type="dxa"/>
            <w:vAlign w:val="bottom"/>
            <w:gridSpan w:val="2"/>
          </w:tcPr>
          <w:p>
            <w:pPr>
              <w:ind w:left="220"/>
              <w:spacing w:after="0" w:line="196" w:lineRule="exact"/>
              <w:rPr>
                <w:rFonts w:ascii="Times New Roman" w:cs="Times New Roman" w:eastAsia="Times New Roman" w:hAnsi="Times New Roman"/>
                <w:sz w:val="18"/>
                <w:szCs w:val="18"/>
                <w:color w:val="0000EE"/>
                <w:w w:val="97"/>
              </w:rPr>
            </w:pPr>
            <w:hyperlink r:id="rId95">
              <w:r>
                <w:rPr>
                  <w:rFonts w:ascii="Times New Roman" w:cs="Times New Roman" w:eastAsia="Times New Roman" w:hAnsi="Times New Roman"/>
                  <w:sz w:val="18"/>
                  <w:szCs w:val="18"/>
                  <w:color w:val="0000EE"/>
                  <w:w w:val="97"/>
                </w:rPr>
                <w:t>25, 2020).</w:t>
              </w:r>
            </w:hyperlink>
          </w:p>
        </w:tc>
        <w:tc>
          <w:tcPr>
            <w:tcW w:w="1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24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97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Credit Agreement, Dated as of February 9, 2012, As Amended and Restated as of May 30, 2012, As Further Amended and Restated as</w:t>
              </w:r>
            </w:hyperlink>
          </w:p>
        </w:tc>
        <w:tc>
          <w:tcPr>
            <w:tcW w:w="18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of May 31, 2013, among Generac Power Systems, Inc., Generac Acquisition Corp., the lenders party thereto, JPMorgan Chase Bank,</w:t>
              </w:r>
            </w:hyperlink>
          </w:p>
        </w:tc>
        <w:tc>
          <w:tcPr>
            <w:tcW w:w="30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N.A., as Administrative Agent and Bank of America, N.A. and Goldman Sachs Bank USA, as syndication agent (incorporated by</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980" w:type="dxa"/>
            <w:vAlign w:val="bottom"/>
            <w:gridSpan w:val="5"/>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14"/>
          </w:tcPr>
          <w:p>
            <w:pPr>
              <w:spacing w:after="0"/>
              <w:rPr>
                <w:rFonts w:ascii="Times New Roman" w:cs="Times New Roman" w:eastAsia="Times New Roman" w:hAnsi="Times New Roman"/>
                <w:sz w:val="18"/>
                <w:szCs w:val="18"/>
                <w:u w:val="single" w:color="auto"/>
                <w:color w:val="0000EE"/>
              </w:rPr>
            </w:pPr>
            <w:hyperlink r:id="rId96">
              <w:r>
                <w:rPr>
                  <w:rFonts w:ascii="Times New Roman" w:cs="Times New Roman" w:eastAsia="Times New Roman" w:hAnsi="Times New Roman"/>
                  <w:sz w:val="18"/>
                  <w:szCs w:val="18"/>
                  <w:u w:val="single" w:color="auto"/>
                  <w:color w:val="0000EE"/>
                </w:rPr>
                <w:t>reference to Exhibit 10.2 to the Company’s Current Report on Form 8-K filed with the SEC on June 4, 2013), as amended by the First</w:t>
              </w:r>
            </w:hyperlink>
          </w:p>
        </w:tc>
      </w:tr>
      <w:tr>
        <w:trPr>
          <w:trHeight w:val="234"/>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14"/>
          </w:tcPr>
          <w:p>
            <w:pPr>
              <w:spacing w:after="0"/>
              <w:rPr>
                <w:rFonts w:ascii="Times New Roman" w:cs="Times New Roman" w:eastAsia="Times New Roman" w:hAnsi="Times New Roman"/>
                <w:sz w:val="18"/>
                <w:szCs w:val="18"/>
                <w:u w:val="single" w:color="auto"/>
                <w:color w:val="0000EE"/>
              </w:rPr>
            </w:pPr>
            <w:hyperlink r:id="rId96">
              <w:r>
                <w:rPr>
                  <w:rFonts w:ascii="Times New Roman" w:cs="Times New Roman" w:eastAsia="Times New Roman" w:hAnsi="Times New Roman"/>
                  <w:sz w:val="18"/>
                  <w:szCs w:val="18"/>
                  <w:u w:val="single" w:color="auto"/>
                  <w:color w:val="0000EE"/>
                </w:rPr>
                <w:t>Amendment dated as of May 18, 2015.</w:t>
              </w:r>
            </w:hyperlink>
          </w:p>
        </w:tc>
      </w:tr>
      <w:tr>
        <w:trPr>
          <w:trHeight w:val="39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9880" w:type="dxa"/>
            <w:vAlign w:val="bottom"/>
            <w:gridSpan w:val="14"/>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Replacement Term Loan Amendment dated as of November 2, 2016, among Generac Power Systems, Inc., Generac Acquisition Corp.,</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the lenders party thereto, JPMorgan Chase Bank, N.A., as Administrative Agent, and the other agents named therein (incorporated by</w:t>
              </w:r>
            </w:hyperlink>
          </w:p>
        </w:tc>
        <w:tc>
          <w:tcPr>
            <w:tcW w:w="160" w:type="dxa"/>
            <w:vAlign w:val="bottom"/>
            <w:gridSpan w:val="2"/>
          </w:tcPr>
          <w:p>
            <w:pPr>
              <w:spacing w:after="0"/>
              <w:rPr>
                <w:sz w:val="17"/>
                <w:szCs w:val="17"/>
                <w:color w:val="auto"/>
              </w:rPr>
            </w:pPr>
          </w:p>
        </w:tc>
      </w:tr>
      <w:tr>
        <w:trPr>
          <w:trHeight w:val="237"/>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0" w:type="dxa"/>
            <w:vAlign w:val="bottom"/>
            <w:tcBorders>
              <w:top w:val="single" w:sz="8" w:color="0000EE"/>
            </w:tcBorders>
            <w:gridSpan w:val="9"/>
          </w:tcPr>
          <w:p>
            <w:pPr>
              <w:spacing w:after="0"/>
              <w:rPr>
                <w:rFonts w:ascii="Times New Roman" w:cs="Times New Roman" w:eastAsia="Times New Roman" w:hAnsi="Times New Roman"/>
                <w:sz w:val="18"/>
                <w:szCs w:val="18"/>
                <w:u w:val="single" w:color="auto"/>
                <w:color w:val="0000EE"/>
              </w:rPr>
            </w:pPr>
            <w:hyperlink r:id="rId97">
              <w:r>
                <w:rPr>
                  <w:rFonts w:ascii="Times New Roman" w:cs="Times New Roman" w:eastAsia="Times New Roman" w:hAnsi="Times New Roman"/>
                  <w:sz w:val="18"/>
                  <w:szCs w:val="18"/>
                  <w:u w:val="single" w:color="auto"/>
                  <w:color w:val="0000EE"/>
                </w:rPr>
                <w:t>reference to Exhibit 10.1 to the Company’s Current Report on Form 8-K filed with the SEC on November 3, 2016).</w:t>
              </w:r>
            </w:hyperlink>
          </w:p>
        </w:tc>
        <w:tc>
          <w:tcPr>
            <w:tcW w:w="280" w:type="dxa"/>
            <w:vAlign w:val="bottom"/>
            <w:gridSpan w:val="5"/>
          </w:tcPr>
          <w:p>
            <w:pPr>
              <w:spacing w:after="0"/>
              <w:rPr>
                <w:sz w:val="20"/>
                <w:szCs w:val="20"/>
                <w:color w:val="auto"/>
              </w:rPr>
            </w:pPr>
          </w:p>
        </w:tc>
      </w:tr>
      <w:tr>
        <w:trPr>
          <w:trHeight w:val="391"/>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9880" w:type="dxa"/>
            <w:vAlign w:val="bottom"/>
            <w:gridSpan w:val="14"/>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2017 Replacement Term Loan Amendment dated as of May 11, 2017, among Generac Power Systems, Inc., Generac Acquisition Corp.,</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the lenders party thereto, JPMorgan Chase Bank, N.A., as Administrative Agent, and the other agents named therein (incorporated by</w:t>
              </w:r>
            </w:hyperlink>
          </w:p>
        </w:tc>
        <w:tc>
          <w:tcPr>
            <w:tcW w:w="1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reference to Exhibit 10.1 to the Company’s Current Report on Form 8-K filed with the SEC on May 15, 2017).</w:t>
              </w:r>
            </w:hyperlink>
          </w:p>
        </w:tc>
        <w:tc>
          <w:tcPr>
            <w:tcW w:w="1620" w:type="dxa"/>
            <w:vAlign w:val="bottom"/>
            <w:tcBorders>
              <w:top w:val="single" w:sz="8" w:color="0000EE"/>
            </w:tcBorders>
            <w:gridSpan w:val="4"/>
          </w:tcPr>
          <w:p>
            <w:pPr>
              <w:spacing w:after="0"/>
              <w:rPr>
                <w:sz w:val="17"/>
                <w:szCs w:val="17"/>
                <w:color w:val="auto"/>
              </w:rPr>
            </w:pPr>
          </w:p>
        </w:tc>
        <w:tc>
          <w:tcPr>
            <w:tcW w:w="280" w:type="dxa"/>
            <w:vAlign w:val="bottom"/>
            <w:gridSpan w:val="5"/>
          </w:tcPr>
          <w:p>
            <w:pPr>
              <w:spacing w:after="0"/>
              <w:rPr>
                <w:sz w:val="17"/>
                <w:szCs w:val="17"/>
                <w:color w:val="auto"/>
              </w:rPr>
            </w:pPr>
          </w:p>
        </w:tc>
      </w:tr>
    </w:tbl>
    <w:p>
      <w:pPr>
        <w:sectPr>
          <w:pgSz w:w="11900" w:h="16838" w:orient="portrait"/>
          <w:cols w:equalWidth="0" w:num="1">
            <w:col w:w="11240"/>
          </w:cols>
          <w:pgMar w:left="320" w:top="121" w:right="339"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7"/>
                <w:szCs w:val="17"/>
                <w:color w:val="auto"/>
              </w:rPr>
            </w:pPr>
          </w:p>
        </w:tc>
        <w:tc>
          <w:tcPr>
            <w:tcW w:w="97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2017-2 Replacement Term Loan Amendment dated as of December 8, 2017, among Generac Power Systems, Inc., Generac Acquisition</w:t>
              </w:r>
            </w:hyperlink>
          </w:p>
        </w:tc>
        <w:tc>
          <w:tcPr>
            <w:tcW w:w="1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Corp., the lenders party thereto, JPMorgan Chase Bank, N.A., as Administrative Agent, and the other agents named therein (incorporated</w:t>
              </w:r>
            </w:hyperlink>
          </w:p>
        </w:tc>
      </w:tr>
      <w:tr>
        <w:trPr>
          <w:trHeight w:val="237"/>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35"/>
          </w:tcPr>
          <w:p>
            <w:pPr>
              <w:spacing w:after="0"/>
              <w:rPr>
                <w:rFonts w:ascii="Times New Roman" w:cs="Times New Roman" w:eastAsia="Times New Roman" w:hAnsi="Times New Roman"/>
                <w:sz w:val="18"/>
                <w:szCs w:val="18"/>
                <w:u w:val="single" w:color="auto"/>
                <w:color w:val="0000EE"/>
              </w:rPr>
            </w:pPr>
            <w:hyperlink r:id="rId99">
              <w:r>
                <w:rPr>
                  <w:rFonts w:ascii="Times New Roman" w:cs="Times New Roman" w:eastAsia="Times New Roman" w:hAnsi="Times New Roman"/>
                  <w:sz w:val="18"/>
                  <w:szCs w:val="18"/>
                  <w:u w:val="single" w:color="auto"/>
                  <w:color w:val="0000EE"/>
                </w:rPr>
                <w:t>by reference to Exhibit 10.1 to the Company’s Current Report on Form 8-K filed with the SEC on December 11, 2017).</w:t>
              </w:r>
            </w:hyperlink>
          </w:p>
        </w:tc>
      </w:tr>
      <w:tr>
        <w:trPr>
          <w:trHeight w:val="39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4"/>
                <w:szCs w:val="24"/>
                <w:color w:val="auto"/>
              </w:rPr>
            </w:pPr>
          </w:p>
        </w:tc>
        <w:tc>
          <w:tcPr>
            <w:tcW w:w="9880" w:type="dxa"/>
            <w:vAlign w:val="bottom"/>
            <w:gridSpan w:val="35"/>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2018 Replacement Term Loan Amendment, dated as of June 8, 2018, among Generac Power Systems, Inc., Generac Acquisition Corp.,</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the lenders party thereto, JPMorgan Chase Bank, N.A., as Administrative Agent, and the other agents named therein (incorporated by</w:t>
              </w:r>
            </w:hyperlink>
          </w:p>
        </w:tc>
        <w:tc>
          <w:tcPr>
            <w:tcW w:w="14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reference to Exhibit 10.1 of the Current Report on Form 8-K filed with the SEC on June 14, 2018).</w:t>
              </w:r>
            </w:hyperlink>
          </w:p>
        </w:tc>
        <w:tc>
          <w:tcPr>
            <w:tcW w:w="2480" w:type="dxa"/>
            <w:vAlign w:val="bottom"/>
            <w:tcBorders>
              <w:top w:val="single" w:sz="8" w:color="0000EE"/>
            </w:tcBorders>
            <w:gridSpan w:val="16"/>
          </w:tcPr>
          <w:p>
            <w:pPr>
              <w:spacing w:after="0"/>
              <w:rPr>
                <w:sz w:val="17"/>
                <w:szCs w:val="17"/>
                <w:color w:val="auto"/>
              </w:rPr>
            </w:pPr>
          </w:p>
        </w:tc>
        <w:tc>
          <w:tcPr>
            <w:tcW w:w="280" w:type="dxa"/>
            <w:vAlign w:val="bottom"/>
            <w:gridSpan w:val="12"/>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4"/>
                <w:szCs w:val="24"/>
                <w:color w:val="auto"/>
              </w:rPr>
            </w:pPr>
          </w:p>
        </w:tc>
        <w:tc>
          <w:tcPr>
            <w:tcW w:w="97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2019 Replacement Term Loan Amendment, dated as of December 13, 2019, among Generac Power Systems, Inc., Generac Acquisition</w:t>
              </w:r>
            </w:hyperlink>
          </w:p>
        </w:tc>
        <w:tc>
          <w:tcPr>
            <w:tcW w:w="12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Corp., the lenders party thereto, JPMorgan Chase Bank, N.A., as Administrative Agent, and the other agents named therein (incorporated</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by reference to Exhibit 10.1 of the Current Report on Form 8-K filed with the SEC on December 16, 2019).</w:t>
              </w:r>
            </w:hyperlink>
          </w:p>
        </w:tc>
        <w:tc>
          <w:tcPr>
            <w:tcW w:w="2120" w:type="dxa"/>
            <w:vAlign w:val="bottom"/>
            <w:gridSpan w:val="27"/>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4"/>
                <w:szCs w:val="24"/>
                <w:color w:val="auto"/>
              </w:rPr>
            </w:pPr>
          </w:p>
        </w:tc>
        <w:tc>
          <w:tcPr>
            <w:tcW w:w="94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Restatement Agreement, dated as of May 31, 2013, to that certain Credit Agreement, dated as of February 9, 2012, as amended and</w:t>
              </w:r>
            </w:hyperlink>
          </w:p>
        </w:tc>
        <w:tc>
          <w:tcPr>
            <w:tcW w:w="420" w:type="dxa"/>
            <w:vAlign w:val="bottom"/>
            <w:gridSpan w:val="1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restated as of May 30, 2012, among Generac Power Systems, Inc., Generac Acquisition Corp., the lenders party thereto, JPMorgan</w:t>
              </w:r>
            </w:hyperlink>
          </w:p>
        </w:tc>
        <w:tc>
          <w:tcPr>
            <w:tcW w:w="460" w:type="dxa"/>
            <w:vAlign w:val="bottom"/>
            <w:gridSpan w:val="1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Chase Bank, N.A., as Administrative Agent, and Bank of America, N.A. and Goldman Sachs Bank USA, as syndication agents</w:t>
              </w:r>
            </w:hyperlink>
          </w:p>
        </w:tc>
        <w:tc>
          <w:tcPr>
            <w:tcW w:w="720" w:type="dxa"/>
            <w:vAlign w:val="bottom"/>
            <w:gridSpan w:val="22"/>
          </w:tcPr>
          <w:p>
            <w:pPr>
              <w:spacing w:after="0"/>
              <w:rPr>
                <w:sz w:val="17"/>
                <w:szCs w:val="17"/>
                <w:color w:val="auto"/>
              </w:rPr>
            </w:pPr>
          </w:p>
        </w:tc>
      </w:tr>
      <w:tr>
        <w:trPr>
          <w:trHeight w:val="237"/>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35"/>
          </w:tcPr>
          <w:p>
            <w:pPr>
              <w:spacing w:after="0"/>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(incorporated by reference to Exhibit 10.1 to the Company’s Current Report on Form 8-K filed with the SEC on June 4, 2013).</w:t>
              </w:r>
            </w:hyperlink>
          </w:p>
        </w:tc>
      </w:tr>
      <w:tr>
        <w:trPr>
          <w:trHeight w:val="39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4"/>
                <w:szCs w:val="24"/>
                <w:color w:val="auto"/>
              </w:rPr>
            </w:pPr>
          </w:p>
        </w:tc>
        <w:tc>
          <w:tcPr>
            <w:tcW w:w="93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Guarantee and Collateral Agreement, dated as of February 9, 2012, as amended and restated as of May 30, 2012, among Generac</w:t>
              </w:r>
            </w:hyperlink>
          </w:p>
        </w:tc>
        <w:tc>
          <w:tcPr>
            <w:tcW w:w="580" w:type="dxa"/>
            <w:vAlign w:val="bottom"/>
            <w:gridSpan w:val="2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Holdings Inc., Generac Acquisition Corp., Generac Power Systems, Inc., certain subsidiaries of Generac Power Systems, Inc. and</w:t>
              </w:r>
            </w:hyperlink>
          </w:p>
        </w:tc>
        <w:tc>
          <w:tcPr>
            <w:tcW w:w="540" w:type="dxa"/>
            <w:vAlign w:val="bottom"/>
            <w:gridSpan w:val="1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5"/>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JPMorgan Chase Bank, N.A., as Administrative Agent (incorporated by reference to Exhibit 10.2 of the Company’s Current Report on</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Form 8-K filed with the SEC on May 31, 2012).</w:t>
              </w:r>
            </w:hyperlink>
          </w:p>
        </w:tc>
        <w:tc>
          <w:tcPr>
            <w:tcW w:w="6200" w:type="dxa"/>
            <w:vAlign w:val="bottom"/>
            <w:tcBorders>
              <w:top w:val="single" w:sz="8" w:color="0000EE"/>
            </w:tcBorders>
            <w:gridSpan w:val="23"/>
          </w:tcPr>
          <w:p>
            <w:pPr>
              <w:spacing w:after="0"/>
              <w:rPr>
                <w:sz w:val="17"/>
                <w:szCs w:val="17"/>
                <w:color w:val="auto"/>
              </w:rPr>
            </w:pPr>
          </w:p>
        </w:tc>
        <w:tc>
          <w:tcPr>
            <w:tcW w:w="200" w:type="dxa"/>
            <w:vAlign w:val="bottom"/>
            <w:gridSpan w:val="9"/>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4"/>
                <w:szCs w:val="24"/>
                <w:color w:val="auto"/>
              </w:rPr>
            </w:pPr>
          </w:p>
        </w:tc>
        <w:tc>
          <w:tcPr>
            <w:tcW w:w="984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First Amendment to Guarantee and Collateral Agreement dated as of May 31, 2013, among Generac Holdings Inc., Generac Acquisition</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5"/>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Corp., Generac Power Systems, Inc., certain subsidiaries of Generac Power Systems, Inc. and JPMorgan Chase Bank, N.A., as</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5"/>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Administrative Agent (incorporated by reference to Exhibit 10.3 to the Company’s Current Report on Form 8-K filed with the SEC on</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04">
              <w:r>
                <w:rPr>
                  <w:rFonts w:ascii="Times New Roman" w:cs="Times New Roman" w:eastAsia="Times New Roman" w:hAnsi="Times New Roman"/>
                  <w:sz w:val="18"/>
                  <w:szCs w:val="18"/>
                  <w:color w:val="0000EE"/>
                  <w:w w:val="97"/>
                </w:rPr>
                <w:t>June 4, 2013).</w:t>
              </w:r>
            </w:hyperlink>
          </w:p>
        </w:tc>
        <w:tc>
          <w:tcPr>
            <w:tcW w:w="8640" w:type="dxa"/>
            <w:vAlign w:val="bottom"/>
            <w:tcBorders>
              <w:top w:val="single" w:sz="8" w:color="0000EE"/>
            </w:tcBorders>
            <w:gridSpan w:val="24"/>
          </w:tcPr>
          <w:p>
            <w:pPr>
              <w:spacing w:after="0"/>
              <w:rPr>
                <w:sz w:val="17"/>
                <w:szCs w:val="17"/>
                <w:color w:val="auto"/>
              </w:rPr>
            </w:pPr>
          </w:p>
        </w:tc>
        <w:tc>
          <w:tcPr>
            <w:tcW w:w="220" w:type="dxa"/>
            <w:vAlign w:val="bottom"/>
            <w:gridSpan w:val="10"/>
          </w:tcPr>
          <w:p>
            <w:pPr>
              <w:spacing w:after="0"/>
              <w:rPr>
                <w:sz w:val="17"/>
                <w:szCs w:val="17"/>
                <w:color w:val="auto"/>
              </w:rPr>
            </w:pPr>
          </w:p>
        </w:tc>
      </w:tr>
      <w:tr>
        <w:trPr>
          <w:trHeight w:val="453"/>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80" w:type="dxa"/>
            <w:vAlign w:val="bottom"/>
            <w:gridSpan w:val="5"/>
          </w:tcPr>
          <w:p>
            <w:pPr>
              <w:ind w:left="4180"/>
              <w:spacing w:after="0"/>
              <w:rPr>
                <w:sz w:val="20"/>
                <w:szCs w:val="20"/>
                <w:color w:val="auto"/>
              </w:rPr>
            </w:pPr>
            <w:r>
              <w:rPr>
                <w:rFonts w:ascii="Times New Roman" w:cs="Times New Roman" w:eastAsia="Times New Roman" w:hAnsi="Times New Roman"/>
                <w:sz w:val="18"/>
                <w:szCs w:val="18"/>
                <w:color w:val="auto"/>
              </w:rPr>
              <w:t>69</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324"/>
        </w:trPr>
        <w:tc>
          <w:tcPr>
            <w:tcW w:w="1360" w:type="dxa"/>
            <w:vAlign w:val="bottom"/>
            <w:gridSpan w:val="2"/>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0" w:type="dxa"/>
            <w:vAlign w:val="bottom"/>
            <w:gridSpan w:val="31"/>
          </w:tcPr>
          <w:p>
            <w:pPr>
              <w:ind w:left="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4"/>
                <w:szCs w:val="14"/>
                <w:color w:val="auto"/>
              </w:rPr>
            </w:pPr>
          </w:p>
        </w:tc>
        <w:tc>
          <w:tcPr>
            <w:tcW w:w="9800" w:type="dxa"/>
            <w:vAlign w:val="bottom"/>
            <w:tcBorders>
              <w:top w:val="single" w:sz="8" w:color="auto"/>
              <w:bottom w:val="single" w:sz="8" w:color="0000EE"/>
            </w:tcBorders>
            <w:gridSpan w:val="31"/>
          </w:tcPr>
          <w:p>
            <w:pPr>
              <w:spacing w:after="0" w:line="169"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Credit Agreement, dated as of May 30, 2012, among Generac Power Systems, Inc., its Domestic Subsidiaries listed as Borrowers on the</w:t>
              </w:r>
            </w:hyperlink>
          </w:p>
        </w:tc>
        <w:tc>
          <w:tcPr>
            <w:tcW w:w="80" w:type="dxa"/>
            <w:vAlign w:val="bottom"/>
            <w:tcBorders>
              <w:top w:val="single" w:sz="8" w:color="auto"/>
            </w:tcBorders>
            <w:gridSpan w:val="4"/>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signature pages thereto, Generac Acquisition Corp., the lenders party thereto, Bank of America, N.A. as Administrative Agent,</w:t>
              </w:r>
            </w:hyperlink>
          </w:p>
        </w:tc>
        <w:tc>
          <w:tcPr>
            <w:tcW w:w="740" w:type="dxa"/>
            <w:vAlign w:val="bottom"/>
            <w:gridSpan w:val="2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5"/>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JPMorgan Chase Bank, N.A. and Goldman Sachs Bank USA, as syndication agents, and Wells Fargo Bank, National Association, as</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35"/>
          </w:tcPr>
          <w:p>
            <w:pPr>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Documentation Agent (incorporated by reference to Exhibit 10.3 of the Company’s Current Report on Form 8-K filed with the SEC on</w:t>
              </w:r>
            </w:hyperlink>
          </w:p>
        </w:tc>
      </w:tr>
      <w:tr>
        <w:trPr>
          <w:trHeight w:val="234"/>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35"/>
          </w:tcPr>
          <w:p>
            <w:pPr>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May 31, 2012).</w:t>
              </w:r>
            </w:hyperlink>
          </w:p>
        </w:tc>
      </w:tr>
      <w:tr>
        <w:trPr>
          <w:trHeight w:val="391"/>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spacing w:after="0"/>
              <w:rPr>
                <w:sz w:val="24"/>
                <w:szCs w:val="24"/>
                <w:color w:val="auto"/>
              </w:rPr>
            </w:pPr>
          </w:p>
        </w:tc>
        <w:tc>
          <w:tcPr>
            <w:tcW w:w="9880" w:type="dxa"/>
            <w:vAlign w:val="bottom"/>
            <w:gridSpan w:val="35"/>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Amendment No. 1 dated as of May 31, 2013, among Generac Power Systems, Inc., its Domestic Subsidiaries listed as Borrowers on the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signature pages thereto, Generac Acquisition Corp., the lenders party thereto, Bank of America, N.A. as Administrative Agent,</w:t>
              </w:r>
            </w:hyperlink>
          </w:p>
        </w:tc>
        <w:tc>
          <w:tcPr>
            <w:tcW w:w="640" w:type="dxa"/>
            <w:vAlign w:val="bottom"/>
            <w:tcBorders>
              <w:top w:val="single" w:sz="8" w:color="0000EE"/>
            </w:tcBorders>
            <w:gridSpan w:val="18"/>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5"/>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JPMorgan Chase Bank, N.A. and Goldman Sachs Bank USA, as syndication agents, and Wells Fargo Bank, National Association, as</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35"/>
          </w:tcPr>
          <w:p>
            <w:pPr>
              <w:spacing w:after="0"/>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Documentation Agent (incorporated by reference to Exhibit 10.4 to the Company’s Current Report on Form 8-K filed with the SEC on</w:t>
              </w:r>
            </w:hyperlink>
          </w:p>
        </w:tc>
      </w:tr>
      <w:tr>
        <w:trPr>
          <w:trHeight w:val="234"/>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35"/>
          </w:tcPr>
          <w:p>
            <w:pPr>
              <w:spacing w:after="0"/>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June 4, 2013).</w:t>
              </w:r>
            </w:hyperlink>
          </w:p>
        </w:tc>
      </w:tr>
      <w:tr>
        <w:trPr>
          <w:trHeight w:val="391"/>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10.12</w:t>
            </w:r>
          </w:p>
        </w:tc>
        <w:tc>
          <w:tcPr>
            <w:tcW w:w="220" w:type="dxa"/>
            <w:vAlign w:val="bottom"/>
          </w:tcPr>
          <w:p>
            <w:pPr>
              <w:spacing w:after="0"/>
              <w:rPr>
                <w:sz w:val="24"/>
                <w:szCs w:val="24"/>
                <w:color w:val="auto"/>
              </w:rPr>
            </w:pPr>
          </w:p>
        </w:tc>
        <w:tc>
          <w:tcPr>
            <w:tcW w:w="9880" w:type="dxa"/>
            <w:vAlign w:val="bottom"/>
            <w:gridSpan w:val="35"/>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Amendment No. 2 dated as of May 29, 2015, among Generac Power Systems, Inc., its Domestic Subsidiaries listed as Borrowers on the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signature pages thereto, Generac Acquisition Corp., the lenders party thereto, Bank of America, N.A. as Administrative Agent, and the</w:t>
              </w:r>
            </w:hyperlink>
          </w:p>
        </w:tc>
        <w:tc>
          <w:tcPr>
            <w:tcW w:w="100" w:type="dxa"/>
            <w:vAlign w:val="bottom"/>
            <w:gridSpan w:val="5"/>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other agents named therein (incorporated by reference to Exhibit 10.1 of the Company’s Current Report on Form 8-K filed with the SEC</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5"/>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on June 1, 2015).</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tcPr>
          <w:p>
            <w:pPr>
              <w:spacing w:after="0"/>
              <w:rPr>
                <w:sz w:val="24"/>
                <w:szCs w:val="24"/>
                <w:color w:val="auto"/>
              </w:rPr>
            </w:pPr>
          </w:p>
        </w:tc>
        <w:tc>
          <w:tcPr>
            <w:tcW w:w="986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Second Amended and Restated Credit Agreement, dated as of June 12, 2018, among Generac Power Systems, Inc., its Subsidiaries listed</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5"/>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as Borrowers on the signature pages thereto, Generac Acquisition Corp., the lenders party thereto, Bank of America, N.A. as</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Administrative Agent, JPMorgan Chase Bank, N.A., as Syndication Agent, and Wells Fargo Bank, National Association, as</w:t>
              </w:r>
            </w:hyperlink>
          </w:p>
        </w:tc>
        <w:tc>
          <w:tcPr>
            <w:tcW w:w="60" w:type="dxa"/>
            <w:vAlign w:val="bottom"/>
            <w:tcBorders>
              <w:top w:val="single" w:sz="8" w:color="0000EE"/>
            </w:tcBorders>
          </w:tcPr>
          <w:p>
            <w:pPr>
              <w:spacing w:after="0"/>
              <w:rPr>
                <w:sz w:val="17"/>
                <w:szCs w:val="17"/>
                <w:color w:val="auto"/>
              </w:rPr>
            </w:pPr>
          </w:p>
        </w:tc>
        <w:tc>
          <w:tcPr>
            <w:tcW w:w="920" w:type="dxa"/>
            <w:vAlign w:val="bottom"/>
            <w:gridSpan w:val="25"/>
          </w:tcPr>
          <w:p>
            <w:pPr>
              <w:spacing w:after="0"/>
              <w:rPr>
                <w:sz w:val="17"/>
                <w:szCs w:val="17"/>
                <w:color w:val="auto"/>
              </w:rPr>
            </w:pPr>
          </w:p>
        </w:tc>
      </w:tr>
      <w:tr>
        <w:trPr>
          <w:trHeight w:val="218"/>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35"/>
          </w:tcPr>
          <w:p>
            <w:pPr>
              <w:spacing w:after="0"/>
              <w:rPr>
                <w:rFonts w:ascii="Times New Roman" w:cs="Times New Roman" w:eastAsia="Times New Roman" w:hAnsi="Times New Roman"/>
                <w:sz w:val="18"/>
                <w:szCs w:val="18"/>
                <w:u w:val="single" w:color="auto"/>
                <w:color w:val="0000EE"/>
              </w:rPr>
            </w:pPr>
            <w:hyperlink r:id="rId108">
              <w:r>
                <w:rPr>
                  <w:rFonts w:ascii="Times New Roman" w:cs="Times New Roman" w:eastAsia="Times New Roman" w:hAnsi="Times New Roman"/>
                  <w:sz w:val="18"/>
                  <w:szCs w:val="18"/>
                  <w:u w:val="single" w:color="auto"/>
                  <w:color w:val="0000EE"/>
                </w:rPr>
                <w:t>Documentation Agent (incorporated by reference to Exhibit 10.2 of the Current Report on Form 8-K filed with the SEC on June 14,</w:t>
              </w:r>
            </w:hyperlink>
          </w:p>
        </w:tc>
      </w:tr>
      <w:tr>
        <w:trPr>
          <w:trHeight w:val="234"/>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rFonts w:ascii="Times New Roman" w:cs="Times New Roman" w:eastAsia="Times New Roman" w:hAnsi="Times New Roman"/>
                <w:sz w:val="18"/>
                <w:szCs w:val="18"/>
                <w:u w:val="single" w:color="auto"/>
                <w:color w:val="0000EE"/>
              </w:rPr>
            </w:pPr>
            <w:hyperlink r:id="rId108">
              <w:r>
                <w:rPr>
                  <w:rFonts w:ascii="Times New Roman" w:cs="Times New Roman" w:eastAsia="Times New Roman" w:hAnsi="Times New Roman"/>
                  <w:sz w:val="18"/>
                  <w:szCs w:val="18"/>
                  <w:u w:val="single" w:color="auto"/>
                  <w:color w:val="0000EE"/>
                </w:rPr>
                <w:t>2018).</w:t>
              </w:r>
            </w:hyperlink>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tcPr>
          <w:p>
            <w:pPr>
              <w:spacing w:after="0"/>
              <w:rPr>
                <w:sz w:val="24"/>
                <w:szCs w:val="24"/>
                <w:color w:val="auto"/>
              </w:rPr>
            </w:pPr>
          </w:p>
        </w:tc>
        <w:tc>
          <w:tcPr>
            <w:tcW w:w="9880" w:type="dxa"/>
            <w:vAlign w:val="bottom"/>
            <w:gridSpan w:val="35"/>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Guarantee and Collateral Agreement, dated as of May 30, 2012, among Generac Holdings Inc., Generac Acquisition Corp., Generac</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Power Systems, Inc., certain subsidiaries of Generac Power Systems, Inc. and Bank of America, N.A., as Administrative Agent</w:t>
              </w:r>
            </w:hyperlink>
          </w:p>
        </w:tc>
        <w:tc>
          <w:tcPr>
            <w:tcW w:w="360" w:type="dxa"/>
            <w:vAlign w:val="bottom"/>
            <w:tcBorders>
              <w:top w:val="single" w:sz="8" w:color="0000EE"/>
            </w:tcBorders>
            <w:gridSpan w:val="7"/>
          </w:tcPr>
          <w:p>
            <w:pPr>
              <w:spacing w:after="0"/>
              <w:rPr>
                <w:sz w:val="17"/>
                <w:szCs w:val="17"/>
                <w:color w:val="auto"/>
              </w:rPr>
            </w:pPr>
          </w:p>
        </w:tc>
        <w:tc>
          <w:tcPr>
            <w:tcW w:w="340" w:type="dxa"/>
            <w:vAlign w:val="bottom"/>
            <w:gridSpan w:val="14"/>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35"/>
          </w:tcPr>
          <w:p>
            <w:pPr>
              <w:spacing w:after="0"/>
              <w:rPr>
                <w:rFonts w:ascii="Times New Roman" w:cs="Times New Roman" w:eastAsia="Times New Roman" w:hAnsi="Times New Roman"/>
                <w:sz w:val="18"/>
                <w:szCs w:val="18"/>
                <w:u w:val="single" w:color="auto"/>
                <w:color w:val="0000EE"/>
              </w:rPr>
            </w:pPr>
            <w:hyperlink r:id="rId109">
              <w:r>
                <w:rPr>
                  <w:rFonts w:ascii="Times New Roman" w:cs="Times New Roman" w:eastAsia="Times New Roman" w:hAnsi="Times New Roman"/>
                  <w:sz w:val="18"/>
                  <w:szCs w:val="18"/>
                  <w:u w:val="single" w:color="auto"/>
                  <w:color w:val="0000EE"/>
                </w:rPr>
                <w:t>(incorporated by reference to Exhibit 10.4 of the Company’s Current Report on Form 8-K filed with the SEC on May 31, 2012).</w:t>
              </w:r>
            </w:hyperlink>
          </w:p>
        </w:tc>
      </w:tr>
      <w:tr>
        <w:trPr>
          <w:trHeight w:val="391"/>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10.15</w:t>
            </w:r>
          </w:p>
        </w:tc>
        <w:tc>
          <w:tcPr>
            <w:tcW w:w="220" w:type="dxa"/>
            <w:vAlign w:val="bottom"/>
          </w:tcPr>
          <w:p>
            <w:pPr>
              <w:spacing w:after="0"/>
              <w:rPr>
                <w:sz w:val="24"/>
                <w:szCs w:val="24"/>
                <w:color w:val="auto"/>
              </w:rPr>
            </w:pPr>
          </w:p>
        </w:tc>
        <w:tc>
          <w:tcPr>
            <w:tcW w:w="984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First Amendment to Guarantee and Collateral Agreement dated as of May 31, 2013, among Generac Holdings Inc., Generac Acquisition</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5"/>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Corp., Generac Power Systems, Inc., certain subsidiaries of Generac Power Systems, Inc. and Bank of America, N.A., as Administrative</w:t>
              </w:r>
            </w:hyperlink>
          </w:p>
        </w:tc>
      </w:tr>
      <w:tr>
        <w:trPr>
          <w:trHeight w:val="236"/>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20" w:type="dxa"/>
            <w:vAlign w:val="bottom"/>
            <w:tcBorders>
              <w:top w:val="single" w:sz="8" w:color="0000EE"/>
            </w:tcBorders>
            <w:gridSpan w:val="32"/>
          </w:tcPr>
          <w:p>
            <w:pPr>
              <w:spacing w:after="0"/>
              <w:rPr>
                <w:rFonts w:ascii="Times New Roman" w:cs="Times New Roman" w:eastAsia="Times New Roman" w:hAnsi="Times New Roman"/>
                <w:sz w:val="18"/>
                <w:szCs w:val="18"/>
                <w:u w:val="single" w:color="auto"/>
                <w:color w:val="0000EE"/>
              </w:rPr>
            </w:pPr>
            <w:hyperlink r:id="rId110">
              <w:r>
                <w:rPr>
                  <w:rFonts w:ascii="Times New Roman" w:cs="Times New Roman" w:eastAsia="Times New Roman" w:hAnsi="Times New Roman"/>
                  <w:sz w:val="18"/>
                  <w:szCs w:val="18"/>
                  <w:u w:val="single" w:color="auto"/>
                  <w:color w:val="0000EE"/>
                </w:rPr>
                <w:t>Agent (incorporated by reference to Exhibit 10.5 to the Company’s Current Report on Form 8-K filed with the SEC on June 4, 2013).</w:t>
              </w:r>
            </w:hyperlink>
          </w:p>
        </w:tc>
        <w:tc>
          <w:tcPr>
            <w:tcW w:w="60" w:type="dxa"/>
            <w:vAlign w:val="bottom"/>
            <w:gridSpan w:val="3"/>
          </w:tcPr>
          <w:p>
            <w:pPr>
              <w:spacing w:after="0"/>
              <w:rPr>
                <w:sz w:val="20"/>
                <w:szCs w:val="20"/>
                <w:color w:val="auto"/>
              </w:rPr>
            </w:pPr>
          </w:p>
        </w:tc>
      </w:tr>
      <w:tr>
        <w:trPr>
          <w:trHeight w:val="391"/>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10.16+</w:t>
            </w:r>
          </w:p>
        </w:tc>
        <w:tc>
          <w:tcPr>
            <w:tcW w:w="220" w:type="dxa"/>
            <w:vAlign w:val="bottom"/>
          </w:tcPr>
          <w:p>
            <w:pPr>
              <w:spacing w:after="0"/>
              <w:rPr>
                <w:sz w:val="24"/>
                <w:szCs w:val="24"/>
                <w:color w:val="auto"/>
              </w:rPr>
            </w:pPr>
          </w:p>
        </w:tc>
        <w:tc>
          <w:tcPr>
            <w:tcW w:w="96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Generac Holdings Inc. Amended and Restated 2010 Equity Incentive Plan (incorporated by reference to Appendix A to the Definitive</w:t>
              </w:r>
            </w:hyperlink>
          </w:p>
        </w:tc>
        <w:tc>
          <w:tcPr>
            <w:tcW w:w="240" w:type="dxa"/>
            <w:vAlign w:val="bottom"/>
            <w:gridSpan w:val="11"/>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5"/>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Proxy Statement on Schedule 14A of the Company filed with the SEC on April 27, 2012)</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gridSpan w:val="4"/>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9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20" w:type="dxa"/>
            <w:vAlign w:val="bottom"/>
            <w:gridSpan w:val="13"/>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10.17+</w:t>
            </w:r>
          </w:p>
        </w:tc>
        <w:tc>
          <w:tcPr>
            <w:tcW w:w="220" w:type="dxa"/>
            <w:vAlign w:val="bottom"/>
          </w:tcPr>
          <w:p>
            <w:pPr>
              <w:spacing w:after="0"/>
              <w:rPr>
                <w:sz w:val="24"/>
                <w:szCs w:val="24"/>
                <w:color w:val="auto"/>
              </w:rPr>
            </w:pPr>
          </w:p>
        </w:tc>
        <w:tc>
          <w:tcPr>
            <w:tcW w:w="9880" w:type="dxa"/>
            <w:vAlign w:val="bottom"/>
            <w:gridSpan w:val="35"/>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Generac Holdings Inc. Annual Performance Bonus Plan (incorporated by reference to Exhibit 10.63 of the Registration Statement on</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Form S-1 filed with the SEC on January 25, 2010).</w:t>
              </w:r>
            </w:hyperlink>
          </w:p>
        </w:tc>
        <w:tc>
          <w:tcPr>
            <w:tcW w:w="5880" w:type="dxa"/>
            <w:vAlign w:val="bottom"/>
            <w:tcBorders>
              <w:top w:val="single" w:sz="8" w:color="0000EE"/>
            </w:tcBorders>
            <w:gridSpan w:val="18"/>
          </w:tcPr>
          <w:p>
            <w:pPr>
              <w:spacing w:after="0"/>
              <w:rPr>
                <w:sz w:val="17"/>
                <w:szCs w:val="17"/>
                <w:color w:val="auto"/>
              </w:rPr>
            </w:pPr>
          </w:p>
        </w:tc>
        <w:tc>
          <w:tcPr>
            <w:tcW w:w="320" w:type="dxa"/>
            <w:vAlign w:val="bottom"/>
            <w:gridSpan w:val="13"/>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10.18+</w:t>
            </w:r>
          </w:p>
        </w:tc>
        <w:tc>
          <w:tcPr>
            <w:tcW w:w="220" w:type="dxa"/>
            <w:vAlign w:val="bottom"/>
          </w:tcPr>
          <w:p>
            <w:pPr>
              <w:spacing w:after="0"/>
              <w:rPr>
                <w:sz w:val="24"/>
                <w:szCs w:val="24"/>
                <w:color w:val="auto"/>
              </w:rPr>
            </w:pPr>
          </w:p>
        </w:tc>
        <w:tc>
          <w:tcPr>
            <w:tcW w:w="9880" w:type="dxa"/>
            <w:vAlign w:val="bottom"/>
            <w:gridSpan w:val="35"/>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Amended and Restated Employment Agreement, dated November 5, 2018, between Generac and Aaron Jagdfeld (incorporated by</w:t>
              </w:r>
            </w:hyperlink>
          </w:p>
        </w:tc>
      </w:tr>
      <w:tr>
        <w:trPr>
          <w:trHeight w:val="237"/>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80" w:type="dxa"/>
            <w:vAlign w:val="bottom"/>
            <w:tcBorders>
              <w:top w:val="single" w:sz="8" w:color="0000EE"/>
            </w:tcBorders>
            <w:gridSpan w:val="18"/>
          </w:tcPr>
          <w:p>
            <w:pPr>
              <w:spacing w:after="0"/>
              <w:rPr>
                <w:rFonts w:ascii="Times New Roman" w:cs="Times New Roman" w:eastAsia="Times New Roman" w:hAnsi="Times New Roman"/>
                <w:sz w:val="18"/>
                <w:szCs w:val="18"/>
                <w:u w:val="single" w:color="auto"/>
                <w:color w:val="0000EE"/>
              </w:rPr>
            </w:pPr>
            <w:hyperlink r:id="rId113">
              <w:r>
                <w:rPr>
                  <w:rFonts w:ascii="Times New Roman" w:cs="Times New Roman" w:eastAsia="Times New Roman" w:hAnsi="Times New Roman"/>
                  <w:sz w:val="18"/>
                  <w:szCs w:val="18"/>
                  <w:u w:val="single" w:color="auto"/>
                  <w:color w:val="0000EE"/>
                </w:rPr>
                <w:t>reference to Exhibit 10.1 of the Company’s Quarterly Report on Form 10-Q filed with the SEC on November 6, 2018).</w:t>
              </w:r>
            </w:hyperlink>
          </w:p>
        </w:tc>
        <w:tc>
          <w:tcPr>
            <w:tcW w:w="500" w:type="dxa"/>
            <w:vAlign w:val="bottom"/>
            <w:gridSpan w:val="17"/>
          </w:tcPr>
          <w:p>
            <w:pPr>
              <w:spacing w:after="0"/>
              <w:rPr>
                <w:sz w:val="20"/>
                <w:szCs w:val="20"/>
                <w:color w:val="auto"/>
              </w:rPr>
            </w:pPr>
          </w:p>
        </w:tc>
      </w:tr>
      <w:tr>
        <w:trPr>
          <w:trHeight w:val="391"/>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tcPr>
          <w:p>
            <w:pPr>
              <w:spacing w:after="0"/>
              <w:rPr>
                <w:sz w:val="24"/>
                <w:szCs w:val="24"/>
                <w:color w:val="auto"/>
              </w:rPr>
            </w:pPr>
          </w:p>
        </w:tc>
        <w:tc>
          <w:tcPr>
            <w:tcW w:w="93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Form of Confidentiality, Non-Competition and Intellectual Property Agreement (incorporated by reference to Exhibit 10.40 of the</w:t>
              </w:r>
            </w:hyperlink>
          </w:p>
        </w:tc>
        <w:tc>
          <w:tcPr>
            <w:tcW w:w="520" w:type="dxa"/>
            <w:vAlign w:val="bottom"/>
            <w:gridSpan w:val="1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5"/>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Registration Statement on Form S-1 filed with the SEC on November 24, 2009).</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-6377305</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-6385560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10.20+</w:t>
            </w:r>
          </w:p>
        </w:tc>
        <w:tc>
          <w:tcPr>
            <w:tcW w:w="220" w:type="dxa"/>
            <w:vAlign w:val="bottom"/>
          </w:tcPr>
          <w:p>
            <w:pPr>
              <w:spacing w:after="0"/>
              <w:rPr>
                <w:sz w:val="17"/>
                <w:szCs w:val="17"/>
                <w:color w:val="auto"/>
              </w:rPr>
            </w:pPr>
          </w:p>
        </w:tc>
        <w:tc>
          <w:tcPr>
            <w:tcW w:w="94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Form of Nonqualified Stock Option Award Agreement (incorporated by reference to Exhibit 10.45 of the Registration Statement on</w:t>
              </w:r>
            </w:hyperlink>
          </w:p>
        </w:tc>
        <w:tc>
          <w:tcPr>
            <w:tcW w:w="40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Form S-1 filed with the SEC on January 25, 2010).</w:t>
              </w:r>
            </w:hyperlink>
          </w:p>
        </w:tc>
        <w:tc>
          <w:tcPr>
            <w:tcW w:w="6200" w:type="dxa"/>
            <w:vAlign w:val="bottom"/>
            <w:gridSpan w:val="22"/>
          </w:tcPr>
          <w:p>
            <w:pPr>
              <w:spacing w:after="0"/>
              <w:rPr>
                <w:sz w:val="17"/>
                <w:szCs w:val="17"/>
                <w:color w:val="auto"/>
              </w:rPr>
            </w:pPr>
          </w:p>
        </w:tc>
      </w:tr>
      <w:tr>
        <w:trPr>
          <w:trHeight w:val="453"/>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gridSpan w:val="8"/>
          </w:tcPr>
          <w:p>
            <w:pPr>
              <w:ind w:left="4180"/>
              <w:spacing w:after="0"/>
              <w:rPr>
                <w:sz w:val="20"/>
                <w:szCs w:val="20"/>
                <w:color w:val="auto"/>
              </w:rPr>
            </w:pPr>
            <w:r>
              <w:rPr>
                <w:rFonts w:ascii="Times New Roman" w:cs="Times New Roman" w:eastAsia="Times New Roman" w:hAnsi="Times New Roman"/>
                <w:sz w:val="18"/>
                <w:szCs w:val="18"/>
                <w:color w:val="auto"/>
              </w:rPr>
              <w:t>70</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r>
        <w:trPr>
          <w:trHeight w:val="324"/>
        </w:trPr>
        <w:tc>
          <w:tcPr>
            <w:tcW w:w="1360" w:type="dxa"/>
            <w:vAlign w:val="bottom"/>
            <w:gridSpan w:val="2"/>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80" w:type="dxa"/>
            <w:vAlign w:val="bottom"/>
            <w:gridSpan w:val="21"/>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10.21+</w:t>
            </w:r>
          </w:p>
        </w:tc>
        <w:tc>
          <w:tcPr>
            <w:tcW w:w="220" w:type="dxa"/>
            <w:vAlign w:val="bottom"/>
          </w:tcPr>
          <w:p>
            <w:pPr>
              <w:spacing w:after="0"/>
              <w:rPr>
                <w:sz w:val="14"/>
                <w:szCs w:val="14"/>
                <w:color w:val="auto"/>
              </w:rPr>
            </w:pPr>
          </w:p>
        </w:tc>
        <w:tc>
          <w:tcPr>
            <w:tcW w:w="9780" w:type="dxa"/>
            <w:vAlign w:val="bottom"/>
            <w:tcBorders>
              <w:top w:val="single" w:sz="8" w:color="auto"/>
              <w:bottom w:val="single" w:sz="8" w:color="0000EE"/>
            </w:tcBorders>
            <w:gridSpan w:val="26"/>
          </w:tcPr>
          <w:p>
            <w:pPr>
              <w:spacing w:after="0" w:line="169"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Amended Form of Restricted Stock Award Agreement pursuant to the 2010 Equity Incentive Plan (incorporated by reference to Exhibit</w:t>
              </w:r>
            </w:hyperlink>
          </w:p>
        </w:tc>
        <w:tc>
          <w:tcPr>
            <w:tcW w:w="100" w:type="dxa"/>
            <w:vAlign w:val="bottom"/>
            <w:tcBorders>
              <w:top w:val="single" w:sz="8" w:color="auto"/>
            </w:tcBorders>
            <w:gridSpan w:val="2"/>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8"/>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of the Quarterly Report on Form 10-Q filed with the SEC on May 8, 2012).</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10.22+</w:t>
            </w:r>
          </w:p>
        </w:tc>
        <w:tc>
          <w:tcPr>
            <w:tcW w:w="220" w:type="dxa"/>
            <w:vAlign w:val="bottom"/>
          </w:tcPr>
          <w:p>
            <w:pPr>
              <w:spacing w:after="0"/>
              <w:rPr>
                <w:sz w:val="24"/>
                <w:szCs w:val="24"/>
                <w:color w:val="auto"/>
              </w:rPr>
            </w:pPr>
          </w:p>
        </w:tc>
        <w:tc>
          <w:tcPr>
            <w:tcW w:w="97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Amended Form of Nonqualified Stock Option Award Agreement pursuant to the 2010 Equity Incentive Plan (incorporated by reference</w:t>
              </w:r>
            </w:hyperlink>
          </w:p>
        </w:tc>
        <w:tc>
          <w:tcPr>
            <w:tcW w:w="10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8"/>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to Exhibit 10.4 of the Quarterly Report on Form 10-Q filed with the SEC on May 8, 2012).</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10.23+</w:t>
            </w:r>
          </w:p>
        </w:tc>
        <w:tc>
          <w:tcPr>
            <w:tcW w:w="220" w:type="dxa"/>
            <w:vAlign w:val="bottom"/>
          </w:tcPr>
          <w:p>
            <w:pPr>
              <w:spacing w:after="0"/>
              <w:rPr>
                <w:sz w:val="24"/>
                <w:szCs w:val="24"/>
                <w:color w:val="auto"/>
              </w:rPr>
            </w:pPr>
          </w:p>
        </w:tc>
        <w:tc>
          <w:tcPr>
            <w:tcW w:w="97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Amended Form of Nonqualified Stock Option Award Agreement pursuant to the 2010 Equity Incentive Plan (incorporated by reference</w:t>
              </w:r>
            </w:hyperlink>
          </w:p>
        </w:tc>
        <w:tc>
          <w:tcPr>
            <w:tcW w:w="10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8"/>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to Exhibit 10.24 of the Annual Report on Form 10-K filed with the SEC on February 26, 2019).</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10.24+</w:t>
            </w:r>
          </w:p>
        </w:tc>
        <w:tc>
          <w:tcPr>
            <w:tcW w:w="220" w:type="dxa"/>
            <w:vAlign w:val="bottom"/>
          </w:tcPr>
          <w:p>
            <w:pPr>
              <w:spacing w:after="0"/>
              <w:rPr>
                <w:sz w:val="24"/>
                <w:szCs w:val="24"/>
                <w:color w:val="auto"/>
              </w:rPr>
            </w:pPr>
          </w:p>
        </w:tc>
        <w:tc>
          <w:tcPr>
            <w:tcW w:w="97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Amended Form of Restricted Stock Award Agreement pursuant to the 2010 Equity Incentive Plan (incorporated by reference to Exhibit</w:t>
              </w:r>
            </w:hyperlink>
          </w:p>
        </w:tc>
        <w:tc>
          <w:tcPr>
            <w:tcW w:w="10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8"/>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0000EE"/>
                </w:rPr>
                <w:t xml:space="preserve"> of the Annual Report on Form 10-K filed with the SEC on February 26, 2019).</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10.25</w:t>
            </w:r>
          </w:p>
        </w:tc>
        <w:tc>
          <w:tcPr>
            <w:tcW w:w="220" w:type="dxa"/>
            <w:vAlign w:val="bottom"/>
          </w:tcPr>
          <w:p>
            <w:pPr>
              <w:spacing w:after="0"/>
              <w:rPr>
                <w:sz w:val="24"/>
                <w:szCs w:val="24"/>
                <w:color w:val="auto"/>
              </w:rPr>
            </w:pPr>
          </w:p>
        </w:tc>
        <w:tc>
          <w:tcPr>
            <w:tcW w:w="95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Form of Director Indemnification Agreement (incorporated by reference to Exhibit 10.51 of the Registration Statement on Form S-1</w:t>
              </w:r>
            </w:hyperlink>
          </w:p>
        </w:tc>
        <w:tc>
          <w:tcPr>
            <w:tcW w:w="34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filed with the SEC on January 11, 2010).</w:t>
              </w:r>
            </w:hyperlink>
          </w:p>
        </w:tc>
        <w:tc>
          <w:tcPr>
            <w:tcW w:w="6940" w:type="dxa"/>
            <w:vAlign w:val="bottom"/>
            <w:gridSpan w:val="23"/>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10.26</w:t>
            </w:r>
          </w:p>
        </w:tc>
        <w:tc>
          <w:tcPr>
            <w:tcW w:w="220" w:type="dxa"/>
            <w:vAlign w:val="bottom"/>
          </w:tcPr>
          <w:p>
            <w:pPr>
              <w:spacing w:after="0"/>
              <w:rPr>
                <w:sz w:val="24"/>
                <w:szCs w:val="24"/>
                <w:color w:val="auto"/>
              </w:rPr>
            </w:pPr>
          </w:p>
        </w:tc>
        <w:tc>
          <w:tcPr>
            <w:tcW w:w="9880" w:type="dxa"/>
            <w:vAlign w:val="bottom"/>
            <w:gridSpan w:val="28"/>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of Officer Indemnification Agreement (incorporated by reference to Exhibit 10.52 of the Registration Statement on Form S-1 filed</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23">
              <w:r>
                <w:rPr>
                  <w:rFonts w:ascii="Times New Roman" w:cs="Times New Roman" w:eastAsia="Times New Roman" w:hAnsi="Times New Roman"/>
                  <w:sz w:val="18"/>
                  <w:szCs w:val="18"/>
                  <w:color w:val="0000EE"/>
                  <w:w w:val="98"/>
                </w:rPr>
                <w:t>with the SEC on January 11, 2010).</w:t>
              </w:r>
            </w:hyperlink>
          </w:p>
        </w:tc>
        <w:tc>
          <w:tcPr>
            <w:tcW w:w="7260" w:type="dxa"/>
            <w:vAlign w:val="bottom"/>
            <w:tcBorders>
              <w:top w:val="single" w:sz="8" w:color="0000EE"/>
            </w:tcBorders>
            <w:gridSpan w:val="23"/>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10.27+</w:t>
            </w:r>
          </w:p>
        </w:tc>
        <w:tc>
          <w:tcPr>
            <w:tcW w:w="220" w:type="dxa"/>
            <w:vAlign w:val="bottom"/>
          </w:tcPr>
          <w:p>
            <w:pPr>
              <w:spacing w:after="0"/>
              <w:rPr>
                <w:sz w:val="24"/>
                <w:szCs w:val="24"/>
                <w:color w:val="auto"/>
              </w:rPr>
            </w:pPr>
          </w:p>
        </w:tc>
        <w:tc>
          <w:tcPr>
            <w:tcW w:w="9880" w:type="dxa"/>
            <w:vAlign w:val="bottom"/>
            <w:gridSpan w:val="28"/>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Amended Form of Performance Share Award Agreement pursuant to the 2010 Equity Incentive Plan (incorporated by reference to</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Exhibit 10.29 of the Annual Report on Form 10-K filed with the SEC on February 26, 2019).</w:t>
              </w:r>
            </w:hyperlink>
          </w:p>
        </w:tc>
        <w:tc>
          <w:tcPr>
            <w:tcW w:w="2660" w:type="dxa"/>
            <w:vAlign w:val="bottom"/>
            <w:tcBorders>
              <w:top w:val="single" w:sz="8" w:color="0000EE"/>
            </w:tcBorders>
            <w:gridSpan w:val="5"/>
          </w:tcPr>
          <w:p>
            <w:pPr>
              <w:spacing w:after="0"/>
              <w:rPr>
                <w:sz w:val="17"/>
                <w:szCs w:val="17"/>
                <w:color w:val="auto"/>
              </w:rPr>
            </w:pPr>
          </w:p>
        </w:tc>
        <w:tc>
          <w:tcPr>
            <w:tcW w:w="520" w:type="dxa"/>
            <w:vAlign w:val="bottom"/>
            <w:gridSpan w:val="10"/>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10.28+</w:t>
            </w:r>
          </w:p>
        </w:tc>
        <w:tc>
          <w:tcPr>
            <w:tcW w:w="220" w:type="dxa"/>
            <w:vAlign w:val="bottom"/>
          </w:tcPr>
          <w:p>
            <w:pPr>
              <w:spacing w:after="0"/>
              <w:rPr>
                <w:sz w:val="24"/>
                <w:szCs w:val="24"/>
                <w:color w:val="auto"/>
              </w:rPr>
            </w:pPr>
          </w:p>
        </w:tc>
        <w:tc>
          <w:tcPr>
            <w:tcW w:w="97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Generac Holdings Inc. Non-Employee Director Compensation Policy (incorporated by reference to Exhibit 10.31 of the Annual Report</w:t>
              </w:r>
            </w:hyperlink>
          </w:p>
        </w:tc>
        <w:tc>
          <w:tcPr>
            <w:tcW w:w="14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8"/>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on Form 10-K filed with the SEC on February 25, 2020).</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10.29+</w:t>
            </w:r>
          </w:p>
        </w:tc>
        <w:tc>
          <w:tcPr>
            <w:tcW w:w="220" w:type="dxa"/>
            <w:vAlign w:val="bottom"/>
          </w:tcPr>
          <w:p>
            <w:pPr>
              <w:spacing w:after="0"/>
              <w:rPr>
                <w:sz w:val="24"/>
                <w:szCs w:val="24"/>
                <w:color w:val="auto"/>
              </w:rPr>
            </w:pPr>
          </w:p>
        </w:tc>
        <w:tc>
          <w:tcPr>
            <w:tcW w:w="9880" w:type="dxa"/>
            <w:vAlign w:val="bottom"/>
            <w:gridSpan w:val="28"/>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Generac Power Systems, Inc. Executive Change in Control Policy, effective November 5, 2018 (incorporated by reference to Exhibit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2</w:t>
              </w:r>
              <w:r>
                <w:rPr>
                  <w:rFonts w:ascii="Times New Roman" w:cs="Times New Roman" w:eastAsia="Times New Roman" w:hAnsi="Times New Roman"/>
                  <w:sz w:val="18"/>
                  <w:szCs w:val="18"/>
                  <w:color w:val="0000EE"/>
                  <w:w w:val="99"/>
                </w:rPr>
                <w:t xml:space="preserve"> of the Quarterly Report on Form 10-Q filed with the SEC on November 6, 2018).</w:t>
              </w:r>
            </w:hyperlink>
          </w:p>
        </w:tc>
        <w:tc>
          <w:tcPr>
            <w:tcW w:w="3340" w:type="dxa"/>
            <w:vAlign w:val="bottom"/>
            <w:tcBorders>
              <w:top w:val="single" w:sz="8" w:color="0000EE"/>
            </w:tcBorders>
            <w:gridSpan w:val="11"/>
          </w:tcPr>
          <w:p>
            <w:pPr>
              <w:spacing w:after="0"/>
              <w:rPr>
                <w:sz w:val="17"/>
                <w:szCs w:val="17"/>
                <w:color w:val="auto"/>
              </w:rPr>
            </w:pPr>
          </w:p>
        </w:tc>
        <w:tc>
          <w:tcPr>
            <w:tcW w:w="320" w:type="dxa"/>
            <w:vAlign w:val="bottom"/>
            <w:gridSpan w:val="6"/>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10.30+</w:t>
            </w:r>
          </w:p>
        </w:tc>
        <w:tc>
          <w:tcPr>
            <w:tcW w:w="220" w:type="dxa"/>
            <w:vAlign w:val="bottom"/>
          </w:tcPr>
          <w:p>
            <w:pPr>
              <w:spacing w:after="0"/>
              <w:rPr>
                <w:sz w:val="24"/>
                <w:szCs w:val="24"/>
                <w:color w:val="auto"/>
              </w:rPr>
            </w:pPr>
          </w:p>
        </w:tc>
        <w:tc>
          <w:tcPr>
            <w:tcW w:w="9880" w:type="dxa"/>
            <w:vAlign w:val="bottom"/>
            <w:gridSpan w:val="28"/>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Generac Holdings Inc. 2019 Equity Incentive Plan (incorporated by reference to Appendix A to the Definitive Proxy Statement on</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Schedule 14A of the Company filed with the SEC on April 26, 2019).</w:t>
              </w:r>
            </w:hyperlink>
          </w:p>
        </w:tc>
        <w:tc>
          <w:tcPr>
            <w:tcW w:w="500" w:type="dxa"/>
            <w:vAlign w:val="bottom"/>
            <w:gridSpan w:val="9"/>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tcPr>
          <w:p>
            <w:pPr>
              <w:spacing w:after="0"/>
              <w:rPr>
                <w:sz w:val="24"/>
                <w:szCs w:val="24"/>
                <w:color w:val="auto"/>
              </w:rPr>
            </w:pPr>
          </w:p>
        </w:tc>
        <w:tc>
          <w:tcPr>
            <w:tcW w:w="9880" w:type="dxa"/>
            <w:vAlign w:val="bottom"/>
            <w:gridSpan w:val="28"/>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Restricted Stock Award Agreement pursuant to the Generac Holdings Inc. 2019 Equity Incentive Plan (incorporated by</w:t>
              </w:r>
            </w:hyperlink>
          </w:p>
        </w:tc>
      </w:tr>
      <w:tr>
        <w:trPr>
          <w:trHeight w:val="237"/>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tcBorders>
              <w:top w:val="single" w:sz="8" w:color="0000EE"/>
            </w:tcBorders>
            <w:gridSpan w:val="17"/>
          </w:tcPr>
          <w:p>
            <w:pPr>
              <w:spacing w:after="0"/>
              <w:rPr>
                <w:rFonts w:ascii="Times New Roman" w:cs="Times New Roman" w:eastAsia="Times New Roman" w:hAnsi="Times New Roman"/>
                <w:sz w:val="18"/>
                <w:szCs w:val="18"/>
                <w:u w:val="single" w:color="auto"/>
                <w:color w:val="0000EE"/>
              </w:rPr>
            </w:pPr>
            <w:hyperlink r:id="rId128">
              <w:r>
                <w:rPr>
                  <w:rFonts w:ascii="Times New Roman" w:cs="Times New Roman" w:eastAsia="Times New Roman" w:hAnsi="Times New Roman"/>
                  <w:sz w:val="18"/>
                  <w:szCs w:val="18"/>
                  <w:u w:val="single" w:color="auto"/>
                  <w:color w:val="0000EE"/>
                </w:rPr>
                <w:t>reference to Exhibit 10.1 of the Quarterly Report on Form 10-Q filed with the SEC on November 5, 2019).</w:t>
              </w:r>
            </w:hyperlink>
          </w:p>
        </w:tc>
        <w:tc>
          <w:tcPr>
            <w:tcW w:w="680" w:type="dxa"/>
            <w:vAlign w:val="bottom"/>
            <w:gridSpan w:val="11"/>
          </w:tcPr>
          <w:p>
            <w:pPr>
              <w:spacing w:after="0"/>
              <w:rPr>
                <w:sz w:val="20"/>
                <w:szCs w:val="20"/>
                <w:color w:val="auto"/>
              </w:rPr>
            </w:pPr>
          </w:p>
        </w:tc>
      </w:tr>
      <w:tr>
        <w:trPr>
          <w:trHeight w:val="391"/>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10.32+</w:t>
            </w:r>
          </w:p>
        </w:tc>
        <w:tc>
          <w:tcPr>
            <w:tcW w:w="220" w:type="dxa"/>
            <w:vAlign w:val="bottom"/>
          </w:tcPr>
          <w:p>
            <w:pPr>
              <w:spacing w:after="0"/>
              <w:rPr>
                <w:sz w:val="24"/>
                <w:szCs w:val="24"/>
                <w:color w:val="auto"/>
              </w:rPr>
            </w:pPr>
          </w:p>
        </w:tc>
        <w:tc>
          <w:tcPr>
            <w:tcW w:w="97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Form of Nonqualified Stock Option Award Agreement pursuant to the Generac Holdings Inc. 2019 Equity Incentive Plan (incorporated</w:t>
              </w:r>
            </w:hyperlink>
          </w:p>
        </w:tc>
        <w:tc>
          <w:tcPr>
            <w:tcW w:w="12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by reference to Exhibit 10.2 of the Quarterly Report on Form 10-Q filed with the SEC on November 5, 2019).</w:t>
              </w:r>
            </w:hyperlink>
          </w:p>
        </w:tc>
        <w:tc>
          <w:tcPr>
            <w:tcW w:w="1960" w:type="dxa"/>
            <w:vAlign w:val="bottom"/>
            <w:gridSpan w:val="12"/>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10.33+</w:t>
            </w:r>
          </w:p>
        </w:tc>
        <w:tc>
          <w:tcPr>
            <w:tcW w:w="220" w:type="dxa"/>
            <w:vAlign w:val="bottom"/>
          </w:tcPr>
          <w:p>
            <w:pPr>
              <w:spacing w:after="0"/>
              <w:rPr>
                <w:sz w:val="24"/>
                <w:szCs w:val="24"/>
                <w:color w:val="auto"/>
              </w:rPr>
            </w:pPr>
          </w:p>
        </w:tc>
        <w:tc>
          <w:tcPr>
            <w:tcW w:w="97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Form of Performance Share Unit Award Agreement pursuant to the Generac Holdings Inc. 2019 Equity Incentive Plan (incorporated by</w:t>
              </w:r>
            </w:hyperlink>
          </w:p>
        </w:tc>
        <w:tc>
          <w:tcPr>
            <w:tcW w:w="10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8"/>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reference to Exhibit 10.3 of the Quarterly Report on Form 10-Q filed with the SEC on November 5, 2019).</w:t>
              </w:r>
            </w:hyperlink>
          </w:p>
        </w:tc>
      </w:tr>
      <w:tr>
        <w:trPr>
          <w:trHeight w:val="453"/>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4"/>
                <w:szCs w:val="24"/>
                <w:color w:val="auto"/>
              </w:rPr>
            </w:pPr>
          </w:p>
        </w:tc>
        <w:tc>
          <w:tcPr>
            <w:tcW w:w="7680" w:type="dxa"/>
            <w:vAlign w:val="bottom"/>
            <w:tcBorders>
              <w:top w:val="single" w:sz="8" w:color="0000EE"/>
            </w:tcBorders>
            <w:gridSpan w:val="15"/>
          </w:tcPr>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List of Subsidiaries of Generac Holdings Inc.</w:t>
              </w:r>
            </w:hyperlink>
          </w:p>
        </w:tc>
        <w:tc>
          <w:tcPr>
            <w:tcW w:w="2200" w:type="dxa"/>
            <w:vAlign w:val="bottom"/>
            <w:gridSpan w:val="13"/>
          </w:tcPr>
          <w:p>
            <w:pPr>
              <w:spacing w:after="0"/>
              <w:rPr>
                <w:sz w:val="24"/>
                <w:szCs w:val="24"/>
                <w:color w:val="auto"/>
              </w:rPr>
            </w:pPr>
          </w:p>
        </w:tc>
      </w:tr>
      <w:tr>
        <w:trPr>
          <w:trHeight w:val="43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4"/>
                <w:szCs w:val="24"/>
                <w:color w:val="auto"/>
              </w:rPr>
            </w:pPr>
          </w:p>
        </w:tc>
        <w:tc>
          <w:tcPr>
            <w:tcW w:w="9880" w:type="dxa"/>
            <w:vAlign w:val="bottom"/>
            <w:gridSpan w:val="28"/>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u w:val="single" w:color="auto"/>
                  <w:color w:val="0000EE"/>
                </w:rPr>
                <w:t>Consent of Deloitte &amp; Touche LLP, Independent Registered Public Accounting Firm</w:t>
              </w:r>
              <w:r>
                <w:rPr>
                  <w:rFonts w:ascii="Times New Roman" w:cs="Times New Roman" w:eastAsia="Times New Roman" w:hAnsi="Times New Roman"/>
                  <w:sz w:val="18"/>
                  <w:szCs w:val="18"/>
                  <w:color w:val="0000EE"/>
                </w:rPr>
                <w:t>.</w:t>
              </w:r>
            </w:hyperlink>
          </w:p>
        </w:tc>
      </w:tr>
      <w:tr>
        <w:trPr>
          <w:trHeight w:val="391"/>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9880" w:type="dxa"/>
            <w:vAlign w:val="bottom"/>
            <w:gridSpan w:val="28"/>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Certification of Chief Executive Officer pursuant to Securities Exchange Act Rules 13a-14(a) and 15d-14(a), pursuant to Section 302 of</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the Sarbanes-Oxley Act of 2002.</w:t>
              </w:r>
            </w:hyperlink>
          </w:p>
        </w:tc>
        <w:tc>
          <w:tcPr>
            <w:tcW w:w="7400" w:type="dxa"/>
            <w:vAlign w:val="bottom"/>
            <w:tcBorders>
              <w:top w:val="single" w:sz="8" w:color="0000EE"/>
            </w:tcBorders>
            <w:gridSpan w:val="23"/>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97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Certification of Chief Financial Officer pursuant to Securities Exchange Act Rules 13a-14(a) and 15d-14(a), pursuant to Section 302 of</w:t>
              </w:r>
            </w:hyperlink>
          </w:p>
        </w:tc>
        <w:tc>
          <w:tcPr>
            <w:tcW w:w="14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8"/>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the Sarbanes-Oxley Act of 2002.</w:t>
              </w:r>
            </w:hyperlink>
          </w:p>
        </w:tc>
      </w:tr>
      <w:tr>
        <w:trPr>
          <w:trHeight w:val="453"/>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Borders>
              <w:top w:val="single" w:sz="8" w:color="0000EE"/>
            </w:tcBorders>
            <w:gridSpan w:val="2"/>
          </w:tcPr>
          <w:p>
            <w:pPr>
              <w:spacing w:after="0"/>
              <w:rPr>
                <w:sz w:val="24"/>
                <w:szCs w:val="24"/>
                <w:color w:val="auto"/>
              </w:rPr>
            </w:pPr>
          </w:p>
        </w:tc>
        <w:tc>
          <w:tcPr>
            <w:tcW w:w="2660" w:type="dxa"/>
            <w:vAlign w:val="bottom"/>
            <w:gridSpan w:val="6"/>
          </w:tcPr>
          <w:p>
            <w:pPr>
              <w:ind w:left="1820"/>
              <w:spacing w:after="0"/>
              <w:rPr>
                <w:sz w:val="20"/>
                <w:szCs w:val="20"/>
                <w:color w:val="auto"/>
              </w:rPr>
            </w:pPr>
            <w:r>
              <w:rPr>
                <w:rFonts w:ascii="Times New Roman" w:cs="Times New Roman" w:eastAsia="Times New Roman" w:hAnsi="Times New Roman"/>
                <w:sz w:val="18"/>
                <w:szCs w:val="18"/>
                <w:color w:val="auto"/>
              </w:rPr>
              <w:t>71</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360" w:type="dxa"/>
            <w:vAlign w:val="bottom"/>
            <w:tcBorders>
              <w:bottom w:val="single" w:sz="8" w:color="9A9A9A"/>
            </w:tcBorders>
            <w:gridSpan w:val="2"/>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r>
        <w:trPr>
          <w:trHeight w:val="324"/>
        </w:trPr>
        <w:tc>
          <w:tcPr>
            <w:tcW w:w="1360" w:type="dxa"/>
            <w:vAlign w:val="bottom"/>
            <w:gridSpan w:val="2"/>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80" w:type="dxa"/>
            <w:vAlign w:val="bottom"/>
            <w:gridSpan w:val="21"/>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4"/>
                <w:szCs w:val="14"/>
                <w:color w:val="auto"/>
              </w:rPr>
            </w:pPr>
          </w:p>
        </w:tc>
        <w:tc>
          <w:tcPr>
            <w:tcW w:w="9880" w:type="dxa"/>
            <w:vAlign w:val="bottom"/>
            <w:tcBorders>
              <w:top w:val="single" w:sz="8" w:color="auto"/>
            </w:tcBorders>
            <w:gridSpan w:val="28"/>
          </w:tcPr>
          <w:p>
            <w:pPr>
              <w:spacing w:after="0" w:line="169"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Certification of Chief Executive Officer pursuant to 18 U.S.C. Section 1350, as adopted by Section 906 of the Sarbanes-Oxley Act of</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w:anchor="page74">
              <w:r>
                <w:rPr>
                  <w:rFonts w:ascii="Times New Roman" w:cs="Times New Roman" w:eastAsia="Times New Roman" w:hAnsi="Times New Roman"/>
                  <w:sz w:val="18"/>
                  <w:szCs w:val="18"/>
                  <w:color w:val="0000EE"/>
                  <w:w w:val="93"/>
                </w:rPr>
                <w:t>2002.</w:t>
              </w:r>
            </w:hyperlink>
          </w:p>
        </w:tc>
        <w:tc>
          <w:tcPr>
            <w:tcW w:w="19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9880" w:type="dxa"/>
            <w:vAlign w:val="bottom"/>
            <w:gridSpan w:val="28"/>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Certification of Chief Financial Officer pursuant to 18 U.S.C. Section 1350, as adopted by Section 906 of the Sarbanes-Oxley Act of</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w:anchor="page75">
              <w:r>
                <w:rPr>
                  <w:rFonts w:ascii="Times New Roman" w:cs="Times New Roman" w:eastAsia="Times New Roman" w:hAnsi="Times New Roman"/>
                  <w:sz w:val="18"/>
                  <w:szCs w:val="18"/>
                  <w:color w:val="0000EE"/>
                  <w:w w:val="93"/>
                </w:rPr>
                <w:t>2002.</w:t>
              </w:r>
            </w:hyperlink>
          </w:p>
        </w:tc>
        <w:tc>
          <w:tcPr>
            <w:tcW w:w="19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34"/>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98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The following financial information from the Company’s Annual Report on Form 10-K for the fiscal year ended December 31, 2020,</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filed with the SEC on February 23, 2021, formatted in Inline eXtensible Business Reporting Language (iXBRL): (i) Consolidated</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Balance Sheets at December 31, 2020 and December 31, 2019; (ii) Consolidated Statements of Comprehensive Income for the Fiscal</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Years Ended December 31, 2020, December 31, 2019 and December 31, 2018; (iii) Consolidated Statements of Stockholders' Equity for</w:t>
            </w:r>
          </w:p>
        </w:tc>
      </w:tr>
      <w:tr>
        <w:trPr>
          <w:trHeight w:val="234"/>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the Fiscal Years Ended December 31, 2020, December 31, 2019 and December 31, 2018; (iv) Consolidated Statements of Cash Flows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-9711690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-9720580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-2142490</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-2150745</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0" w:gutter="0" w:footer="0" w:header="0"/>
        </w:sectPr>
      </w:pPr>
    </w:p>
    <w:bookmarkStart w:id="68" w:name="page69"/>
    <w:bookmarkEnd w:id="68"/>
    <w:p>
      <w:pPr>
        <w:ind w:left="1360" w:right="600"/>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2020, December 31, 2019 and December 31, 2018; (v) Notes to Consolidated Financial Statements.</w:t>
      </w:r>
    </w:p>
    <w:p>
      <w:pPr>
        <w:spacing w:after="0" w:line="162" w:lineRule="exact"/>
        <w:rPr>
          <w:sz w:val="20"/>
          <w:szCs w:val="20"/>
          <w:color w:val="auto"/>
        </w:rPr>
      </w:pPr>
    </w:p>
    <w:p>
      <w:pPr>
        <w:ind w:left="1360" w:hanging="1190"/>
        <w:spacing w:after="0"/>
        <w:tabs>
          <w:tab w:leader="none" w:pos="1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7" w:lineRule="exact"/>
        <w:rPr>
          <w:rFonts w:ascii="Times New Roman" w:cs="Times New Roman" w:eastAsia="Times New Roman" w:hAnsi="Times New Roman"/>
          <w:sz w:val="18"/>
          <w:szCs w:val="18"/>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w:t>
      </w:r>
    </w:p>
    <w:p>
      <w:pPr>
        <w:spacing w:after="0" w:line="9" w:lineRule="exact"/>
        <w:rPr>
          <w:rFonts w:ascii="Times New Roman" w:cs="Times New Roman" w:eastAsia="Times New Roman" w:hAnsi="Times New Roman"/>
          <w:sz w:val="18"/>
          <w:szCs w:val="18"/>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rFonts w:ascii="Times New Roman" w:cs="Times New Roman" w:eastAsia="Times New Roman" w:hAnsi="Times New Roman"/>
          <w:sz w:val="18"/>
          <w:szCs w:val="18"/>
          <w:color w:val="auto"/>
        </w:rPr>
      </w:pPr>
    </w:p>
    <w:p>
      <w:pPr>
        <w:ind w:left="2120" w:hanging="762"/>
        <w:spacing w:after="0"/>
        <w:tabs>
          <w:tab w:leader="none" w:pos="2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2140" w:hanging="782"/>
        <w:spacing w:after="0"/>
        <w:tabs>
          <w:tab w:leader="none" w:pos="2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GENERAC HOLDINGS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AARON JAGDFELD</w:t>
            </w:r>
          </w:p>
        </w:tc>
      </w:tr>
      <w:tr>
        <w:trPr>
          <w:trHeight w:val="189"/>
        </w:trPr>
        <w:tc>
          <w:tcPr>
            <w:tcW w:w="520" w:type="dxa"/>
            <w:vAlign w:val="bottom"/>
          </w:tcPr>
          <w:p>
            <w:pPr>
              <w:spacing w:after="0"/>
              <w:rPr>
                <w:sz w:val="16"/>
                <w:szCs w:val="16"/>
                <w:color w:val="auto"/>
              </w:rPr>
            </w:pPr>
          </w:p>
        </w:tc>
        <w:tc>
          <w:tcPr>
            <w:tcW w:w="5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Aaron Jagdfeld</w:t>
            </w:r>
          </w:p>
        </w:tc>
      </w:tr>
      <w:tr>
        <w:trPr>
          <w:trHeight w:val="236"/>
        </w:trPr>
        <w:tc>
          <w:tcPr>
            <w:tcW w:w="52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23, 2021</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and on behalf of the Registrant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80" w:type="dxa"/>
            <w:vAlign w:val="bottom"/>
          </w:tcPr>
          <w:p>
            <w:pPr>
              <w:spacing w:after="0"/>
              <w:rPr>
                <w:sz w:val="18"/>
                <w:szCs w:val="18"/>
                <w:color w:val="auto"/>
              </w:rPr>
            </w:pP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80" w:type="dxa"/>
            <w:vAlign w:val="bottom"/>
          </w:tcPr>
          <w:p>
            <w:pPr>
              <w:spacing w:after="0"/>
              <w:rPr>
                <w:sz w:val="18"/>
                <w:szCs w:val="18"/>
                <w:color w:val="auto"/>
              </w:rPr>
            </w:pPr>
          </w:p>
        </w:tc>
        <w:tc>
          <w:tcPr>
            <w:tcW w:w="8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53"/>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AARON JAGDFELD</w:t>
            </w:r>
          </w:p>
        </w:tc>
        <w:tc>
          <w:tcPr>
            <w:tcW w:w="41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Chairman, President and Chief Executive</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Aaron Jagdfeld</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Officer</w:t>
            </w: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YORK A. RAGEN</w:t>
            </w:r>
          </w:p>
        </w:tc>
        <w:tc>
          <w:tcPr>
            <w:tcW w:w="41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Chief Financial Officer and</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York A. Ragen</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BENNETT MORGAN</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Lead 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Bennett Morgan</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MARCIA J. AVEDON</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Marcia J. Avedon</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JOHN D. BOWLIN</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John D. Bowlin</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ROBERT D. DIXON</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Robert D. Dixon</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WILLIAM JENKINS</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William Jenkins</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ANDREW G. LAMPEREUR</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Andrew G. Lampereur</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DAVID A. RAMON</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David A. Ramon</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KATHRYN ROEDEL</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Kathryn Roedel</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DOMINICK ZARCONE</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Dominick Zarcone</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179" w:lineRule="exact"/>
        <w:rPr>
          <w:sz w:val="20"/>
          <w:szCs w:val="20"/>
          <w:color w:val="auto"/>
        </w:rPr>
      </w:pPr>
    </w:p>
    <w:p>
      <w:pPr>
        <w:sectPr>
          <w:pgSz w:w="11900" w:h="16838" w:orient="portrait"/>
          <w:cols w:equalWidth="0" w:num="1">
            <w:col w:w="11240"/>
          </w:cols>
          <w:pgMar w:left="320" w:top="121" w:right="339" w:bottom="1068"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21" w:right="339" w:bottom="1068" w:gutter="0" w:footer="0" w:header="0"/>
          <w:type w:val="continuous"/>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40" w:type="dxa"/>
            <w:vAlign w:val="bottom"/>
            <w:gridSpan w:val="3"/>
          </w:tcPr>
          <w:p>
            <w:pPr>
              <w:ind w:left="3100"/>
              <w:spacing w:after="0"/>
              <w:rPr>
                <w:sz w:val="20"/>
                <w:szCs w:val="20"/>
                <w:color w:val="auto"/>
              </w:rPr>
            </w:pPr>
            <w:r>
              <w:rPr>
                <w:rFonts w:ascii="Times New Roman" w:cs="Times New Roman" w:eastAsia="Times New Roman" w:hAnsi="Times New Roman"/>
                <w:sz w:val="18"/>
                <w:szCs w:val="18"/>
                <w:b w:val="1"/>
                <w:bCs w:val="1"/>
                <w:color w:val="auto"/>
              </w:rPr>
              <w:t>LISTING OF SUBSIDIARIES OF GENERAC HOLDINGS INC.</w:t>
            </w:r>
          </w:p>
        </w:tc>
      </w:tr>
      <w:tr>
        <w:trPr>
          <w:trHeight w:val="64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240" w:type="dxa"/>
            <w:vAlign w:val="bottom"/>
          </w:tcPr>
          <w:p>
            <w:pPr>
              <w:spacing w:after="0"/>
              <w:rPr>
                <w:sz w:val="24"/>
                <w:szCs w:val="24"/>
                <w:color w:val="auto"/>
              </w:rPr>
            </w:pP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Generac Power Systems, Inc.</w:t>
            </w:r>
          </w:p>
        </w:tc>
        <w:tc>
          <w:tcPr>
            <w:tcW w:w="240" w:type="dxa"/>
            <w:vAlign w:val="bottom"/>
          </w:tcPr>
          <w:p>
            <w:pPr>
              <w:spacing w:after="0"/>
              <w:rPr>
                <w:sz w:val="16"/>
                <w:szCs w:val="16"/>
                <w:color w:val="auto"/>
              </w:rPr>
            </w:pPr>
          </w:p>
        </w:tc>
        <w:tc>
          <w:tcPr>
            <w:tcW w:w="6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Wisconsin,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Mobile Products,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Wisconsin,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Warehouse Development Group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Wisconsin,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Acquisition Corp.</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MAC,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CHP Holdings,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Country Home Products,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Powermate,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MAC Holdings,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North Dakota,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Route 22A &amp; 1 Main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Vermont,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PR-NA Industries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Georgia,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Motortech Americas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Louisiana,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Holdings UK Ltd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Global UK Limited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Ottomotores Nominees Ltd.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Mobile Products UK Ltd.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Pramac UK Limited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Pramac Racing Limited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Ottomotores S.A de C.V.</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Mexico, S.A. de C.V.</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Selmec Equipos Industriales, S.A. de C.V.</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Operadora Selmec, S.A. de C.V.</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Servicios Administrativos Selmec, S.A. de C.V.</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Hidalgo, S.A. de C.V.</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GMH 2020, S. de R.L. de C.V.</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do Brasil Ltda</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GPR Brasil Equipamentos Ltda</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Mobile Products S.r.l</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Holdings Italy S.r.l.</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 Industrial S.r.l.</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Pramac Europe SAS</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Services &amp; Gestion France Sarl</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Pramac GmbH</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Motortech GmbH</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Pramac Iberica S.A.U.</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Pramac Sp. Z.o.o.</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Motortech Polska Sp. Z.o.o.</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Pramac Caribe Srl</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Dominican Republic</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Pramac Asia PTE Ltd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Pramac Fu Lee Foshan Power Equipment Ltd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Motortech Shanghai Co., Ltd.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Suzhou Generac Power Systems Co., Ltd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SC Pramac Generators S.r.l.</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Romania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Pramac RUS Ltd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Russia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 Middle East Fze</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UAE</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 Middle East WLL</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Bahrain</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 Australia PTY Ltd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Captiva Energy Solutions Private Limited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Neurio Technology ULC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Pika Energy,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Colombia S.A.S.</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West Coast Energy Systems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California,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Power Management Holdings (U.S.),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Enbala U.S. Power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Enbala Power Networks (USA)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Enbala Power Networks ULC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Enbala Power Networks B.C. ULC</w:t>
            </w:r>
          </w:p>
        </w:tc>
        <w:tc>
          <w:tcPr>
            <w:tcW w:w="24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bl>
    <w:p>
      <w:pPr>
        <w:sectPr>
          <w:pgSz w:w="11900" w:h="16838" w:orient="portrait"/>
          <w:cols w:equalWidth="0" w:num="1">
            <w:col w:w="11240"/>
          </w:cols>
          <w:pgMar w:left="320" w:top="11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333-164851, 333-183109, 333-197944, and 333-233050 on Form S-8 of our reports dated February 23, 2021, relating to the financial statements of Generac Holdings Inc. and the effectiveness of Generac Holdings Inc.'s internal control over financial reporting appearing in this Annual Report on Form 10-K of Generac Holdings Inc. for the year ended December 31, 2020.</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ectPr>
          <w:pgSz w:w="11900" w:h="16838" w:orient="portrait"/>
          <w:cols w:equalWidth="0" w:num="1">
            <w:col w:w="11240"/>
          </w:cols>
          <w:pgMar w:left="320" w:top="11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 AS ADOPTED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Jagdfeld, certify that:</w:t>
      </w:r>
    </w:p>
    <w:p>
      <w:pPr>
        <w:spacing w:after="0" w:line="22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Generac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30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2021</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Jagdfeld</w:t>
            </w:r>
          </w:p>
        </w:tc>
        <w:tc>
          <w:tcPr>
            <w:tcW w:w="4780" w:type="dxa"/>
            <w:vAlign w:val="bottom"/>
            <w:tcBorders>
              <w:bottom w:val="single" w:sz="8" w:color="auto"/>
            </w:tcBorders>
          </w:tcPr>
          <w:p>
            <w:pPr>
              <w:spacing w:after="0"/>
              <w:rPr>
                <w:sz w:val="20"/>
                <w:szCs w:val="20"/>
                <w:color w:val="auto"/>
              </w:rPr>
            </w:pPr>
          </w:p>
        </w:tc>
      </w:tr>
      <w:tr>
        <w:trPr>
          <w:trHeight w:val="189"/>
        </w:trPr>
        <w:tc>
          <w:tcPr>
            <w:tcW w:w="5080" w:type="dxa"/>
            <w:vAlign w:val="bottom"/>
          </w:tcPr>
          <w:p>
            <w:pPr>
              <w:spacing w:after="0"/>
              <w:rPr>
                <w:sz w:val="16"/>
                <w:szCs w:val="16"/>
                <w:color w:val="auto"/>
              </w:rPr>
            </w:pPr>
          </w:p>
        </w:tc>
        <w:tc>
          <w:tcPr>
            <w:tcW w:w="1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78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Aaron Jagdfeld</w:t>
            </w:r>
          </w:p>
        </w:tc>
      </w:tr>
      <w:tr>
        <w:trPr>
          <w:trHeight w:val="236"/>
        </w:trPr>
        <w:tc>
          <w:tcPr>
            <w:tcW w:w="508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tc>
      </w:tr>
    </w:tbl>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 AS ADOPTED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York A. Ragen, certify that:</w:t>
      </w:r>
    </w:p>
    <w:p>
      <w:pPr>
        <w:spacing w:after="0" w:line="225"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Generac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30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2021</w:t>
            </w: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York A. Ragen</w:t>
            </w:r>
          </w:p>
        </w:tc>
        <w:tc>
          <w:tcPr>
            <w:tcW w:w="4800" w:type="dxa"/>
            <w:vAlign w:val="bottom"/>
            <w:tcBorders>
              <w:bottom w:val="single" w:sz="8" w:color="auto"/>
            </w:tcBorders>
          </w:tcPr>
          <w:p>
            <w:pPr>
              <w:spacing w:after="0"/>
              <w:rPr>
                <w:sz w:val="20"/>
                <w:szCs w:val="20"/>
                <w:color w:val="auto"/>
              </w:rPr>
            </w:pPr>
          </w:p>
        </w:tc>
      </w:tr>
      <w:tr>
        <w:trPr>
          <w:trHeight w:val="189"/>
        </w:trPr>
        <w:tc>
          <w:tcPr>
            <w:tcW w:w="5080" w:type="dxa"/>
            <w:vAlign w:val="bottom"/>
          </w:tcPr>
          <w:p>
            <w:pPr>
              <w:spacing w:after="0"/>
              <w:rPr>
                <w:sz w:val="16"/>
                <w:szCs w:val="16"/>
                <w:color w:val="auto"/>
              </w:rPr>
            </w:pPr>
          </w:p>
        </w:tc>
        <w:tc>
          <w:tcPr>
            <w:tcW w:w="1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York A. Ragen</w:t>
            </w:r>
          </w:p>
        </w:tc>
      </w:tr>
      <w:tr>
        <w:trPr>
          <w:trHeight w:val="236"/>
        </w:trPr>
        <w:tc>
          <w:tcPr>
            <w:tcW w:w="508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240"/>
          </w:cols>
          <w:pgMar w:left="320" w:top="11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SECTION 906 OF THE SARBANES-OXLEY ACT OF 2002</w:t>
      </w:r>
    </w:p>
    <w:p>
      <w:pPr>
        <w:spacing w:after="0" w:line="207" w:lineRule="exact"/>
        <w:rPr>
          <w:sz w:val="20"/>
          <w:szCs w:val="20"/>
          <w:color w:val="auto"/>
        </w:rPr>
      </w:pPr>
    </w:p>
    <w:p>
      <w:pPr>
        <w:ind w:right="80" w:firstLine="360"/>
        <w:spacing w:after="0" w:line="282"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by Section 906 of the Sarbanes-Oxley Act of 2002, the undersigned, as Chief Executive Officer of Generac Holdings Inc. (the “Company”), does hereby certify that to his knowledge:</w:t>
      </w:r>
    </w:p>
    <w:p>
      <w:pPr>
        <w:spacing w:after="0" w:line="162" w:lineRule="exact"/>
        <w:rPr>
          <w:sz w:val="20"/>
          <w:szCs w:val="20"/>
          <w:color w:val="auto"/>
        </w:rPr>
      </w:pPr>
    </w:p>
    <w:p>
      <w:pPr>
        <w:ind w:left="660" w:right="10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2020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annual report on Form 10-K for the fiscal year ended December 31, 2020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2021</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Jagdfeld</w:t>
            </w:r>
          </w:p>
        </w:tc>
        <w:tc>
          <w:tcPr>
            <w:tcW w:w="4780" w:type="dxa"/>
            <w:vAlign w:val="bottom"/>
            <w:tcBorders>
              <w:bottom w:val="single" w:sz="8" w:color="auto"/>
            </w:tcBorders>
          </w:tcPr>
          <w:p>
            <w:pPr>
              <w:spacing w:after="0"/>
              <w:rPr>
                <w:sz w:val="20"/>
                <w:szCs w:val="20"/>
                <w:color w:val="auto"/>
              </w:rPr>
            </w:pPr>
          </w:p>
        </w:tc>
      </w:tr>
      <w:tr>
        <w:trPr>
          <w:trHeight w:val="189"/>
        </w:trPr>
        <w:tc>
          <w:tcPr>
            <w:tcW w:w="5080" w:type="dxa"/>
            <w:vAlign w:val="bottom"/>
          </w:tcPr>
          <w:p>
            <w:pPr>
              <w:spacing w:after="0"/>
              <w:rPr>
                <w:sz w:val="16"/>
                <w:szCs w:val="16"/>
                <w:color w:val="auto"/>
              </w:rPr>
            </w:pPr>
          </w:p>
        </w:tc>
        <w:tc>
          <w:tcPr>
            <w:tcW w:w="1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78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Aaron Jagdfeld</w:t>
            </w:r>
          </w:p>
        </w:tc>
      </w:tr>
      <w:tr>
        <w:trPr>
          <w:trHeight w:val="236"/>
        </w:trPr>
        <w:tc>
          <w:tcPr>
            <w:tcW w:w="508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tc>
      </w:tr>
    </w:tbl>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SECTION 906 OF THE SARBANES-OXLEY ACT OF 2002</w:t>
      </w:r>
    </w:p>
    <w:p>
      <w:pPr>
        <w:spacing w:after="0" w:line="207" w:lineRule="exact"/>
        <w:rPr>
          <w:sz w:val="20"/>
          <w:szCs w:val="20"/>
          <w:color w:val="auto"/>
        </w:rPr>
      </w:pPr>
    </w:p>
    <w:p>
      <w:pPr>
        <w:ind w:right="80" w:firstLine="360"/>
        <w:spacing w:after="0" w:line="282"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by Section 906 of the Sarbanes-Oxley Act of 2002, the undersigned, as Chief Financial Officer of Generac Holdings Inc. (the “Company”), does hereby certify that to his knowledge:</w:t>
      </w:r>
    </w:p>
    <w:p>
      <w:pPr>
        <w:spacing w:after="0" w:line="162" w:lineRule="exact"/>
        <w:rPr>
          <w:sz w:val="20"/>
          <w:szCs w:val="20"/>
          <w:color w:val="auto"/>
        </w:rPr>
      </w:pPr>
    </w:p>
    <w:p>
      <w:pPr>
        <w:ind w:left="660" w:right="10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2020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annual report on Form 10-K for the fiscal year ended December 31, 2020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2021</w:t>
            </w: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York A. Ragen</w:t>
            </w:r>
          </w:p>
        </w:tc>
        <w:tc>
          <w:tcPr>
            <w:tcW w:w="4760" w:type="dxa"/>
            <w:vAlign w:val="bottom"/>
            <w:tcBorders>
              <w:bottom w:val="single" w:sz="8" w:color="auto"/>
            </w:tcBorders>
          </w:tcPr>
          <w:p>
            <w:pPr>
              <w:spacing w:after="0"/>
              <w:rPr>
                <w:sz w:val="20"/>
                <w:szCs w:val="20"/>
                <w:color w:val="auto"/>
              </w:rPr>
            </w:pPr>
          </w:p>
        </w:tc>
      </w:tr>
      <w:tr>
        <w:trPr>
          <w:trHeight w:val="189"/>
        </w:trPr>
        <w:tc>
          <w:tcPr>
            <w:tcW w:w="5120" w:type="dxa"/>
            <w:vAlign w:val="bottom"/>
          </w:tcPr>
          <w:p>
            <w:pPr>
              <w:spacing w:after="0"/>
              <w:rPr>
                <w:sz w:val="16"/>
                <w:szCs w:val="16"/>
                <w:color w:val="auto"/>
              </w:rPr>
            </w:pPr>
          </w:p>
        </w:tc>
        <w:tc>
          <w:tcPr>
            <w:tcW w:w="1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York A. Ragen</w:t>
            </w:r>
          </w:p>
        </w:tc>
      </w:tr>
      <w:tr>
        <w:trPr>
          <w:trHeight w:val="236"/>
        </w:trPr>
        <w:tc>
          <w:tcPr>
            <w:tcW w:w="51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262"/>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lowerLetter"/>
      <w:start w:val="1"/>
    </w:lvl>
    <w:lvl w:ilvl="1">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lvl w:ilvl="1">
      <w:lvlJc w:val="left"/>
      <w:lvlText w:val="●"/>
      <w:numFmt w:val="bullet"/>
      <w:start w:val="1"/>
    </w:lvl>
  </w:abstractNum>
  <w:abstractNum w:abstractNumId="23">
    <w:nsid w:val="5577F8E1"/>
    <w:multiLevelType w:val="hybridMultilevel"/>
    <w:lvl w:ilvl="0">
      <w:lvlJc w:val="left"/>
      <w:lvlText w:val="%1."/>
      <w:numFmt w:val="decimal"/>
      <w:start w:val="3"/>
    </w:lvl>
  </w:abstractNum>
  <w:abstractNum w:abstractNumId="24">
    <w:nsid w:val="440BADFC"/>
    <w:multiLevelType w:val="hybridMultilevel"/>
    <w:lvl w:ilvl="0">
      <w:lvlJc w:val="left"/>
      <w:lvlText w:val="%1."/>
      <w:numFmt w:val="decimal"/>
      <w:start w:val="4"/>
    </w:lvl>
  </w:abstractNum>
  <w:abstractNum w:abstractNumId="25">
    <w:nsid w:val="5072367"/>
    <w:multiLevelType w:val="hybridMultilevel"/>
    <w:lvl w:ilvl="0">
      <w:lvlJc w:val="left"/>
      <w:lvlText w:val="%1."/>
      <w:numFmt w:val="decimal"/>
      <w:start w:val="5"/>
    </w:lvl>
  </w:abstractNum>
  <w:abstractNum w:abstractNumId="26">
    <w:nsid w:val="3804823E"/>
    <w:multiLevelType w:val="hybridMultilevel"/>
    <w:lvl w:ilvl="0">
      <w:lvlJc w:val="left"/>
      <w:lvlText w:val="%1."/>
      <w:numFmt w:val="decimal"/>
      <w:start w:val="6"/>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7"/>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8"/>
    </w:lvl>
  </w:abstractNum>
  <w:abstractNum w:abstractNumId="31">
    <w:nsid w:val="5E884ADC"/>
    <w:multiLevelType w:val="hybridMultilevel"/>
    <w:lvl w:ilvl="0">
      <w:lvlJc w:val="left"/>
      <w:lvlText w:val="%1."/>
      <w:numFmt w:val="decimal"/>
      <w:start w:val="9"/>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lvl w:ilvl="1">
      <w:lvlJc w:val="left"/>
      <w:lvlText w:val="(%2)"/>
      <w:numFmt w:val="decimal"/>
      <w:start w:val="1"/>
    </w:lvl>
  </w:abstractNum>
  <w:abstractNum w:abstractNumId="34">
    <w:nsid w:val="580BD78F"/>
    <w:multiLevelType w:val="hybridMultilevel"/>
    <w:lvl w:ilvl="0">
      <w:lvlJc w:val="left"/>
      <w:lvlText w:val="%1."/>
      <w:numFmt w:val="decimal"/>
      <w:start w:val="15"/>
    </w:lvl>
    <w:lvl w:ilvl="1">
      <w:lvlJc w:val="left"/>
      <w:lvlText w:val="%2"/>
      <w:numFmt w:val="decimal"/>
      <w:start w:val="1"/>
    </w:lvl>
  </w:abstractNum>
  <w:abstractNum w:abstractNumId="35">
    <w:nsid w:val="153EA438"/>
    <w:multiLevelType w:val="hybridMultilevel"/>
    <w:lvl w:ilvl="0">
      <w:lvlJc w:val="left"/>
      <w:lvlText w:val="%1"/>
      <w:numFmt w:val="decimal"/>
      <w:start w:val="1"/>
    </w:lvl>
    <w:lvl w:ilvl="1">
      <w:lvlJc w:val="left"/>
      <w:lvlText w:val="(%2)"/>
      <w:numFmt w:val="decimal"/>
      <w:start w:val="1"/>
    </w:lvl>
  </w:abstractNum>
  <w:abstractNum w:abstractNumId="36">
    <w:nsid w:val="3855585C"/>
    <w:multiLevelType w:val="hybridMultilevel"/>
    <w:lvl w:ilvl="0">
      <w:lvlJc w:val="left"/>
      <w:lvlText w:val="%1."/>
      <w:numFmt w:val="decimal"/>
      <w:start w:val="16"/>
    </w:lvl>
    <w:lvl w:ilvl="1">
      <w:lvlJc w:val="left"/>
      <w:lvlText w:val="%2"/>
      <w:numFmt w:val="decimal"/>
      <w:start w:val="1"/>
    </w:lvl>
  </w:abstractNum>
  <w:abstractNum w:abstractNumId="37">
    <w:nsid w:val="70A64E2A"/>
    <w:multiLevelType w:val="hybridMultilevel"/>
    <w:lvl w:ilvl="0">
      <w:lvlJc w:val="left"/>
      <w:lvlText w:val="%1"/>
      <w:numFmt w:val="decimal"/>
      <w:start w:val="1"/>
    </w:lvl>
    <w:lvl w:ilvl="1">
      <w:lvlJc w:val="left"/>
      <w:lvlText w:val="(%2)"/>
      <w:numFmt w:val="decimal"/>
      <w:start w:val="1"/>
    </w:lvl>
  </w:abstractNum>
  <w:abstractNum w:abstractNumId="38">
    <w:nsid w:val="6A2342EC"/>
    <w:multiLevelType w:val="hybridMultilevel"/>
    <w:lvl w:ilvl="0">
      <w:lvlJc w:val="left"/>
      <w:lvlText w:val="%1."/>
      <w:numFmt w:val="decimal"/>
      <w:start w:val="21"/>
    </w:lvl>
    <w:lvl w:ilvl="1">
      <w:lvlJc w:val="left"/>
      <w:lvlText w:val="%2"/>
      <w:numFmt w:val="decimal"/>
      <w:start w:val="1"/>
    </w:lvl>
  </w:abstractNum>
  <w:abstractNum w:abstractNumId="39">
    <w:nsid w:val="2A487CB0"/>
    <w:multiLevelType w:val="hybridMultilevel"/>
    <w:lvl w:ilvl="0">
      <w:lvlJc w:val="left"/>
      <w:lvlText w:val="%1"/>
      <w:numFmt w:val="decimal"/>
      <w:start w:val="104"/>
    </w:lvl>
    <w:lvl w:ilvl="1">
      <w:lvlJc w:val="left"/>
      <w:lvlText w:val="*"/>
      <w:numFmt w:val="bullet"/>
      <w:start w:val="1"/>
    </w:lvl>
  </w:abstractNum>
  <w:abstractNum w:abstractNumId="40">
    <w:nsid w:val="1D4ED43B"/>
    <w:multiLevelType w:val="hybridMultilevel"/>
    <w:lvl w:ilvl="0">
      <w:lvlJc w:val="left"/>
      <w:lvlText w:val="%1"/>
      <w:numFmt w:val="decimal"/>
      <w:start w:val="1"/>
    </w:lvl>
    <w:lvl w:ilvl="1">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92" Type="http://schemas.openxmlformats.org/officeDocument/2006/relationships/hyperlink" Target="http://www.sec.gov/Archives/edgar/data/1474735/000104746910002937/a2197602zex-3_1.htm" TargetMode="External"/><Relationship Id="rId93" Type="http://schemas.openxmlformats.org/officeDocument/2006/relationships/hyperlink" Target="http://www.sec.gov/Archives/edgar/data/1474735/000143774916025339/ex3-1.htm" TargetMode="External"/><Relationship Id="rId94" Type="http://schemas.openxmlformats.org/officeDocument/2006/relationships/hyperlink" Target="http://www.sec.gov/Archives/edgar/data/1474735/000104746910000285/a2196063zex-4_1.htm" TargetMode="External"/><Relationship Id="rId95" Type="http://schemas.openxmlformats.org/officeDocument/2006/relationships/hyperlink" Target="http://www.sec.gov/Archives/edgar/data/1474735/000143774920003516/ex_172898.htm" TargetMode="External"/><Relationship Id="rId96" Type="http://schemas.openxmlformats.org/officeDocument/2006/relationships/hyperlink" Target="http://www.sec.gov/Archives/edgar/data/1474735/000110465913046543/a13-14243_1ex10d2.htm" TargetMode="External"/><Relationship Id="rId97" Type="http://schemas.openxmlformats.org/officeDocument/2006/relationships/hyperlink" Target="http://www.sec.gov/Archives/edgar/data/1474735/000143774916041001/ex10-1.htm" TargetMode="External"/><Relationship Id="rId98" Type="http://schemas.openxmlformats.org/officeDocument/2006/relationships/hyperlink" Target="http://www.sec.gov/Archives/edgar/data/1474735/000143774917009034/ex10-1.htm" TargetMode="External"/><Relationship Id="rId99" Type="http://schemas.openxmlformats.org/officeDocument/2006/relationships/hyperlink" Target="http://www.sec.gov/Archives/edgar/data/1474735/000143774917020473/ex_101827.htm" TargetMode="External"/><Relationship Id="rId100" Type="http://schemas.openxmlformats.org/officeDocument/2006/relationships/hyperlink" Target="http://www.sec.gov/Archives/edgar/data/1474735/000143774918011755/ex_116401.htm" TargetMode="External"/><Relationship Id="rId101" Type="http://schemas.openxmlformats.org/officeDocument/2006/relationships/hyperlink" Target="http://www.sec.gov/Archives/edgar/data/1474735/000143774919024445/ex_167459.htm" TargetMode="External"/><Relationship Id="rId102" Type="http://schemas.openxmlformats.org/officeDocument/2006/relationships/hyperlink" Target="http://www.sec.gov/Archives/edgar/data/1474735/000110465913046543/a13-14243_1ex10d1.htm" TargetMode="External"/><Relationship Id="rId103" Type="http://schemas.openxmlformats.org/officeDocument/2006/relationships/hyperlink" Target="http://www.sec.gov/Archives/edgar/data/1474735/000110465912041005/a12-13434_1ex10d2.htm" TargetMode="External"/><Relationship Id="rId104" Type="http://schemas.openxmlformats.org/officeDocument/2006/relationships/hyperlink" Target="http://www.sec.gov/Archives/edgar/data/1474735/000110465913046543/a13-14243_1ex10d3.htm" TargetMode="External"/><Relationship Id="rId105" Type="http://schemas.openxmlformats.org/officeDocument/2006/relationships/hyperlink" Target="http://www.sec.gov/Archives/edgar/data/1474735/000110465912041005/a12-13434_1ex10d3.htm" TargetMode="External"/><Relationship Id="rId106" Type="http://schemas.openxmlformats.org/officeDocument/2006/relationships/hyperlink" Target="http://www.sec.gov/Archives/edgar/data/1474735/000110465913046543/a13-14243_1ex10d4.htm" TargetMode="External"/><Relationship Id="rId107" Type="http://schemas.openxmlformats.org/officeDocument/2006/relationships/hyperlink" Target="http://www.sec.gov/Archives/edgar/data/1474735/000143774915011443/ex10-1.htm" TargetMode="External"/><Relationship Id="rId108" Type="http://schemas.openxmlformats.org/officeDocument/2006/relationships/hyperlink" Target="http://www.sec.gov/Archives/edgar/data/1474735/000143774918011755/ex_116402.htm" TargetMode="External"/><Relationship Id="rId109" Type="http://schemas.openxmlformats.org/officeDocument/2006/relationships/hyperlink" Target="http://www.sec.gov/Archives/edgar/data/1474735/000110465912041005/a12-13434_1ex10d4.htm" TargetMode="External"/><Relationship Id="rId110" Type="http://schemas.openxmlformats.org/officeDocument/2006/relationships/hyperlink" Target="http://www.sec.gov/Archives/edgar/data/1474735/000110465913046543/a13-14243_1ex10d5.htm" TargetMode="External"/><Relationship Id="rId111" Type="http://schemas.openxmlformats.org/officeDocument/2006/relationships/hyperlink" Target="http://www.sec.gov/Archives/edgar/data/1474735/000104746912004891/a2208974zdef14a.htm#la47301_appendix_a" TargetMode="External"/><Relationship Id="rId112" Type="http://schemas.openxmlformats.org/officeDocument/2006/relationships/hyperlink" Target="http://www.sec.gov/Archives/edgar/data/1474735/000104746910000285/a2196063zex-10_63.htm" TargetMode="External"/><Relationship Id="rId113" Type="http://schemas.openxmlformats.org/officeDocument/2006/relationships/hyperlink" Target="http://www.sec.gov/Archives/edgar/data/1474735/000143774915020022/ex10-1.htm" TargetMode="External"/><Relationship Id="rId114" Type="http://schemas.openxmlformats.org/officeDocument/2006/relationships/hyperlink" Target="http://www.sec.gov/Archives/edgar/data/1474735/000104746909010392/a2195620zex-10_40.htm" TargetMode="External"/><Relationship Id="rId117" Type="http://schemas.openxmlformats.org/officeDocument/2006/relationships/hyperlink" Target="http://www.sec.gov/Archives/edgar/data/1474735/000104746910000285/a2196063zex-10_45.htm" TargetMode="External"/><Relationship Id="rId118" Type="http://schemas.openxmlformats.org/officeDocument/2006/relationships/hyperlink" Target="http://www.sec.gov/Archives/edgar/data/1474735/000147473512000025/exh10_3.htm" TargetMode="External"/><Relationship Id="rId119" Type="http://schemas.openxmlformats.org/officeDocument/2006/relationships/hyperlink" Target="http://www.sec.gov/Archives/edgar/data/1474735/000147473512000025/exh10_4.htm" TargetMode="External"/><Relationship Id="rId120" Type="http://schemas.openxmlformats.org/officeDocument/2006/relationships/hyperlink" Target="http://www.sec.gov/Archives/edgar/data/1474735/000143774919003397/ex_135458.htm" TargetMode="External"/><Relationship Id="rId121" Type="http://schemas.openxmlformats.org/officeDocument/2006/relationships/hyperlink" Target="http://www.sec.gov/Archives/edgar/data/1474735/000143774919003397/ex_135459.htm" TargetMode="External"/><Relationship Id="rId122" Type="http://schemas.openxmlformats.org/officeDocument/2006/relationships/hyperlink" Target="http://www.sec.gov/Archives/edgar/data/1474735/000104746910000097/a2195969zex-10_51.htm" TargetMode="External"/><Relationship Id="rId123" Type="http://schemas.openxmlformats.org/officeDocument/2006/relationships/hyperlink" Target="http://www.sec.gov/Archives/edgar/data/1474735/000104746910000097/a2195969zex-10_52.htm" TargetMode="External"/><Relationship Id="rId124" Type="http://schemas.openxmlformats.org/officeDocument/2006/relationships/hyperlink" Target="http://www.sec.gov/Archives/edgar/data/1474735/000143774919003397/ex_135477.htm" TargetMode="External"/><Relationship Id="rId125" Type="http://schemas.openxmlformats.org/officeDocument/2006/relationships/hyperlink" Target="http://www.sec.gov/Archives/edgar/data/1474735/000143774920003516/ex_173214.htm" TargetMode="External"/><Relationship Id="rId126" Type="http://schemas.openxmlformats.org/officeDocument/2006/relationships/hyperlink" Target="http://www.sec.gov/Archives/edgar/data/1474735/000143774918019673/ex_128193.htm" TargetMode="External"/><Relationship Id="rId127" Type="http://schemas.openxmlformats.org/officeDocument/2006/relationships/hyperlink" Target="http://www.sec.gov/Archives/edgar/data/1474735/000104746919002640/a2238541zdef14a.htm" TargetMode="External"/><Relationship Id="rId128" Type="http://schemas.openxmlformats.org/officeDocument/2006/relationships/hyperlink" Target="http://www.sec.gov/Archives/edgar/data/1474735/000143774919021621/ex_160684.htm" TargetMode="External"/><Relationship Id="rId129" Type="http://schemas.openxmlformats.org/officeDocument/2006/relationships/hyperlink" Target="http://www.sec.gov/Archives/edgar/data/1474735/000143774919021621/ex_160685.htm" TargetMode="External"/><Relationship Id="rId130" Type="http://schemas.openxmlformats.org/officeDocument/2006/relationships/hyperlink" Target="http://www.sec.gov/Archives/edgar/data/1474735/000143774919021621/ex_16068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2021-02-23T15:45:40Z</dcterms:created>
  <dcterms:modified xsi:type="dcterms:W3CDTF">2021-02-23T15:45:40Z</dcterms:modified>
</cp:coreProperties>
</file>